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3322d3_8k.htm"/>
      <w:bookmarkStart w:id="1" w:name="kstm2333322d3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312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 December 28, 2023 (</w:t>
      </w:r>
      <w:bookmarkStart w:id="3" w:name="xdx_901_edei--DocumentPeriodEndDate_c202"/>
      <w:bookmarkEnd w:id="3"/>
      <w:r>
        <w:rPr>
          <w:rFonts w:ascii="Times New Roman;Times;Serif" w:hAnsi="Times New Roman;Times;Serif"/>
          <w:b/>
          <w:i w:val="false"/>
          <w:caps w:val="false"/>
          <w:smallCaps w:val="false"/>
          <w:sz w:val="20"/>
        </w:rPr>
        <w:t>December 22,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3"/>
      <w:bookmarkEnd w:id="4"/>
      <w:r>
        <w:rPr>
          <w:rFonts w:ascii="Times New Roman;Times;Serif" w:hAnsi="Times New Roman;Times;Serif"/>
          <w:b/>
          <w:i w:val="false"/>
          <w:caps w:val="false"/>
          <w:smallCaps w:val="false"/>
          <w:sz w:val="36"/>
        </w:rPr>
        <w:t>BURTECH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31222"/>
            <w:bookmarkEnd w:id="6"/>
            <w:r>
              <w:rPr>
                <w:rFonts w:ascii="Times New Roman;Times;Serif" w:hAnsi="Times New Roman;Times;Serif"/>
                <w:b/>
                <w:sz w:val="20"/>
              </w:rPr>
              <w:t>001-41139</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85-2708752</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1300 Pennsylvania Ave NW, </w:t>
      </w:r>
      <w:bookmarkStart w:id="9" w:name="xdx_90A_edei--EntityAddressAddressLine2_"/>
      <w:bookmarkEnd w:id="9"/>
      <w:r>
        <w:rPr>
          <w:rFonts w:ascii="Times New Roman;Times;Serif" w:hAnsi="Times New Roman;Times;Serif"/>
          <w:b/>
          <w:i w:val="false"/>
          <w:caps w:val="false"/>
          <w:smallCaps w:val="false"/>
          <w:sz w:val="20"/>
        </w:rPr>
        <w:t>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CityOrTown_c2"/>
      <w:bookmarkEnd w:id="10"/>
      <w:r>
        <w:rPr>
          <w:rFonts w:ascii="Times New Roman;Times;Serif" w:hAnsi="Times New Roman;Times;Serif"/>
          <w:b/>
          <w:i w:val="false"/>
          <w:caps w:val="false"/>
          <w:smallCaps w:val="false"/>
          <w:sz w:val="20"/>
        </w:rPr>
        <w:t xml:space="preserve">Washington, </w:t>
      </w:r>
      <w:bookmarkStart w:id="11" w:name="xdx_90D_edei--EntityAddressStateOrProvin"/>
      <w:bookmarkEnd w:id="11"/>
      <w:r>
        <w:rPr>
          <w:rFonts w:ascii="Times New Roman;Times;Serif" w:hAnsi="Times New Roman;Times;Serif"/>
          <w:b/>
          <w:i w:val="false"/>
          <w:caps w:val="false"/>
          <w:smallCaps w:val="false"/>
          <w:sz w:val="20"/>
        </w:rPr>
        <w:t xml:space="preserve">DC </w:t>
      </w:r>
      <w:bookmarkStart w:id="12" w:name="xdx_906_edei--EntityAddressPostalZipCode"/>
      <w:bookmarkEnd w:id="12"/>
      <w:r>
        <w:rPr>
          <w:rFonts w:ascii="Times New Roman;Times;Serif" w:hAnsi="Times New Roman;Times;Serif"/>
          <w:b/>
          <w:i w:val="false"/>
          <w:caps w:val="false"/>
          <w:smallCaps w:val="false"/>
          <w:sz w:val="20"/>
        </w:rPr>
        <w:t>20004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1_edei--CityAreaCode_c20231222__20"/>
      <w:bookmarkEnd w:id="13"/>
      <w:r>
        <w:rPr>
          <w:rFonts w:ascii="Times New Roman;Times;Serif" w:hAnsi="Times New Roman;Times;Serif"/>
          <w:b/>
          <w:i w:val="false"/>
          <w:caps w:val="false"/>
          <w:smallCaps w:val="false"/>
          <w:sz w:val="20"/>
        </w:rPr>
        <w:t xml:space="preserve">202) </w:t>
      </w:r>
      <w:bookmarkStart w:id="14" w:name="xdx_90E_edei--LocalPhoneNumber_c20231222"/>
      <w:bookmarkEnd w:id="14"/>
      <w:r>
        <w:rPr>
          <w:rFonts w:ascii="Times New Roman;Times;Serif" w:hAnsi="Times New Roman;Times;Serif"/>
          <w:b/>
          <w:i w:val="false"/>
          <w:caps w:val="false"/>
          <w:smallCaps w:val="false"/>
          <w:sz w:val="20"/>
        </w:rPr>
        <w:t>600-5757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6_edei--SolicitingMaterial_c202312"/>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25"/>
        <w:gridCol w:w="60"/>
        <w:gridCol w:w="740"/>
        <w:gridCol w:w="60"/>
        <w:gridCol w:w="2420"/>
      </w:tblGrid>
      <w:tr>
        <w:trPr/>
        <w:tc>
          <w:tcPr>
            <w:tcW w:w="6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tcMar>
              <w:bottom w:w="0" w:type="dxa"/>
            </w:tcMar>
            <w:vAlign w:val="center"/>
          </w:tcPr>
          <w:p>
            <w:pPr>
              <w:pStyle w:val="TableContents"/>
              <w:bidi w:val="0"/>
              <w:spacing w:before="0" w:after="283"/>
              <w:jc w:val="center"/>
              <w:rPr/>
            </w:pPr>
            <w:r>
              <w:rPr/>
              <w:t> </w:t>
            </w:r>
          </w:p>
        </w:tc>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w:t>
              <w:br/>
              <w:t>which registered</w:t>
            </w:r>
          </w:p>
        </w:tc>
      </w:tr>
      <w:tr>
        <w:trPr/>
        <w:tc>
          <w:tcPr>
            <w:tcW w:w="6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Security12bTitle_c20231222"/>
            <w:bookmarkEnd w:id="19"/>
            <w:r>
              <w:rPr>
                <w:rFonts w:ascii="Times New Roman;Times;Serif" w:hAnsi="Times New Roman;Times;Serif"/>
                <w:sz w:val="20"/>
              </w:rPr>
              <w:t>Units, each consisting of one share of Class A Common Stock and one Redeemable Warrant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31222__2"/>
            <w:bookmarkEnd w:id="20"/>
            <w:r>
              <w:rPr>
                <w:rFonts w:ascii="Times New Roman;Times;Serif" w:hAnsi="Times New Roman;Times;Serif"/>
                <w:sz w:val="20"/>
              </w:rPr>
              <w:t>BRKHU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SecurityExchangeName_c2023"/>
            <w:bookmarkEnd w:id="21"/>
            <w:r>
              <w:rPr>
                <w:rFonts w:ascii="Times New Roman;Times;Serif" w:hAnsi="Times New Roman;Times;Serif"/>
                <w:sz w:val="20"/>
              </w:rPr>
              <w:t>The Nasdaq Stock Market LLC</w:t>
            </w:r>
          </w:p>
        </w:tc>
      </w:tr>
      <w:tr>
        <w:trPr/>
        <w:tc>
          <w:tcPr>
            <w:tcW w:w="6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9_edei--Security12bTitle_c20231222"/>
            <w:bookmarkEnd w:id="22"/>
            <w:r>
              <w:rPr>
                <w:rFonts w:ascii="Times New Roman;Times;Serif" w:hAnsi="Times New Roman;Times;Serif"/>
                <w:sz w:val="20"/>
              </w:rPr>
              <w:t>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7_edei--TradingSymbol_c20231222__2"/>
            <w:bookmarkEnd w:id="23"/>
            <w:r>
              <w:rPr>
                <w:rFonts w:ascii="Times New Roman;Times;Serif" w:hAnsi="Times New Roman;Times;Serif"/>
                <w:sz w:val="20"/>
              </w:rPr>
              <w:t>BRKH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9_edei--SecurityExchangeName_c2023"/>
            <w:bookmarkEnd w:id="24"/>
            <w:r>
              <w:rPr>
                <w:rFonts w:ascii="Times New Roman;Times;Serif" w:hAnsi="Times New Roman;Times;Serif"/>
                <w:sz w:val="20"/>
              </w:rPr>
              <w:t>The Nasdaq Stock Market LLC</w:t>
            </w:r>
          </w:p>
        </w:tc>
      </w:tr>
      <w:tr>
        <w:trPr/>
        <w:tc>
          <w:tcPr>
            <w:tcW w:w="6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3_edei--Security12bTitle_c20231222"/>
            <w:bookmarkEnd w:id="25"/>
            <w:r>
              <w:rPr>
                <w:rFonts w:ascii="Times New Roman;Times;Serif" w:hAnsi="Times New Roman;Times;Serif"/>
                <w:sz w:val="20"/>
              </w:rPr>
              <w:t>Warrants, each exercisable for one share of Class A Common Stock for $11.50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8_edei--TradingSymbol_c20231222__2"/>
            <w:bookmarkEnd w:id="26"/>
            <w:r>
              <w:rPr>
                <w:rFonts w:ascii="Times New Roman;Times;Serif" w:hAnsi="Times New Roman;Times;Serif"/>
                <w:sz w:val="20"/>
              </w:rPr>
              <w:t>BRKHW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7" w:name="xdx_904_edei--SecurityExchangeName_c2023"/>
            <w:bookmarkEnd w:id="27"/>
            <w:r>
              <w:rPr>
                <w:rFonts w:ascii="Times New Roman;Times;Serif" w:hAnsi="Times New Roman;Times;Serif"/>
                <w:sz w:val="20"/>
              </w:rPr>
              <w:t>The Nasdaq Stock Market LLC</w:t>
            </w:r>
          </w:p>
        </w:tc>
      </w:tr>
    </w:tbl>
    <w:p>
      <w:pPr>
        <w:pStyle w:val="TextBody"/>
        <w:bidi w:val="0"/>
        <w:spacing w:before="0" w:after="0"/>
        <w:ind w:left="0" w:right="0" w:firstLine="720"/>
        <w:jc w:val="both"/>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A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4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December 22, 2023, BurTech Acquisition Corp., a publicly traded special purpose acquisition company incorporated under the laws of the State of Delaware (“</w:t>
      </w:r>
      <w:r>
        <w:rPr>
          <w:rFonts w:ascii="Times New Roman;Times;Serif" w:hAnsi="Times New Roman;Times;Serif"/>
          <w:b w:val="false"/>
          <w:i w:val="false"/>
          <w:caps w:val="false"/>
          <w:smallCaps w:val="false"/>
          <w:sz w:val="20"/>
          <w:u w:val="single"/>
        </w:rPr>
        <w:t>BurTech</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xml:space="preserve">”) by and among BurTech, BurTech Merger Sub Inc., a Delaware corporation and a direct, wholly owned subsidiary of BurTech (“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w:t>
      </w:r>
      <w:r>
        <w:rPr>
          <w:rFonts w:ascii="Times New Roman;Times;Serif" w:hAnsi="Times New Roman;Times;Serif"/>
          <w:b w:val="false"/>
          <w:i w:val="false"/>
          <w:caps w:val="false"/>
          <w:smallCaps w:val="false"/>
          <w:sz w:val="20"/>
          <w:u w:val="single"/>
        </w:rPr>
        <w:t>Blaize</w:t>
      </w:r>
      <w:r>
        <w:rPr>
          <w:rFonts w:ascii="Times New Roman;Times;Serif" w:hAnsi="Times New Roman;Times;Serif"/>
          <w:b w:val="false"/>
          <w:i w:val="false"/>
          <w:caps w:val="false"/>
          <w:smallCaps w:val="false"/>
          <w:sz w:val="20"/>
        </w:rPr>
        <w:t>”), and, solely for the limited purposes set forth therein, Burkhan Capital LLC, a Delaware limited liability company (“</w:t>
      </w:r>
      <w:r>
        <w:rPr>
          <w:rFonts w:ascii="Times New Roman;Times;Serif" w:hAnsi="Times New Roman;Times;Serif"/>
          <w:b w:val="false"/>
          <w:i w:val="false"/>
          <w:caps w:val="false"/>
          <w:smallCaps w:val="false"/>
          <w:sz w:val="20"/>
          <w:u w:val="single"/>
        </w:rPr>
        <w:t>Burkhan</w:t>
      </w:r>
      <w:r>
        <w:rPr>
          <w:rFonts w:ascii="Times New Roman;Times;Serif" w:hAnsi="Times New Roman;Times;Serif"/>
          <w:b w:val="false"/>
          <w:i w:val="false"/>
          <w:caps w:val="false"/>
          <w:smallCaps w:val="false"/>
          <w:sz w:val="20"/>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“Merger” and, collectively with the other transactions described in the Merger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In connection with the consummation of the Business Combination, BurTech will be renamed “Blaize Holdings, Inc.” (“New Blaize”).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further provides that as soon as reasonably practicable following the date of the Merger Agreement, Burkhan and/or its affiliates and/or nominees shall purchase from Blaize (i) convertible promissory notes of Blaize and (ii) a pre-funded warrant to purchase up to a number of shares of common stock of Blaize, par value $0.00001 per share (“</w:t>
      </w:r>
      <w:r>
        <w:rPr>
          <w:rFonts w:ascii="Times New Roman;Times;Serif" w:hAnsi="Times New Roman;Times;Serif"/>
          <w:b w:val="false"/>
          <w:i w:val="false"/>
          <w:caps w:val="false"/>
          <w:smallCaps w:val="false"/>
          <w:sz w:val="20"/>
          <w:u w:val="single"/>
        </w:rPr>
        <w:t>Blaize Common Stock</w:t>
      </w:r>
      <w:r>
        <w:rPr>
          <w:rFonts w:ascii="Times New Roman;Times;Serif" w:hAnsi="Times New Roman;Times;Serif"/>
          <w:b w:val="false"/>
          <w:i w:val="false"/>
          <w:caps w:val="false"/>
          <w:smallCaps w:val="false"/>
          <w:sz w:val="20"/>
        </w:rPr>
        <w:t>”), that, following the conversion of Blaize Common Stock 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pursuant to the Merger Agreement, would result in up to 6,833,333 shares of BurTech Class A common stock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for aggregate gross proceeds to Blaize of $25.0 million. Blaize issued the Warrant, which has an aggregate exercise price of $68,333.33 and an assumed purchase price of $68,333.33, to Burkhan concurrently with the execution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at the Effective Time, (A) the outstanding shares of Blaize Common Stock issued and outstanding immediately prior to the Effective Time, and following the conversion or exercise of the outstanding convertible notes, preferred stock and warrants of Blaize (but excluding any (i) shares of Blaize Common Stock held by Blaize as treasury stock, (ii) shares the holders of which perfect rights of appraisal under Delaware law, and (iii) shares of Blaize Common Stock subject to any Blaize restricted stock unit (“</w:t>
      </w:r>
      <w:r>
        <w:rPr>
          <w:rFonts w:ascii="Times New Roman;Times;Serif" w:hAnsi="Times New Roman;Times;Serif"/>
          <w:b w:val="false"/>
          <w:i w:val="false"/>
          <w:caps w:val="false"/>
          <w:smallCaps w:val="false"/>
          <w:sz w:val="20"/>
          <w:u w:val="single"/>
        </w:rPr>
        <w:t>RSU</w:t>
      </w:r>
      <w:r>
        <w:rPr>
          <w:rFonts w:ascii="Times New Roman;Times;Serif" w:hAnsi="Times New Roman;Times;Serif"/>
          <w:b w:val="false"/>
          <w:i w:val="false"/>
          <w:caps w:val="false"/>
          <w:smallCaps w:val="false"/>
          <w:sz w:val="20"/>
        </w:rPr>
        <w:t>”) and Blaize stock option that will be assumed) will be cancelled in exchange for the right to receive a number of shares of BurTech Class A common stock (rounded up to the nearest whole share) equal to the quotient obtained by dividing (a) 77,000,000 by (b) the Aggregate Company Shares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(B) each Blaize stock option that is outstanding and unexercised as of immediately prior to the Effective Time will be converted into an option to purchase shares of BurTech Class A common stock (“</w:t>
      </w:r>
      <w:r>
        <w:rPr>
          <w:rFonts w:ascii="Times New Roman;Times;Serif" w:hAnsi="Times New Roman;Times;Serif"/>
          <w:b w:val="false"/>
          <w:i w:val="false"/>
          <w:caps w:val="false"/>
          <w:smallCaps w:val="false"/>
          <w:sz w:val="20"/>
          <w:u w:val="single"/>
        </w:rPr>
        <w:t>New Blaize Options</w:t>
      </w:r>
      <w:r>
        <w:rPr>
          <w:rFonts w:ascii="Times New Roman;Times;Serif" w:hAnsi="Times New Roman;Times;Serif"/>
          <w:b w:val="false"/>
          <w:i w:val="false"/>
          <w:caps w:val="false"/>
          <w:smallCaps w:val="false"/>
          <w:sz w:val="20"/>
        </w:rPr>
        <w:t>”) as set forth in the Merger Agreement, and (C) each Blaize RSU that is outstanding and unsettled as of immediately prior to the Effective Time will be converted into an award of RSUs relating to shares of BurTech Class A common stock (“</w:t>
      </w:r>
      <w:r>
        <w:rPr>
          <w:rFonts w:ascii="Times New Roman;Times;Serif" w:hAnsi="Times New Roman;Times;Serif"/>
          <w:b w:val="false"/>
          <w:i w:val="false"/>
          <w:caps w:val="false"/>
          <w:smallCaps w:val="false"/>
          <w:sz w:val="20"/>
          <w:u w:val="single"/>
        </w:rPr>
        <w:t>New Blaize RSUs</w:t>
      </w:r>
      <w:r>
        <w:rPr>
          <w:rFonts w:ascii="Times New Roman;Times;Serif" w:hAnsi="Times New Roman;Times;Serif"/>
          <w:b w:val="false"/>
          <w:i w:val="false"/>
          <w:caps w:val="false"/>
          <w:smallCaps w:val="false"/>
          <w:sz w:val="20"/>
        </w:rPr>
        <w:t>”) as set forth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Company Shares</w:t>
      </w:r>
      <w:r>
        <w:rPr>
          <w:rFonts w:ascii="Times New Roman;Times;Serif" w:hAnsi="Times New Roman;Times;Serif"/>
          <w:b w:val="false"/>
          <w:i w:val="false"/>
          <w:caps w:val="false"/>
          <w:smallCaps w:val="false"/>
          <w:sz w:val="20"/>
        </w:rPr>
        <w:t>” means, without duplication, (i) the sum of the number of shares of Blaize Common Stock that are (a) issued and outstanding immediately prior to the Effective Time (following the conversion or exercise of the outstanding convertible notes, preferred stock and warrants of Blaize but excluding any shares of Burkhan Company Stock (as defined in the Merger Agreement), and any treasury stock to be cancelled) and (b) issuable upon the exercise or settlement of Blaize stock awards (in each case, whether or not vested or currently exercisable) that are outstanding immediately prior to the Effective Time minus (ii) a number of shares of Blaize Common Stock equal to the quotient of (x) the sum of the aggregate cash exercise prices of all Blaize stock options divided by (y) the Exchange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16.3 million shares of New Blaize common stock may be issued as earnout shares (the “</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for a period from the closing of the Business Combination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until the five-year anniversary thereof (the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in accordance with the schedule set forth in the Merger Agreement. The earnout shares are to be issued to Burkhan and shareholders of Blaize contingent, in each case, on the closing stock price of the New Blaize common stock exceeding the following thresholds: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closing stock price of New Blaize common stock is greater than or equal to $12.50 per share for 20 trading days within any 30 consecutive trading day period during the Earnout Period, then (i) 3,750,000 Earnout Shares will be issued to Blaize shareholders and (ii) 325,000 Earnout Shares will be issued to Burkhan;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closing stock price of New Blaize common stock is greater than or equal to $15.00 per share for 20 trading days within any 30 consecutive trading day period during the Earnout Period, then (i) 3,750,000 Earnout Shares will be issued to Blaize shareholders and (ii) 325,000 Earnout Shares will be issued to Burkhan;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closing stock price of New Blaize common stock is greater than or equal to $17.50 per share for 20 trading days within any 30 consecutive trading day period during the Earnout Period, then (i) 3,750,000 Earnout Shares will be issued to Blaize shareholders and (ii) 325,000 Earnout Shares will be issued to Burkhan;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closing stock price of New Blaize common stock is greater than or equal to $20.00 per share for 20 trading days within any 30 consecutive trading day period during the Earnout Period, then (i) 3,750,000 Earnout Shares will be issued to Blaize shareholders and (ii) 325,000 Earnout Shares will be issued to Burkhan.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Blaize shareholders and Burkhan will be entitled to receive all of the remaining Earnout Shares that have not previously been issued to Blaize shareholders and Burkhan in the event there occurs a transaction resulting in a change in control of New Blaize or Blaize during the Earnout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is subject to the satisfaction or waiver of certain customary closing conditions, including, among others, (i) approval of the Business Combination and related agreements and transactions by the respective shareholders of BurTech and Blaize, (ii) effectiveness of the registration statement on Form S-4 to be filed by BurTech in connection with the Business Combination, (iii) expiration or termination of the waiting period under the Hart-Scott-Rodino Antitrust Improvements Act, if applicable, (iv) approval of the Business Combination under the United Kingdom’s National Security and Investment Act 2021, (v) the absence of any injunction, order, statute, rule, or regulation enjoining or prohibiting the consummation of the Merger, and (vi) receipt of approval for listing on Nasdaq the shares of New Blaize common stock to be issued in connection with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conditions to BurTech’s obligations to consummate the Merger include, among others, that as of the Closing, (i) the representations and warranties of Blaize being true and correct, subject to the materiality standards contained in the Merger Agreement, (ii) Blaize shall have performed all covenants required to be performed by Blaize in all material respects, (iii) no Company Material Adverse Effect (as defined in the Merger Agreement) shall have occurred between the date of the Merger Agreement and Closing and be continuing, and (iv) Blaize shall have effectuated the conversion or exercise of the outstanding convertible notes, preferred stock and warrants of Blaize.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conditions to Blaize’s obligations to consummate the Merger include, among others, that as of the Closing, (i) the representations and warranties of BurTech and Merger Sub being true and correct, subject to the materiality standards contained in the Merger Agreement, (ii) BurTech shall have performed all covenants required to be performed by BurTech in all material respects, (iii) no Acquiror Material Adverse Effect (as defined in the Merger Agreement) shall have occurred between the date of the Merger Agreement and Closing and be continuing, (iv) the amount of cash available in the trust account into which substantially all of the proceeds of BurTech’s initial public offering and private placement of its warrants have been deposited for the benefit of its public shareholders following redemptions by BurTech’s stockholders in connection with the BurTech stockholder meeting held for purposes of approving the Business Combination (the “</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plus the proceeds of any financing transaction of BurTech or Blaize prior to the Closing, plus the aggregate gross proceeds of $5.0 million received by Blaize pursuant to a previous convertible note financing transaction, and subject to the deductions and conditions set forth in the Merger Agreement, including deductions for certain BurTech and Blaize transaction expenses, is equal to or greater than $125,000,000 and (v) other than persons designated by the parties to the Merger Agreement to be nominated for election to the board of directors of New Blaize in accordance with the terms of the Merger Agreement, all members of the board of directors and executive officers of BurTech shall have executed written resignations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additional covenants, including, among others, providing for (i) the parties to use commercially reasonable efforts to conduct their respective businesses in the ordinary course through the Closing, (ii) Blaize to prepare and deliver to BurTech certain audited and unaudited consolidated financial statements of Blaize, (iii) BurTech to prepare and file a registration statement on Form S-4 and take certain other actions to obtain the requisite approval of BurTech shareholders of certain proposals regarding the Business Combination and (iv) the parties to use reasonable best efforts to obtain necessary approvals from governmental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and warranties by BurTech, Merger Sub and Blaize that are customary for transactions of this type. The representations and warranties of the respective parties to the Merger Agreement will not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at any time prior to the Closing (i) by mutual written consent of BurTech and Blaize, (ii) by BurTech or Blaize, if requisite approvals of the shareholders of BurTech are not obtained as set forth therein, (iii) by Blaize if there is a Modification in Recommendation (as defined in the Merger Agreement), (iv) by BurTech if requisite approvals of the shareholders of Blaize are not obtained as soon as reasonably practicable following the effectiveness of the registration statement on Form S-4 to be filed by BurTech in connection with the Business Combination, (v) by Blaize if Burkhan, its affiliates and/or nominees fail to fund certain principal amounts of the Burkhan Convertible Notes (as defined in the Merger Agreement) on the terms and subject to the conditions set forth in the Merger Agreement and (vi) by either BurTech or Blaize in certain other circumstances set forth in the Merger Agreement, including (a) if any Governmental Authority (as defined in the Merger Agreement) shall have issued or otherwise entered a final, nonappealable order making consummation of the Merger illegal or otherwise preventing or prohibiting consummation of the Merger, (b) in the event of certain uncured breaches by the other party or (c) if the Closing has not occurred on or before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the date of the Merger Agreement and the Closing, BurTech has agreed that it will not, directly or indirectly, (i) encourage, solicit, initiate, facilitate or continue inquiries regarding a Business Combination Proposal (as defined below); (ii) enter into discussions or negotiations with, or provide any information to, any person concerning a possible Business Combination Proposal; or (iii) enter into any agreements or other instruments (whether or not binding) regarding a Business Combination Proposal. BurTech also agreed to cease and cause to be terminated any existing discussions or negotiations with any persons (other than Blaize and its representatives) previously conducted with respect to, or that could lead to, any Business Combination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BurTech is not restricted from responding to unsolicited inbound inquiries to the extent required for the board of directors of BurTech to comply with its fiduciary duties. “</w:t>
      </w:r>
      <w:r>
        <w:rPr>
          <w:rFonts w:ascii="Times New Roman;Times;Serif" w:hAnsi="Times New Roman;Times;Serif"/>
          <w:b w:val="false"/>
          <w:i w:val="false"/>
          <w:caps w:val="false"/>
          <w:smallCaps w:val="false"/>
          <w:sz w:val="20"/>
          <w:u w:val="single"/>
        </w:rPr>
        <w:t>Business Combination Proposal</w:t>
      </w:r>
      <w:r>
        <w:rPr>
          <w:rFonts w:ascii="Times New Roman;Times;Serif" w:hAnsi="Times New Roman;Times;Serif"/>
          <w:b w:val="false"/>
          <w:i w:val="false"/>
          <w:caps w:val="false"/>
          <w:smallCaps w:val="false"/>
          <w:sz w:val="20"/>
        </w:rPr>
        <w:t>” means any offer, inquiry, proposal or indication of interest (whether written or oral, binding or non-binding), relating to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date of the Merger Agreement and the Closing, Blaize has agreed that it will not, directly or indirectly, (i) encourage, solicit, initiate, facilitate or continue inquiries regarding a Company Acquisition Proposal (as defined below); (ii) enter into discussions or negotiations with, or provide any information to, any person concerning a possible Company Acquisition Proposal; or (iii) enter into any agreements or other instruments (whether or not binding) regarding a Company Acquisition Proposal. The Company also agreed that it will cease and cause to be terminated any existing discussions or negotiations with any persons (other than BurTech and its representatives) previously conducted with respect to, or that could lead to, any Company Acquisition Proposal. “</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Blaize or any of its subsidiaries, excluding, for the avoidance of doubt, any Company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Financing” means, subject to certain limited exceptions contained in the Merger Agreement, a private placement of (i) secured convertible promissory notes of Blaize by, or any other form of investment in or financing of (either directly or indirectly), Blaize that is consummated with Burkhan and/or its affiliates and/or nominees after December 22, 2023 and prior to or substantially concurrently with the Closing providing up to an aggregate amount of $25.0 million to Blaize, and (ii) equity, equity-linked or debt securities of Blaize by, or any other form of investment or financing of (either director or indirectly), Blaize that is consummated with any person (other than Burkhan and/or its affiliates and/or nominees) after December 22, 2023 and prior to or substantially concurrently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under applicable rules of the Nasdaq Global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BurTech will use its reasonable best efforts to cause the shares of BurTech Class A common stock to be issued in connection with the Business Combination to be approved for listing on Nasdaq at the Closing. Until the Closing, BurTech must use its reasonable best efforts to cause BurTech to remain listed as a public company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Ancillary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2023, concurrently with the execution of the Merger Agreement, certain stockholders of Blaize entered into a Company Support Agreement (the “</w:t>
      </w:r>
      <w:r>
        <w:rPr>
          <w:rFonts w:ascii="Times New Roman;Times;Serif" w:hAnsi="Times New Roman;Times;Serif"/>
          <w:b w:val="false"/>
          <w:i w:val="false"/>
          <w:caps w:val="false"/>
          <w:smallCaps w:val="false"/>
          <w:sz w:val="20"/>
          <w:u w:val="single"/>
        </w:rPr>
        <w:t>Company Support Agreement</w:t>
      </w:r>
      <w:r>
        <w:rPr>
          <w:rFonts w:ascii="Times New Roman;Times;Serif" w:hAnsi="Times New Roman;Times;Serif"/>
          <w:b w:val="false"/>
          <w:i w:val="false"/>
          <w:caps w:val="false"/>
          <w:smallCaps w:val="false"/>
          <w:sz w:val="20"/>
        </w:rPr>
        <w:t>”) with BurTech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Company Capital Stock (as defined in the Company Support Agreement), subject to certain exceptions, and termination of certain stockholder agreements and other affiliate agreements of Blaize.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2023, concurrently with the execution of the Merger Agreement, BurTech and Blaize entered into an agreement (the “</w:t>
      </w:r>
      <w:r>
        <w:rPr>
          <w:rFonts w:ascii="Times New Roman;Times;Serif" w:hAnsi="Times New Roman;Times;Serif"/>
          <w:b w:val="false"/>
          <w:i w:val="false"/>
          <w:caps w:val="false"/>
          <w:smallCaps w:val="false"/>
          <w:sz w:val="20"/>
          <w:u w:val="single"/>
        </w:rPr>
        <w:t>Sponsor Support Agreement</w:t>
      </w:r>
      <w:r>
        <w:rPr>
          <w:rFonts w:ascii="Times New Roman;Times;Serif" w:hAnsi="Times New Roman;Times;Serif"/>
          <w:b w:val="false"/>
          <w:i w:val="false"/>
          <w:caps w:val="false"/>
          <w:smallCaps w:val="false"/>
          <w:sz w:val="20"/>
        </w:rPr>
        <w:t>”) with BurTech LP LLC, a Delaware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pursuant to which, among other things, in connection with the Closing, the Sponsor agreed to (i) vote all its shares of BurTech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is sought, (ii) vote against and withhold consent with respect to any Business Combination Proposal or other business combination transaction (other than the Merger Agreement and the Business Combination), (iii) vote against any proposal, action or agreement that would (a) impede, frustrate, prevent or nullify any provision of the Sponsor Support Agreements, the Merger Agreement or the timely consummation of the Merger, (b) result in a breach in any respect of any covenant, representation, warranty or any other obligation or agreement of BurTech or Merger Sub under the Merger Agreement, (c) result in any of the conditions set forth in the Merger Agreement not being fulfilled or (d) result in a breach of any covenant, representation or warranty or other obligation or agreement of the Sponsor contained in the Sponsor Support Agreements, (iv) waive any adjustment to the conversion ratio or any other anti-dilution or similar protection set forth in the governing documents of BurTech with respect to the Class B common stock of BurTech, in each case, on the terms and subject to the conditions set forth in the Sponsor Support Agreement, and (v) be bound by certain other covenants and agreements related to the Business Combination, including a restriction on the transfer of BurTech Class B common stock and private placement units of BurTech,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contemplates that, at the Closing, New Blaize, the Sponsor, certain significant securityholders of Blaize and certain of their respective affiliates will enter into an Amended and Restated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New Blaize will agree to register for resale, pursuant to Rule 415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certain shares of New Blaize common stock and other equity securities of New Blaize that are held by the parties thereto from time to time on the terms and subject to the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contemplates that, at the Closing, New Blaize will enter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contemplates that, at the Closing, New Blaize will enter into a stockholders’ agreement (the “</w:t>
      </w:r>
      <w:r>
        <w:rPr>
          <w:rFonts w:ascii="Times New Roman;Times;Serif" w:hAnsi="Times New Roman;Times;Serif"/>
          <w:b w:val="false"/>
          <w:i w:val="false"/>
          <w:caps w:val="false"/>
          <w:smallCaps w:val="false"/>
          <w:sz w:val="20"/>
          <w:u w:val="single"/>
        </w:rPr>
        <w:t>Stockholders Agreement</w:t>
      </w:r>
      <w:r>
        <w:rPr>
          <w:rFonts w:ascii="Times New Roman;Times;Serif" w:hAnsi="Times New Roman;Times;Serif"/>
          <w:b w:val="false"/>
          <w:i w:val="false"/>
          <w:caps w:val="false"/>
          <w:smallCaps w:val="false"/>
          <w:sz w:val="20"/>
        </w:rPr>
        <w:t>”), with the Sponsor, Burkhan and certain other controlled affiliates of Burkhan (collectively, the “</w:t>
      </w:r>
      <w:r>
        <w:rPr>
          <w:rFonts w:ascii="Times New Roman;Times;Serif" w:hAnsi="Times New Roman;Times;Serif"/>
          <w:b w:val="false"/>
          <w:i w:val="false"/>
          <w:caps w:val="false"/>
          <w:smallCaps w:val="false"/>
          <w:sz w:val="20"/>
          <w:u w:val="single"/>
        </w:rPr>
        <w:t>Stockholder Group</w:t>
      </w:r>
      <w:r>
        <w:rPr>
          <w:rFonts w:ascii="Times New Roman;Times;Serif" w:hAnsi="Times New Roman;Times;Serif"/>
          <w:b w:val="false"/>
          <w:i w:val="false"/>
          <w:caps w:val="false"/>
          <w:smallCaps w:val="false"/>
          <w:sz w:val="20"/>
        </w:rPr>
        <w:t>”),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Merger Agreement, the Company Support Agreement, the Sponsor Support Agreement, the Registration Rights Agreement, the Lock-up Agreement, and the Stockholders’ Agreement and the transactions and documents contemplated thereby, are not complete and are subject to and qualified in their entirety by reference to the Merger Agreement, the Company Support Agreement, the Sponsor Support Agreement, the form of Registration Rights Agreement, the form of Lock-up Agreement, and the form of Stockholders’ Agreement, copies of which are filed with this Current Report on Form 8-K as Exhibit 2.1, Exhibit 10.1, Exhibit 10.2, Exhibit 10.3, Exhibit 10.4, and Exhibit 10.5 respectively, and the terms of which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the Company Support Agreement, the Sponsor Support Agreement, the Registration Rights Agreement, the Lock-up Agreement, and the Stockholders’ Agreement and the other documents related thereto (collectively, the “Transaction Documents”) have been included to provide investors with information regarding their terms. They are not intended to provide any other factual information about BurTech, Blaize or their respective affiliates. The representations, warranties, covenants and agreements contained in the Transaction Documents were made only for purposes of the Merger Agreement as of the specific dates therein, were solely for the benefit of the parties to the Transaction Documents and may be subject to limitations agreed upon by the contracting parties, including being qualified by confidential disclosures made for the purposes of allocating contractual risk between the parties to the Transaction Documents instead of establishing these matters as facts, and may be subject to standards of materiality applicable to the contracting parties that differ from those applicable to investors. Investors are not third-party beneficiaries under the Transaction Documents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applicable dates of the Transaction Documents, which subsequent information may or may not be fully reflected in BurTech’s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BurTech intends to file with the SEC a Registration Statement on Form S-4 with the U.S. Securities and Exchange Commission (“SEC”), which will include a preliminary prospectus and proxy statement of BurTech in connection with the Business Combination, referred to as a proxy statement/prospectus (the “Registration Statement”),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5"/>
        <w:gridCol w:w="60"/>
        <w:gridCol w:w="9000"/>
      </w:tblGrid>
      <w:tr>
        <w:trPr/>
        <w:tc>
          <w:tcPr>
            <w:tcW w:w="1145" w:type="dxa"/>
            <w:tcBorders>
              <w:bottom w:val="single" w:sz="8"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left"/>
              <w:rPr/>
            </w:pPr>
            <w:r>
              <w:rPr/>
              <w:t> </w:t>
            </w:r>
          </w:p>
        </w:tc>
        <w:tc>
          <w:tcPr>
            <w:tcW w:w="9000" w:type="dxa"/>
            <w:tcBorders>
              <w:bottom w:val="single" w:sz="8" w:space="0" w:color="000000"/>
            </w:tcBorders>
            <w:vAlign w:val="center"/>
          </w:tcPr>
          <w:p>
            <w:pPr>
              <w:pStyle w:val="TableContents"/>
              <w:bidi w:val="0"/>
              <w:spacing w:before="0" w:after="283"/>
              <w:jc w:val="both"/>
              <w:rPr/>
            </w:pPr>
            <w:r>
              <w:rPr/>
              <w:t>Description</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2-1.htm">
              <w:r>
                <w:rPr>
                  <w:rStyle w:val="InternetLink"/>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2-1.htm">
              <w:r>
                <w:rPr>
                  <w:rStyle w:val="InternetLink"/>
                </w:rPr>
                <w:t>Agreement and Plan of Merger, dated as of December 22, 2023 by and among BurTech Acquisition Corp., BurTech Merger Sub Inc., Blaize, Inc. and Burkhan Capital LLC.</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10-1.htm">
              <w:r>
                <w:rPr>
                  <w:rStyle w:val="InternetLink"/>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10-1.htm">
              <w:r>
                <w:rPr>
                  <w:rStyle w:val="InternetLink"/>
                </w:rPr>
                <w:t>Stockholder Support Agreement, dated as of December 22, 2023, by and among BurTech Acquisition Corp., Blaize, Inc. and certain stockholder parties thereto.</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10-2.htm">
              <w:r>
                <w:rPr>
                  <w:rStyle w:val="InternetLink"/>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10-2.htm">
              <w:r>
                <w:rPr>
                  <w:rStyle w:val="InternetLink"/>
                </w:rPr>
                <w:t>Sponsor Support Agreement, dated as of December 22, 2023, by and among BurTech LP LLC, BurTech Acquisition Corp., Blaize Inc. and the insider parties thereto.</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10-3.htm">
              <w:r>
                <w:rPr>
                  <w:rStyle w:val="InternetLink"/>
                </w:rPr>
                <w:t>10.3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10-3.htm">
              <w:r>
                <w:rPr>
                  <w:rStyle w:val="InternetLink"/>
                </w:rPr>
                <w:t>Form of Registration Rights Agreement by and among BurTech Acquisition Corp., BurTech LP LLC and the holder parties thereto.</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10-4.htm">
              <w:r>
                <w:rPr>
                  <w:rStyle w:val="InternetLink"/>
                </w:rPr>
                <w:t>10.4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10-4.htm">
              <w:r>
                <w:rPr>
                  <w:rStyle w:val="InternetLink"/>
                </w:rPr>
                <w:t>Form of Lock-up Agreement by and among Blaize Holdings, Inc. and the securityholders thereto.</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hyperlink w:anchor="tm2333322d3_ex10-5.htm">
              <w:r>
                <w:rPr>
                  <w:rStyle w:val="InternetLink"/>
                </w:rPr>
                <w:t>10.5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hyperlink w:anchor="tm2333322d3_ex10-5.htm">
              <w:r>
                <w:rPr>
                  <w:rStyle w:val="InternetLink"/>
                </w:rPr>
                <w:t>Form of Stockholders’ Agreement by and among Blaize Holdings, Inc., BurTech LP LLC, Burkhan Capital LLC and the stockholders thereto.</w:t>
              </w:r>
            </w:hyperlink>
          </w:p>
        </w:tc>
      </w:tr>
      <w:tr>
        <w:trPr/>
        <w:tc>
          <w:tcPr>
            <w:tcW w:w="1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00" w:type="dxa"/>
            <w:tcBorders/>
            <w:shd w:fill="FFFFFF" w:val="clear"/>
            <w:tcMar>
              <w:bottom w:w="0" w:type="dxa"/>
            </w:tcMar>
            <w:vAlign w:val="center"/>
          </w:tcPr>
          <w:p>
            <w:pPr>
              <w:pStyle w:val="TableContents"/>
              <w:bidi w:val="0"/>
              <w:spacing w:before="0" w:after="283"/>
              <w:jc w:val="both"/>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00"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pPr>
            <w:r>
              <w:rPr/>
              <w:t>The schedules to this Exhibit have been omitted in accordance with Regulation S-K Item 601(b)(2). BurTech agrees to furnish supplementally a copy of any omitted schedule to the SEC upon its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480"/>
        <w:gridCol w:w="710"/>
        <w:gridCol w:w="2300"/>
      </w:tblGrid>
      <w:tr>
        <w:trPr/>
        <w:tc>
          <w:tcPr>
            <w:tcW w:w="248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BurTech Acquisition Corp.</w:t>
            </w:r>
          </w:p>
        </w:tc>
      </w:tr>
      <w:tr>
        <w:trPr/>
        <w:tc>
          <w:tcPr>
            <w:tcW w:w="24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Date: December 28, 2023</w:t>
            </w:r>
          </w:p>
        </w:tc>
        <w:tc>
          <w:tcPr>
            <w:tcW w:w="71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Shahal Khan</w:t>
            </w:r>
          </w:p>
        </w:tc>
      </w:tr>
      <w:tr>
        <w:trPr/>
        <w:tc>
          <w:tcPr>
            <w:tcW w:w="24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Shahal Khan</w:t>
            </w:r>
          </w:p>
        </w:tc>
      </w:tr>
      <w:tr>
        <w:trPr/>
        <w:tc>
          <w:tcPr>
            <w:tcW w:w="24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tm2333322d3_ex2-1.htm"/>
      <w:bookmarkStart w:id="31" w:name="kstm2333322d3_ex21"/>
      <w:bookmarkEnd w:id="30"/>
      <w:bookmarkEnd w:id="31"/>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MERGER SUB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BLAIZE,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BURKHAN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limited purposes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1541"/>
        <w:gridCol w:w="4853"/>
        <w:gridCol w:w="455"/>
      </w:tblGrid>
      <w:tr>
        <w:trPr/>
        <w:tc>
          <w:tcPr>
            <w:tcW w:w="1541" w:type="dxa"/>
            <w:tcBorders/>
            <w:vAlign w:val="center"/>
          </w:tcPr>
          <w:p>
            <w:pPr>
              <w:pStyle w:val="TableContents"/>
              <w:bidi w:val="0"/>
              <w:spacing w:before="0" w:after="283"/>
              <w:jc w:val="left"/>
              <w:rPr/>
            </w:pPr>
            <w:r>
              <w:rPr/>
              <w:t> </w:t>
            </w:r>
          </w:p>
        </w:tc>
        <w:tc>
          <w:tcPr>
            <w:tcW w:w="4853"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1541" w:type="dxa"/>
            <w:tcBorders/>
            <w:vAlign w:val="center"/>
          </w:tcPr>
          <w:p>
            <w:pPr>
              <w:pStyle w:val="TableContents"/>
              <w:bidi w:val="0"/>
              <w:spacing w:before="0" w:after="283"/>
              <w:jc w:val="left"/>
              <w:rPr/>
            </w:pPr>
            <w:r>
              <w:rPr/>
              <w:t> </w:t>
            </w:r>
          </w:p>
        </w:tc>
        <w:tc>
          <w:tcPr>
            <w:tcW w:w="4853"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r>
      <w:tr>
        <w:trPr/>
        <w:tc>
          <w:tcPr>
            <w:tcW w:w="6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 CERTAIN 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Knowledge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Equitable Adjustments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6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THE MERGER; CLOSING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the Merger</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Effective Time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Deliverables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2.5</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Documents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2.6</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2.7</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Intended Tax Treatment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2.8</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Schedule</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6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EFFECTS OF THE MERGER ON THE COMPANY SECURITIES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Burkhan Instruments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Shares</w:t>
            </w:r>
          </w:p>
        </w:tc>
        <w:tc>
          <w:tcPr>
            <w:tcW w:w="455" w:type="dxa"/>
            <w:tcBorders/>
            <w:vAlign w:val="center"/>
          </w:tcPr>
          <w:p>
            <w:pPr>
              <w:pStyle w:val="TableContents"/>
              <w:bidi w:val="0"/>
              <w:spacing w:before="0" w:after="283"/>
              <w:jc w:val="right"/>
              <w:rPr/>
            </w:pPr>
            <w:r>
              <w:rPr/>
              <w:t>29</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Fractional Shares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Procedures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Earnout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3.7</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Dissenting Shares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3.8</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Company Awards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63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THE COMPANY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Organization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Authorization</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Authorities; Consents</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5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4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of the Company</w:t>
            </w:r>
          </w:p>
        </w:tc>
        <w:tc>
          <w:tcPr>
            <w:tcW w:w="4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spacing w:before="0" w:after="283"/>
        <w:jc w:val="left"/>
        <w:rPr/>
      </w:pPr>
      <w:r>
        <w:rPr/>
        <w:t> </w:t>
      </w:r>
    </w:p>
    <w:tbl>
      <w:tblPr>
        <w:tblW w:w="8229" w:type="dxa"/>
        <w:jc w:val="left"/>
        <w:tblInd w:w="0" w:type="dxa"/>
        <w:tblLayout w:type="fixed"/>
        <w:tblCellMar>
          <w:top w:w="0" w:type="dxa"/>
          <w:left w:w="0" w:type="dxa"/>
          <w:bottom w:w="0" w:type="dxa"/>
          <w:right w:w="0" w:type="dxa"/>
        </w:tblCellMar>
      </w:tblPr>
      <w:tblGrid>
        <w:gridCol w:w="1673"/>
        <w:gridCol w:w="6026"/>
        <w:gridCol w:w="530"/>
      </w:tblGrid>
      <w:tr>
        <w:trPr/>
        <w:tc>
          <w:tcPr>
            <w:tcW w:w="1673"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1673"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of Subsidiaries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Undisclosed Liabilities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Proceedings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Compliance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Contracts; No Defaults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Benefit Plans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Relations; Employees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vAlign w:val="center"/>
          </w:tcPr>
          <w:p>
            <w:pPr>
              <w:pStyle w:val="TableContents"/>
              <w:bidi w:val="0"/>
              <w:spacing w:before="0" w:after="283"/>
              <w:jc w:val="right"/>
              <w:rPr/>
            </w:pPr>
            <w:r>
              <w:rPr/>
              <w:t>49</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 and Other Tangible Property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Property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Privacy and Cybersecurity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530" w:type="dxa"/>
            <w:tcBorders/>
            <w:vAlign w:val="center"/>
          </w:tcPr>
          <w:p>
            <w:pPr>
              <w:pStyle w:val="TableContents"/>
              <w:bidi w:val="0"/>
              <w:spacing w:before="0" w:after="283"/>
              <w:jc w:val="right"/>
              <w:rPr/>
            </w:pPr>
            <w:r>
              <w:rPr/>
              <w:t>59</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4.24</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4.25</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Compliance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4.26</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Sanctions and International Trade Compliance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4.27</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4.28</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4.29</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 Contracts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4.30</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Additional Representations or Warranties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76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REPRESENTATIONS AND WARRANTIES OF ACQUIROR AND MERGER SUB</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Organization</w:t>
            </w:r>
          </w:p>
        </w:tc>
        <w:tc>
          <w:tcPr>
            <w:tcW w:w="530" w:type="dxa"/>
            <w:tcBorders/>
            <w:vAlign w:val="center"/>
          </w:tcPr>
          <w:p>
            <w:pPr>
              <w:pStyle w:val="TableContents"/>
              <w:bidi w:val="0"/>
              <w:spacing w:before="0" w:after="283"/>
              <w:jc w:val="right"/>
              <w:rPr/>
            </w:pPr>
            <w:r>
              <w:rPr/>
              <w:t>63</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Authorization</w:t>
            </w:r>
          </w:p>
        </w:tc>
        <w:tc>
          <w:tcPr>
            <w:tcW w:w="530" w:type="dxa"/>
            <w:tcBorders/>
            <w:vAlign w:val="center"/>
          </w:tcPr>
          <w:p>
            <w:pPr>
              <w:pStyle w:val="TableContents"/>
              <w:bidi w:val="0"/>
              <w:spacing w:before="0" w:after="283"/>
              <w:jc w:val="right"/>
              <w:rPr/>
            </w:pPr>
            <w:r>
              <w:rPr/>
              <w:t>63</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6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60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Proceedings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spacing w:before="0" w:after="283"/>
        <w:jc w:val="left"/>
        <w:rPr/>
      </w:pPr>
      <w:r>
        <w:rPr/>
        <w:t> </w:t>
      </w:r>
    </w:p>
    <w:tbl>
      <w:tblPr>
        <w:tblW w:w="7350" w:type="dxa"/>
        <w:jc w:val="left"/>
        <w:tblInd w:w="0" w:type="dxa"/>
        <w:tblLayout w:type="fixed"/>
        <w:tblCellMar>
          <w:top w:w="0" w:type="dxa"/>
          <w:left w:w="0" w:type="dxa"/>
          <w:bottom w:w="0" w:type="dxa"/>
          <w:right w:w="0" w:type="dxa"/>
        </w:tblCellMar>
      </w:tblPr>
      <w:tblGrid>
        <w:gridCol w:w="1055"/>
        <w:gridCol w:w="5765"/>
        <w:gridCol w:w="530"/>
      </w:tblGrid>
      <w:tr>
        <w:trPr/>
        <w:tc>
          <w:tcPr>
            <w:tcW w:w="105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1055"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Filings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 Controls; Listing; Financial Statements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Authorities; Consents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Account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 JOBS Act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Changes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Undisclosed Liabilities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of Acquiror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Fees</w:t>
            </w:r>
          </w:p>
        </w:tc>
        <w:tc>
          <w:tcPr>
            <w:tcW w:w="530" w:type="dxa"/>
            <w:tcBorders/>
            <w:vAlign w:val="center"/>
          </w:tcPr>
          <w:p>
            <w:pPr>
              <w:pStyle w:val="TableContents"/>
              <w:bidi w:val="0"/>
              <w:spacing w:before="0" w:after="283"/>
              <w:jc w:val="right"/>
              <w:rPr/>
            </w:pPr>
            <w:r>
              <w:rPr/>
              <w:t>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Indebtedness</w:t>
            </w:r>
          </w:p>
        </w:tc>
        <w:tc>
          <w:tcPr>
            <w:tcW w:w="530" w:type="dxa"/>
            <w:tcBorders/>
            <w:vAlign w:val="center"/>
          </w:tcPr>
          <w:p>
            <w:pPr>
              <w:pStyle w:val="TableContents"/>
              <w:bidi w:val="0"/>
              <w:spacing w:before="0" w:after="283"/>
              <w:jc w:val="right"/>
              <w:rPr/>
            </w:pPr>
            <w:r>
              <w:rPr/>
              <w:t>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530" w:type="dxa"/>
            <w:tcBorders/>
            <w:vAlign w:val="center"/>
          </w:tcPr>
          <w:p>
            <w:pPr>
              <w:pStyle w:val="TableContents"/>
              <w:bidi w:val="0"/>
              <w:spacing w:before="0" w:after="283"/>
              <w:jc w:val="right"/>
              <w:rPr/>
            </w:pPr>
            <w:r>
              <w:rPr/>
              <w:t>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Activities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Market Quotation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Plans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5.19</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Additional Representation or Warranties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68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COVENANTS OF THE COMPANY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Inspection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and Delivery of Additional Company Financial Statements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 Agreements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68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 COVENANTS OF ACQUIROR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Account Proceeds and Related Available Equity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Acquiror Conduct of Business</w:t>
            </w:r>
          </w:p>
        </w:tc>
        <w:tc>
          <w:tcPr>
            <w:tcW w:w="530" w:type="dxa"/>
            <w:tcBorders/>
            <w:vAlign w:val="center"/>
          </w:tcPr>
          <w:p>
            <w:pPr>
              <w:pStyle w:val="TableContents"/>
              <w:bidi w:val="0"/>
              <w:spacing w:before="0" w:after="283"/>
              <w:jc w:val="right"/>
              <w:rPr/>
            </w:pPr>
            <w:r>
              <w:rPr/>
              <w:t>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Post-Closing Officers of Acquiror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7.5</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and Insurance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7.6</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Acquiror SEC Filings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7.7</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7.8</w:t>
            </w:r>
          </w:p>
        </w:tc>
        <w:tc>
          <w:tcPr>
            <w:tcW w:w="5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spacing w:before="0" w:after="283"/>
        <w:jc w:val="left"/>
        <w:rPr/>
      </w:pPr>
      <w:r>
        <w:rPr/>
        <w:t> </w:t>
      </w:r>
    </w:p>
    <w:tbl>
      <w:tblPr>
        <w:tblW w:w="9330" w:type="dxa"/>
        <w:jc w:val="left"/>
        <w:tblInd w:w="0" w:type="dxa"/>
        <w:tblLayout w:type="fixed"/>
        <w:tblCellMar>
          <w:top w:w="0" w:type="dxa"/>
          <w:left w:w="0" w:type="dxa"/>
          <w:bottom w:w="0" w:type="dxa"/>
          <w:right w:w="0" w:type="dxa"/>
        </w:tblCellMar>
      </w:tblPr>
      <w:tblGrid>
        <w:gridCol w:w="1055"/>
        <w:gridCol w:w="7745"/>
        <w:gridCol w:w="530"/>
      </w:tblGrid>
      <w:tr>
        <w:trPr/>
        <w:tc>
          <w:tcPr>
            <w:tcW w:w="1055"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1055"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7.9</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Incentive Plan; ESPP</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88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VIII JOINT COVENANTS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HSR Act; Other Filings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Proxy Statement / Registration Statement; Stockholders’ Meeting and Approvals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Support of Transaction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Taxes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 Matters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Cooperation; Consultation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Exclusivity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Litigation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8.9</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Fairness Opinion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88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IX CONDITIONS TO OBLIGATIONS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Acquiror, Merger Sub, and the Company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Obligations of Acquiror and Merger Sub</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to the Obligations of the Company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Frustration of Conditions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88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TERMINATION/EFFECTIVENESS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530" w:type="dxa"/>
            <w:tcBorders/>
            <w:vAlign w:val="center"/>
          </w:tcPr>
          <w:p>
            <w:pPr>
              <w:pStyle w:val="TableContents"/>
              <w:bidi w:val="0"/>
              <w:spacing w:before="0" w:after="283"/>
              <w:jc w:val="right"/>
              <w:rPr/>
            </w:pPr>
            <w:r>
              <w:rPr/>
              <w:t>99</w:t>
            </w:r>
          </w:p>
        </w:tc>
      </w:tr>
      <w:tr>
        <w:trPr/>
        <w:tc>
          <w:tcPr>
            <w:tcW w:w="88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XI MISCELLANEOUS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Account Waiver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11.2</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11.3</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11.4</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11.5</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Third Parties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11.6</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11.7</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11.8</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 Counterparts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11.9</w:t>
            </w:r>
          </w:p>
        </w:tc>
        <w:tc>
          <w:tcPr>
            <w:tcW w:w="7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and Acquiror Disclosure Letters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b/>
        </w:rPr>
      </w:pPr>
      <w:r>
        <w:rPr>
          <w:b/>
        </w:rPr>
        <w:t>TABLE OF CONTENTS</w:t>
      </w:r>
    </w:p>
    <w:p>
      <w:pPr>
        <w:pStyle w:val="TextBody"/>
        <w:bidi w:val="0"/>
        <w:jc w:val="center"/>
        <w:rPr/>
      </w:pPr>
      <w:r>
        <w:rPr/>
        <w:t>(continued)</w:t>
      </w:r>
    </w:p>
    <w:p>
      <w:pPr>
        <w:pStyle w:val="TextBody"/>
        <w:bidi w:val="0"/>
        <w:spacing w:before="0" w:after="283"/>
        <w:jc w:val="left"/>
        <w:rPr/>
      </w:pPr>
      <w:r>
        <w:rPr/>
        <w:t> </w:t>
      </w:r>
    </w:p>
    <w:tbl>
      <w:tblPr>
        <w:tblW w:w="6585" w:type="dxa"/>
        <w:jc w:val="left"/>
        <w:tblInd w:w="0" w:type="dxa"/>
        <w:tblLayout w:type="fixed"/>
        <w:tblCellMar>
          <w:top w:w="0" w:type="dxa"/>
          <w:left w:w="0" w:type="dxa"/>
          <w:bottom w:w="0" w:type="dxa"/>
          <w:right w:w="0" w:type="dxa"/>
        </w:tblCellMar>
      </w:tblPr>
      <w:tblGrid>
        <w:gridCol w:w="1160"/>
        <w:gridCol w:w="4895"/>
        <w:gridCol w:w="530"/>
      </w:tblGrid>
      <w:tr>
        <w:trPr/>
        <w:tc>
          <w:tcPr>
            <w:tcW w:w="11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rPr>
            </w:pPr>
            <w:r>
              <w:rPr>
                <w:b/>
              </w:rPr>
              <w:t>Page</w:t>
            </w:r>
          </w:p>
        </w:tc>
      </w:tr>
      <w:tr>
        <w:trPr/>
        <w:tc>
          <w:tcPr>
            <w:tcW w:w="11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11.10</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Agreement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11.11</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11.12</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11.13</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11.14</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Waiver of Jury Trial</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11.15</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Enforcement</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11.16</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Non-Recourse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11.17</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Non-Survival of Representations, Warranties and Covenants</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11.18</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Conflicts and Privilege</w:t>
            </w:r>
          </w:p>
        </w:tc>
        <w:tc>
          <w:tcPr>
            <w:tcW w:w="5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830"/>
        <w:gridCol w:w="5825"/>
      </w:tblGrid>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A</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Amended and Restated Certificate of Incorporation of Acquiror</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B</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Amended and Restated Bylaws of Acquiror</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C</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Company Support Agreement</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D</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Sponsor Support Agreement</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E</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Registration Rights Agreement</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F</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Lock-Up Agreement</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G</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Stockholders’ Agreement</w:t>
            </w:r>
          </w:p>
        </w:tc>
      </w:tr>
      <w:tr>
        <w:trPr/>
        <w:tc>
          <w:tcPr>
            <w:tcW w:w="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H</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Burkhan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December 22, 2023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by and among BurTech Acquisition Corp., a Delaware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BurTech Merger Sub Inc., a Delaware corporation and a direct wholly owned subsidiary of Acquiror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solely for purposes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Burkhan Capital LLC, a Delaware limited liability company (“</w:t>
      </w:r>
      <w:r>
        <w:rPr>
          <w:rFonts w:ascii="Times New Roman;Times;Serif" w:hAnsi="Times New Roman;Times;Serif"/>
          <w:b w:val="false"/>
          <w:i w:val="false"/>
          <w:caps w:val="false"/>
          <w:smallCaps w:val="false"/>
          <w:sz w:val="20"/>
          <w:u w:val="single"/>
        </w:rPr>
        <w:t>Burkhan</w:t>
      </w:r>
      <w:r>
        <w:rPr>
          <w:rFonts w:ascii="Times New Roman;Times;Serif" w:hAnsi="Times New Roman;Times;Serif"/>
          <w:b w:val="false"/>
          <w:i w:val="false"/>
          <w:caps w:val="false"/>
          <w:smallCaps w:val="false"/>
          <w:sz w:val="20"/>
        </w:rPr>
        <w:t xml:space="preserve">”). Acquiror, Merger Sub, the Company and, solely with respect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Burkhan are collectively referred to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Capitalized terms used and not otherwise defined herein have the meanings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 Acquiror is a special purpose acquisition company formed for the purpose of effecting a merger, capital stock exchange, asset acquisition, stock purchase, reorganization or similar business combination with one or more businesses and (b) Merger Sub is a newly formed, wholly owned, direct subsidiary of Acquiror that was formed for the purpose of consummating the transactions contemplated by this Agreement and the Ancillary Agreements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terms and subject to the conditions of this Agreement, and in accordance with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at the Closing, (i) Merger Sub will merge with and into the Company, the separate corporate existence of Merger Sub will cease and the Company will be the surviving corporation and a direct wholly owned subsidiary of Acquiror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(ii) Acquiror will change its name to “Blaize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prior to the Effective Time: (i) (a) the outstanding principal together with all accrued and unpaid interest on the Company Convertible Notes (as defined below) will automatically be converted into a number of shares of Company Common Stock (as defined below) in accordance with the terms of such Company Convertible Notes and the Company Convertible Note Purchase Agreements, as applicable and (b) each share of Company Preferred Stock (as defined below) will be converted into one share of Company Common Stock (collectively, the “</w:t>
      </w:r>
      <w:r>
        <w:rPr>
          <w:rFonts w:ascii="Times New Roman;Times;Serif" w:hAnsi="Times New Roman;Times;Serif"/>
          <w:b w:val="false"/>
          <w:i w:val="false"/>
          <w:caps w:val="false"/>
          <w:smallCaps w:val="false"/>
          <w:sz w:val="20"/>
          <w:u w:val="single"/>
        </w:rPr>
        <w:t>Company Security Conversion</w:t>
      </w:r>
      <w:r>
        <w:rPr>
          <w:rFonts w:ascii="Times New Roman;Times;Serif" w:hAnsi="Times New Roman;Times;Serif"/>
          <w:b w:val="false"/>
          <w:i w:val="false"/>
          <w:caps w:val="false"/>
          <w:smallCaps w:val="false"/>
          <w:sz w:val="20"/>
        </w:rPr>
        <w:t>”); and (ii) unless otherwise exercised prior to the Effective Time, the outstanding Company Warrants will, as applicable, automatically (x) expire or (y) be exercised in full for shares of Company Common Stock, in each case, in accordance with the terms of such Company Warrant (the “</w:t>
      </w:r>
      <w:r>
        <w:rPr>
          <w:rFonts w:ascii="Times New Roman;Times;Serif" w:hAnsi="Times New Roman;Times;Serif"/>
          <w:b w:val="false"/>
          <w:i w:val="false"/>
          <w:caps w:val="false"/>
          <w:smallCaps w:val="false"/>
          <w:sz w:val="20"/>
          <w:u w:val="single"/>
        </w:rPr>
        <w:t>Warrant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Effective Time (and, for the avoidance of doubt, following the Company Security Conversion, the Warrant Event and the Burkhan Conversion Event), each share of the Company Common Stock, will be converted into the right to receive a portion of the Total Merger Consideration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intend that for U.S. federal income tax purposes, the Merger will qualify as a “reorganization” within the meaning of Section 368(a) of the Code and the Treasury Regulations promulgated thereunder, to which each of Acquiror, Merger Sub and the Company are parties under Section 368(b) of the Code and the Treasury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Board has (i) determined that this Agreement and the other documents contemplated hereby to which the Company is a party and the Transactions are advisable and in the best interests of the Company and its stockholders, (ii) unanimously authorized and approved the execution, delivery and performance by the Company of this Agreement and the other documents contemplated hereby to which the Company is a party and the Transactions and (iii) recommended the adoption and approval of this Agreement and the other documents contemplated hereby to which the Company is a party and the Transactions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Acquiror Board has (i) determined that it is advisable for Acquiror to enter into this Agreement and the other documents contemplated hereby to which the Acquiror is a party, (ii) unanimously approved the execution and delivery of this Agreement and the other documents contemplated hereby to which the Acquiror is a party and the Transactions, and (iii) recommended the adoption and approval of this Agreement and the Transactions by the Acquiror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Merger Sub Board has (i) determined that it is advisable for Merger Sub to enter into this Agreement and the other documents contemplated hereby to which Merger Sub is a party, (ii) approved the execution and delivery of this Agreement and the other documents contemplated hereby to which Merger Sub is a party and the Transactions, and (iii) recommended the adoption and approval of this Agreement and the Transactions by Acquiror, as sole stockholder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Acquiror, as sole stockholder of Merger Sub, immediately following the execution and delivery of this Agreement, will approve and adopt this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furtherance of the Merger and in accordance with the terms hereof, Acquiror shall provide an opportunity to its stockholders to have their outstanding shares of Acquiror Common Stock redeemed on the terms and subject to the conditions set forth in this Agreement and Acquiror’s Governing Documents (as defined below) in connection with obtaining the Acquiror Stockholder Approval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at the Effective Time, Acquiror shall amend and restate (i) the certificate of incorporation of Acquiror to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so amended and restated, the “</w:t>
      </w:r>
      <w:r>
        <w:rPr>
          <w:rFonts w:ascii="Times New Roman;Times;Serif" w:hAnsi="Times New Roman;Times;Serif"/>
          <w:b w:val="false"/>
          <w:i w:val="false"/>
          <w:caps w:val="false"/>
          <w:smallCaps w:val="false"/>
          <w:sz w:val="20"/>
          <w:u w:val="single"/>
        </w:rPr>
        <w:t>Acquiror Charter</w:t>
      </w:r>
      <w:r>
        <w:rPr>
          <w:rFonts w:ascii="Times New Roman;Times;Serif" w:hAnsi="Times New Roman;Times;Serif"/>
          <w:b w:val="false"/>
          <w:i w:val="false"/>
          <w:caps w:val="false"/>
          <w:smallCaps w:val="false"/>
          <w:sz w:val="20"/>
        </w:rPr>
        <w:t xml:space="preserve">”) and (ii) the bylaws of Acquiror to be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Acquiror Bylaws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simultaneously with the execution and delivery of this Agreement, the Requisite Company Stockholders (as defined below), the Company and Acquiror have each executed the Company Support Agreement,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Company Support Agreement</w:t>
      </w:r>
      <w:r>
        <w:rPr>
          <w:rFonts w:ascii="Times New Roman;Times;Serif" w:hAnsi="Times New Roman;Times;Serif"/>
          <w:b w:val="false"/>
          <w:i w:val="false"/>
          <w:caps w:val="false"/>
          <w:smallCaps w:val="false"/>
          <w:sz w:val="20"/>
        </w:rPr>
        <w:t>”), pursuant to which the Requisite Company Stockholders have agreed to, among other things, approve this Agreement and the Transactions, including the Merger, as soon as reasonably practicable following the effectiveness of the Proxy Statement / Registration Statement, which shall constitute the Company Stockholder Approvals (as defined below);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contemporaneously with the execution of this Agreement, Sponsor, Acquiror and the Company have entered into a support agreement, substantially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pursuant to which the Sponsor and such other parties have agreed to, among other things, approve this Agreement and the Transactions, including the Merger (the “</w:t>
      </w:r>
      <w:r>
        <w:rPr>
          <w:rFonts w:ascii="Times New Roman;Times;Serif" w:hAnsi="Times New Roman;Times;Serif"/>
          <w:b w:val="false"/>
          <w:i w:val="false"/>
          <w:caps w:val="false"/>
          <w:smallCaps w:val="false"/>
          <w:sz w:val="20"/>
          <w:u w:val="single"/>
        </w:rPr>
        <w:t>Sponsor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the Closing, Acquiror, the Sponsor, certain stockholders of the Company, and certain of their respective Affiliates, as applicable, shall enter into a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(with such changes as may be agreed in writing by Acquiror and the Company), which shall be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the Closing, Acquiror, and certain of the Company Stockholders shall enter into Lock-Up Agreements (the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substantially in the form attached hereto as Exhibit F (with such changes as may be agreed in writing by Acquiror and the Company), which shall be effective as of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the Closing, Acquiror, the Sponsor and Burkhan (and/or its Affiliates and/or nominees) shall enter into a Stockholders’ Agreement (the “</w:t>
      </w:r>
      <w:r>
        <w:rPr>
          <w:rFonts w:ascii="Times New Roman;Times;Serif" w:hAnsi="Times New Roman;Times;Serif"/>
          <w:b w:val="false"/>
          <w:i w:val="false"/>
          <w:caps w:val="false"/>
          <w:smallCaps w:val="false"/>
          <w:sz w:val="20"/>
          <w:u w:val="single"/>
        </w:rPr>
        <w:t>Stockholders’ Agreement</w:t>
      </w:r>
      <w:r>
        <w:rPr>
          <w:rFonts w:ascii="Times New Roman;Times;Serif" w:hAnsi="Times New Roman;Times;Serif"/>
          <w:b w:val="false"/>
          <w:i w:val="false"/>
          <w:caps w:val="false"/>
          <w:smallCaps w:val="false"/>
          <w:sz w:val="20"/>
        </w:rPr>
        <w:t xml:space="preserve">”) substantially in the form attached hereto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which shall be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foregoing and the respective representations, warranties, covenants and agreements set forth in this Agreement and for other good and valuable consideration, the receipt and sufficiency of which are hereby acknowledged, Acquiror, Merger Sub and the Company,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herein,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Benefit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Board</w:t>
      </w:r>
      <w:r>
        <w:rPr>
          <w:rFonts w:ascii="Times New Roman;Times;Serif" w:hAnsi="Times New Roman;Times;Serif"/>
          <w:b w:val="false"/>
          <w:i w:val="false"/>
          <w:caps w:val="false"/>
          <w:smallCaps w:val="false"/>
          <w:sz w:val="20"/>
        </w:rPr>
        <w:t>” means the board of directors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Bylaws</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Charter</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Class A Common Stock</w:t>
      </w:r>
      <w:r>
        <w:rPr>
          <w:rFonts w:ascii="Times New Roman;Times;Serif" w:hAnsi="Times New Roman;Times;Serif"/>
          <w:b w:val="false"/>
          <w:i w:val="false"/>
          <w:caps w:val="false"/>
          <w:smallCaps w:val="false"/>
          <w:sz w:val="20"/>
        </w:rPr>
        <w:t>” means the shares of Class A common stock, par value $0.0001 per share, of Acquiror.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Class B Common Stock</w:t>
      </w:r>
      <w:r>
        <w:rPr>
          <w:rFonts w:ascii="Times New Roman;Times;Serif" w:hAnsi="Times New Roman;Times;Serif"/>
          <w:b w:val="false"/>
          <w:i w:val="false"/>
          <w:caps w:val="false"/>
          <w:smallCaps w:val="false"/>
          <w:sz w:val="20"/>
        </w:rPr>
        <w:t>” means the shares of Class B common stock, par value $0.0001 per share,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Common Stock</w:t>
      </w:r>
      <w:r>
        <w:rPr>
          <w:rFonts w:ascii="Times New Roman;Times;Serif" w:hAnsi="Times New Roman;Times;Serif"/>
          <w:b w:val="false"/>
          <w:i w:val="false"/>
          <w:caps w:val="false"/>
          <w:smallCaps w:val="false"/>
          <w:sz w:val="20"/>
        </w:rPr>
        <w:t>” means Acquiror Class A Common Stock and Acquiror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Cure Period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Disclosure Letter</w:t>
      </w:r>
      <w:r>
        <w:rPr>
          <w:rFonts w:ascii="Times New Roman;Times;Serif" w:hAnsi="Times New Roman;Times;Serif"/>
          <w:b w:val="false"/>
          <w:i w:val="false"/>
          <w:caps w:val="false"/>
          <w:smallCaps w:val="false"/>
          <w:sz w:val="20"/>
        </w:rPr>
        <w:t xml:space="preserve">” has the meaning specified in the introduction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Extension Expenses</w:t>
      </w:r>
      <w:r>
        <w:rPr>
          <w:rFonts w:ascii="Times New Roman;Times;Serif" w:hAnsi="Times New Roman;Times;Serif"/>
          <w:b w:val="false"/>
          <w:i w:val="false"/>
          <w:caps w:val="false"/>
          <w:smallCaps w:val="false"/>
          <w:sz w:val="20"/>
        </w:rPr>
        <w:t>” means (a) any out-of-pocket fees and expenses paid or payable by Acquiror or its Affiliates (whether or not billed or accrued for) as a result of or in connection with the negotiation, documentation and consummation of an Extension (including (i) submitting a proposal to the Acquiror Stockholders pursuant to an Extension Proxy Statement and (ii) providing such definitive Extension Proxy Statement to the Acquiror stockholders) and (b) any cash deposits made or to be made into the Trust Account by Acquiror, Sponsor or any of their respective Affiliates or permitted designees for the purpose of extending the time period for Acquiror to consummate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Fundamental Representations</w:t>
      </w:r>
      <w:r>
        <w:rPr>
          <w:rFonts w:ascii="Times New Roman;Times;Serif" w:hAnsi="Times New Roman;Times;Serif"/>
          <w:b w:val="false"/>
          <w:i w:val="false"/>
          <w:caps w:val="false"/>
          <w:smallCaps w:val="false"/>
          <w:sz w:val="20"/>
        </w:rPr>
        <w:t xml:space="preserve">” means the representations and warranties made pursuant to the first and second sentences of </w:t>
      </w:r>
      <w:r>
        <w:rPr>
          <w:rFonts w:ascii="Times New Roman;Times;Serif" w:hAnsi="Times New Roman;Times;Serif"/>
          <w:b w:val="false"/>
          <w:i w:val="false"/>
          <w:caps w:val="false"/>
          <w:smallCaps w:val="false"/>
          <w:sz w:val="20"/>
          <w:u w:val="single"/>
        </w:rPr>
        <w:t xml:space="preserve">Section 5.1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Organization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Indemnified Parties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Intervening Event</w:t>
      </w:r>
      <w:r>
        <w:rPr>
          <w:rFonts w:ascii="Times New Roman;Times;Serif" w:hAnsi="Times New Roman;Times;Serif"/>
          <w:b w:val="false"/>
          <w:i w:val="false"/>
          <w:caps w:val="false"/>
          <w:smallCaps w:val="false"/>
          <w:sz w:val="20"/>
        </w:rPr>
        <w:t>” means any change, event, state of facts, development, circumstance, occurrence or effect or change in circumstances or facts, including any change in probability or magnitude of circumstances, in each case that materially affects the business or assets of Acquiror (collectively, “</w:t>
      </w:r>
      <w:r>
        <w:rPr>
          <w:rFonts w:ascii="Times New Roman;Times;Serif" w:hAnsi="Times New Roman;Times;Serif"/>
          <w:b w:val="false"/>
          <w:i w:val="false"/>
          <w:caps w:val="false"/>
          <w:smallCaps w:val="false"/>
          <w:sz w:val="20"/>
          <w:u w:val="single"/>
        </w:rPr>
        <w:t>Events</w:t>
      </w:r>
      <w:r>
        <w:rPr>
          <w:rFonts w:ascii="Times New Roman;Times;Serif" w:hAnsi="Times New Roman;Times;Serif"/>
          <w:b w:val="false"/>
          <w:i w:val="false"/>
          <w:caps w:val="false"/>
          <w:smallCaps w:val="false"/>
          <w:sz w:val="20"/>
        </w:rPr>
        <w:t>”) (but specifically excluding any Business Combination Proposal or the timing of any approval or clearance of any Governmental Authority required for the consummation of the Transactions and any other Event to the extent that such Event would not be deemed to constitute, or be taken into account in determining whether there has been or will be an Acquiror Material Adverse Effect or a Company Material Adverse Effect, as applicable, pursuant to the definitions of such terms (including the final provisos thereof)) and that (i) was not known and was not reasonably foreseeable to Acquiror or the Acquiror Board as of the date hereof (or the consequences of which were not reasonably foreseeable to the Acquiror Board as of the date hereof), and (ii) becomes known to Acquiror or the Acquiror Board after the date of this Agreement but prior to obtaining the Acquiror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Material Adverse Effect</w:t>
      </w:r>
      <w:r>
        <w:rPr>
          <w:rFonts w:ascii="Times New Roman;Times;Serif" w:hAnsi="Times New Roman;Times;Serif"/>
          <w:b w:val="false"/>
          <w:i w:val="false"/>
          <w:caps w:val="false"/>
          <w:smallCaps w:val="false"/>
          <w:sz w:val="20"/>
        </w:rPr>
        <w:t xml:space="preserve">” means any Event that (i) has had, or would reasonably be expected to have, individually or in the aggregate, a material adverse effect on the business, assets, results of operations or condition (financial or otherwise) of Acquiror and its Subsidiaries, taken as a whole, or (ii) does or would reasonably be expected to, individually or in the aggregate, prevent or materially delay the ability of Acquiror or Merger Sub to enter into and perform their obligations under this Agreement and consummate the Transactions, including the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would any of the following, alone or in combination, be deemed to constitute, or be taken into account in determining whether there has been or will be, an “</w:t>
      </w:r>
      <w:r>
        <w:rPr>
          <w:rFonts w:ascii="Times New Roman;Times;Serif" w:hAnsi="Times New Roman;Times;Serif"/>
          <w:b w:val="false"/>
          <w:i w:val="false"/>
          <w:caps w:val="false"/>
          <w:smallCaps w:val="false"/>
          <w:sz w:val="20"/>
          <w:u w:val="single"/>
        </w:rPr>
        <w:t>Acquiror Material Adverse Effect</w:t>
      </w:r>
      <w:r>
        <w:rPr>
          <w:rFonts w:ascii="Times New Roman;Times;Serif" w:hAnsi="Times New Roman;Times;Serif"/>
          <w:b w:val="false"/>
          <w:i w:val="false"/>
          <w:caps w:val="false"/>
          <w:smallCaps w:val="false"/>
          <w:sz w:val="20"/>
        </w:rPr>
        <w:t xml:space="preserve">” pursuant to clause (i) above: (a) any change in applicable Laws or GAAP or any interpretation thereof following the date of this Agreement, (b) any change in interest rates or economic, political, business or financial market conditions generally, (c) the taking of any action required by this Agreement, (d) any natural disaster (including hurricanes, storms, tornados, flooding, earthquakes, volcanic eruptions or similar occurrences), pandemic or change in climate (including any effect directly resulting from, directly arising from or otherwise directly related to such natural disaster, pandemic, or change in climate), (e) any acts of terrorism or war (including cyberterrorism), the outbreak or escalation of hostilities, geopolitical conditions, local, national or international political conditions, (f) any Event attributable to the announcement of this Agreement or execution, pendency, negotiation or consummation of the Merger or any of the other Transaction, (it being understood that this clause (f) shall be disregarded for purposes of the representation and warranty set forth in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 xml:space="preserve"> and the condition to Closing with respect thereto), or (g) actions taken by, or at the written request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Option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Private Placement Warrants</w:t>
      </w:r>
      <w:r>
        <w:rPr>
          <w:rFonts w:ascii="Times New Roman;Times;Serif" w:hAnsi="Times New Roman;Times;Serif"/>
          <w:b w:val="false"/>
          <w:i w:val="false"/>
          <w:caps w:val="false"/>
          <w:smallCaps w:val="false"/>
          <w:sz w:val="20"/>
        </w:rPr>
        <w:t>” means the warrants forming a part of the units sold to the Sponsor in a private placement that occurred simultaneously with the consummation of Acquiror’s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Public Warrant</w:t>
      </w:r>
      <w:r>
        <w:rPr>
          <w:rFonts w:ascii="Times New Roman;Times;Serif" w:hAnsi="Times New Roman;Times;Serif"/>
          <w:b w:val="false"/>
          <w:i w:val="false"/>
          <w:caps w:val="false"/>
          <w:smallCaps w:val="false"/>
          <w:sz w:val="20"/>
        </w:rPr>
        <w:t>” means the redeemable warrants that were included in the units sold as part of Acquiror’s initial public offering, each of which entitled the holder thereof to purchase one (1) share of Acquiror Common Stock at an exercise price of eleven Dollars fifty cents ($11.50).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RSUs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SEC Filings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Securities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Share Redemption</w:t>
      </w:r>
      <w:r>
        <w:rPr>
          <w:rFonts w:ascii="Times New Roman;Times;Serif" w:hAnsi="Times New Roman;Times;Serif"/>
          <w:b w:val="false"/>
          <w:i w:val="false"/>
          <w:caps w:val="false"/>
          <w:smallCaps w:val="false"/>
          <w:sz w:val="20"/>
        </w:rPr>
        <w:t>” means the election of an eligible (as determined in accordance with Acquiror’s Governing Documents) holder of Acquiror Class A Common Stock to redeem all or a portion of the shares of Acquiror Class A Common Stock held by such holder at a per-share price, payable in cash, equal to a pro rata share of the aggregate amount on deposit in the Trust Account (including any interest earned on the funds held in the Trust Account and not previously released to the Company to pay its taxes pursuant to the Trust Agreement) (as determined in accordance with Acquiror’s Governing Documents and the Trust Agreement) in connection with the Transaction Proposals and/or any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Share Redemption Amount</w:t>
      </w:r>
      <w:r>
        <w:rPr>
          <w:rFonts w:ascii="Times New Roman;Times;Serif" w:hAnsi="Times New Roman;Times;Serif"/>
          <w:b w:val="false"/>
          <w:i w:val="false"/>
          <w:caps w:val="false"/>
          <w:smallCaps w:val="false"/>
          <w:sz w:val="20"/>
        </w:rPr>
        <w:t>” means the aggregate amount payable with respect to all Acquiror Share Redemptions (including any Excise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Stockholder Approval</w:t>
      </w:r>
      <w:r>
        <w:rPr>
          <w:rFonts w:ascii="Times New Roman;Times;Serif" w:hAnsi="Times New Roman;Times;Serif"/>
          <w:b w:val="false"/>
          <w:i w:val="false"/>
          <w:caps w:val="false"/>
          <w:smallCaps w:val="false"/>
          <w:sz w:val="20"/>
        </w:rPr>
        <w:t>” means the approval of the Transaction Proposals, in each case, by the affirmative vote of the holders of the requisite number of shares of Acquiror Common Stock entitled to vote, whether in person or by proxy, at the Acquiror Stockholders’ Meeting, in accordance with Acquiror’s Governing Documents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Stockholders</w:t>
      </w:r>
      <w:r>
        <w:rPr>
          <w:rFonts w:ascii="Times New Roman;Times;Serif" w:hAnsi="Times New Roman;Times;Serif"/>
          <w:b w:val="false"/>
          <w:i w:val="false"/>
          <w:caps w:val="false"/>
          <w:smallCaps w:val="false"/>
          <w:sz w:val="20"/>
        </w:rPr>
        <w:t>” means the stockholders of Acquiror.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Stockholders’ Meeting</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Transaction Expenses</w:t>
      </w:r>
      <w:r>
        <w:rPr>
          <w:rFonts w:ascii="Times New Roman;Times;Serif" w:hAnsi="Times New Roman;Times;Serif"/>
          <w:b w:val="false"/>
          <w:i w:val="false"/>
          <w:caps w:val="false"/>
          <w:smallCaps w:val="false"/>
          <w:sz w:val="20"/>
        </w:rPr>
        <w:t xml:space="preserve">” means the following out-of-pocket fees and expenses paid or payable by Acquiror or any of its Subsidiaries or any of their respective Affiliates (whether or not billed or accrued for) as a result of or in connection with the negotiation, documentation and consummation of the Transactions (including any Private Placement Investment), and any other Business Combination Proposal or Business Combination that the Acquiror has solicited, proposed, submitted, negotiated or otherwise considered, in each case including (i) all fees, costs, expenses, brokerage fees, commissions, finders’ fees and disbursements of financial advisors, investment banks, data room administrators, attorneys, accountants and other advisors and service providers (including deferred underwriting expenses), (ii) change-in-control payments, transaction bonuses, retention payments, severance or similar compensatory payments payable by Acquiror or any of its Subsidiaries to any current or former employee (including any amounts due under any consulting agreement with any such former employee), independent contractor, officer, or director of Acquiror or any of its Subsidiaries as a result of the Transactions (and not tied to any subsequent event or condition, such as a termination of employment), including the employer portion of any payroll Taxes arising therefrom, (iii) fifty percent (50%) of any Transfer Taxes, (iv) any Excise Taxes payable in connection with any Acquiror Share Redemption, (v) fifty percent (50%) of all of the filing fees, administrative fees, costs and expenses payable by Acquiror or any of its Subsidiaries, or the Company or any of its Subsidiaries, to the Governmental Authorities in connection with the Transactions (including, for the avoidance of doubt, the HSR Act filing fees described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(vi) all fees and expenses incurred in connection with obtaining the Acquiror Stockholder Approval and all Acquiror Extension Expenses; and (vii) all amounts due and payable with respect to Indebtedness of the Acquiror or its Subsidiaries, including the Working Capital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Acquiror Warrants</w:t>
      </w:r>
      <w:r>
        <w:rPr>
          <w:rFonts w:ascii="Times New Roman;Times;Serif" w:hAnsi="Times New Roman;Times;Serif"/>
          <w:b w:val="false"/>
          <w:i w:val="false"/>
          <w:caps w:val="false"/>
          <w:smallCaps w:val="false"/>
          <w:sz w:val="20"/>
        </w:rPr>
        <w:t>” means the Acquiror Public Warrants and the Acquiror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claim, action, suit, audit, examination, assessment, arbitration, mediation or written inquiry, or any proceeding, investigation or judgment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Quarterly Financial Statements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specified Person, any Person that, directly or indirectly, controls, is controlled by, or is under common control with, such specified Person, whether through one or more intermediaries or otherwise. The term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xml:space="preserve">” (including the terms “controlling”,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Sponsor be considered an Affiliate of any portfolio company or any investment fund affiliated with or managed by the Persons set forth on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Acquiror Disclosure Letter, nor shall any portfolio company or any investment fund affiliated with or managed by the Persons set forth on </w:t>
      </w:r>
      <w:r>
        <w:rPr>
          <w:rFonts w:ascii="Times New Roman;Times;Serif" w:hAnsi="Times New Roman;Times;Serif"/>
          <w:b w:val="false"/>
          <w:i w:val="false"/>
          <w:caps w:val="false"/>
          <w:smallCaps w:val="false"/>
          <w:sz w:val="20"/>
          <w:u w:val="single"/>
        </w:rPr>
        <w:t xml:space="preserve">Section 1.1-A </w:t>
      </w:r>
      <w:r>
        <w:rPr>
          <w:rFonts w:ascii="Times New Roman;Times;Serif" w:hAnsi="Times New Roman;Times;Serif"/>
          <w:b w:val="false"/>
          <w:i w:val="false"/>
          <w:caps w:val="false"/>
          <w:smallCaps w:val="false"/>
          <w:sz w:val="20"/>
        </w:rPr>
        <w:t>of the Acquiror Disclosure Letter be considered to be an Affiliate of Sponsor.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 Agreements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4.12(a)(v)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Company Shares</w:t>
      </w:r>
      <w:r>
        <w:rPr>
          <w:rFonts w:ascii="Times New Roman;Times;Serif" w:hAnsi="Times New Roman;Times;Serif"/>
          <w:b w:val="false"/>
          <w:i w:val="false"/>
          <w:caps w:val="false"/>
          <w:smallCaps w:val="false"/>
          <w:sz w:val="20"/>
        </w:rPr>
        <w:t xml:space="preserve">” means, without duplication, (i) the sum of the number of shares of Company Common Stock that are (a) issued and outstanding immediately prior to the Effective Time (for the avoidance of doubt, after giving effect to the Company Security Conversion and the Warrant Event, but excluding any shares of Burkhan Company Stock and any shares of Company Common Stock to be cancelled pursuant to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and (b) issuable upon the exercise or settlement of Company Awards (in each case, whether or not vested or currently exercisable) that are outstanding immediately prior to the Effective Time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 number of shares of Company Common Stock equal to the quotient of (x) the Aggregate Option Exercise Price </w:t>
      </w:r>
      <w:r>
        <w:rPr>
          <w:rFonts w:ascii="Times New Roman;Times;Serif" w:hAnsi="Times New Roman;Times;Serif"/>
          <w:b w:val="false"/>
          <w:i/>
          <w:caps w:val="false"/>
          <w:smallCaps w:val="false"/>
          <w:sz w:val="20"/>
        </w:rPr>
        <w:t>divided</w:t>
      </w:r>
      <w:r>
        <w:rPr>
          <w:rFonts w:ascii="Times New Roman;Times;Serif" w:hAnsi="Times New Roman;Times;Serif"/>
          <w:b w:val="false"/>
          <w:i w:val="false"/>
          <w:caps w:val="false"/>
          <w:smallCaps w:val="false"/>
          <w:sz w:val="20"/>
        </w:rPr>
        <w:t xml:space="preserve"> by (y) the Per Company Share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Option Exercise Price</w:t>
      </w:r>
      <w:r>
        <w:rPr>
          <w:rFonts w:ascii="Times New Roman;Times;Serif" w:hAnsi="Times New Roman;Times;Serif"/>
          <w:b w:val="false"/>
          <w:i w:val="false"/>
          <w:caps w:val="false"/>
          <w:smallCaps w:val="false"/>
          <w:sz w:val="20"/>
        </w:rPr>
        <w:t>” means the sum of the aggregate cash exercise prices of all Company Options (in each case, whether or not vested or currently exercisable) that are outstanding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End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each agreement, instrument or document attached hereto as an exhibit, and the other agreements, certificates and instruments to be executed or delivered by any of the Parties in connection with 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Anti-Bribery Laws</w:t>
      </w:r>
      <w:r>
        <w:rPr>
          <w:rFonts w:ascii="Times New Roman;Times;Serif" w:hAnsi="Times New Roman;Times;Serif"/>
          <w:b w:val="false"/>
          <w:i w:val="false"/>
          <w:caps w:val="false"/>
          <w:smallCaps w:val="false"/>
          <w:sz w:val="20"/>
        </w:rPr>
        <w:t>” means the anti-bribery provisions of the U.S. Foreign Corrupt Practices Act of 1977, as amended, and all other applicable anti-corruption and anti-bribery Laws (including the UK Bribery Act 2010, and any rules or regulations promulgated thereunder or other Laws of other countries implementing the OECD Convention on Combating Bribery of Foreign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Authorities</w:t>
      </w:r>
      <w:r>
        <w:rPr>
          <w:rFonts w:ascii="Times New Roman;Times;Serif" w:hAnsi="Times New Roman;Times;Serif"/>
          <w:b w:val="false"/>
          <w:i w:val="false"/>
          <w:caps w:val="false"/>
          <w:smallCaps w:val="false"/>
          <w:sz w:val="20"/>
        </w:rPr>
        <w:t>” means the Antitrust Division of the United States Department of Justice, the United States Federal Trade Commission or the antitrust or competition Law authorities of any other jurisdiction (whether United States, foreign or multinational).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or FDI Information or Document Request</w:t>
      </w:r>
      <w:r>
        <w:rPr>
          <w:rFonts w:ascii="Times New Roman;Times;Serif" w:hAnsi="Times New Roman;Times;Serif"/>
          <w:b w:val="false"/>
          <w:i w:val="false"/>
          <w:caps w:val="false"/>
          <w:smallCaps w:val="false"/>
          <w:sz w:val="20"/>
        </w:rPr>
        <w:t>” means any request or demand for the production, delivery or disclosure of documents, information or other evidence, or any request or demand for the production of witnesses for interviews or depositions or other oral or written testimony, by any Antitrust Authorities or FDI Authorities relating to the Transactions or by any third party challenging the Transactions, including any so called “second request” for additional information or documentary material or any civil investigative demand made or issued by any Antitrust Authority or FDI Authority or any subpoena, interrogatory or deposition.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Arm’s Length Basis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4.15(r)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Acquiror Cash</w:t>
      </w:r>
      <w:r>
        <w:rPr>
          <w:rFonts w:ascii="Times New Roman;Times;Serif" w:hAnsi="Times New Roman;Times;Serif"/>
          <w:b w:val="false"/>
          <w:i w:val="false"/>
          <w:caps w:val="false"/>
          <w:smallCaps w:val="false"/>
          <w:sz w:val="20"/>
        </w:rPr>
        <w:t xml:space="preserve">” means, without duplication, (i) the Trust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proceeds of any Private Placement Investment actually received by Acquiror prior to or substantially concurrently with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Available Acquiror Cash shall exclude any financing proceeds that are subject to any conditions that have not been duly satisfied, waived or achieved prior to the Closing (other than those conditions that by their terms are to be satisfied at the Closing, but subject to the satisfaction or waiver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aggregate gross proceeds of $5,000,000 received by the Company pursuant to that certain Note Purchase Agreement, dated as of July 3, 2023, by and among the Company and the lenders party thereto,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(iv) any and all proceeds from Company Financings received by the Company after the date hereof and prior to or substantially concurrently with the Closing (including, for the avoidance of doubt, the aggregate gross proceeds received by the Company from the issuance of the Burkhan Convertible Notes and the Burkhan Warrants),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(v) the amount required to pay all Acquiror Transaction Expenses (including, for the avoidance of doubt, any deferred underwriting commissions and Acquiror Extension Expenses) and all Company Transaction Expenses.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 Group</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Merger Consideration</w:t>
      </w:r>
      <w:r>
        <w:rPr>
          <w:rFonts w:ascii="Times New Roman;Times;Serif" w:hAnsi="Times New Roman;Times;Serif"/>
          <w:b w:val="false"/>
          <w:i w:val="false"/>
          <w:caps w:val="false"/>
          <w:smallCaps w:val="false"/>
          <w:sz w:val="20"/>
        </w:rPr>
        <w:t>” means the aggregate number of shares of Acquiror Class A Common Stock equal to (a) the quotient (such quotient, the “</w:t>
      </w:r>
      <w:r>
        <w:rPr>
          <w:rFonts w:ascii="Times New Roman;Times;Serif" w:hAnsi="Times New Roman;Times;Serif"/>
          <w:b w:val="false"/>
          <w:i w:val="false"/>
          <w:caps w:val="false"/>
          <w:smallCaps w:val="false"/>
          <w:sz w:val="20"/>
          <w:u w:val="single"/>
        </w:rPr>
        <w:t>Company Base Merger Consideration</w:t>
      </w:r>
      <w:r>
        <w:rPr>
          <w:rFonts w:ascii="Times New Roman;Times;Serif" w:hAnsi="Times New Roman;Times;Serif"/>
          <w:b w:val="false"/>
          <w:i w:val="false"/>
          <w:caps w:val="false"/>
          <w:smallCaps w:val="false"/>
          <w:sz w:val="20"/>
        </w:rPr>
        <w:t xml:space="preserve">”) obtained by </w:t>
      </w:r>
      <w:r>
        <w:rPr>
          <w:rFonts w:ascii="Times New Roman;Times;Serif" w:hAnsi="Times New Roman;Times;Serif"/>
          <w:b w:val="false"/>
          <w:i/>
          <w:caps w:val="false"/>
          <w:smallCaps w:val="false"/>
          <w:sz w:val="20"/>
        </w:rPr>
        <w:t>dividing</w:t>
      </w:r>
      <w:r>
        <w:rPr>
          <w:rFonts w:ascii="Times New Roman;Times;Serif" w:hAnsi="Times New Roman;Times;Serif"/>
          <w:b w:val="false"/>
          <w:i w:val="false"/>
          <w:caps w:val="false"/>
          <w:smallCaps w:val="false"/>
          <w:sz w:val="20"/>
        </w:rPr>
        <w:t xml:space="preserve"> (i) the sum of (x) the Base Purchase Price,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$70,000,000, by (ii) $10.00,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product of (i) the number of shares of Burkhan Company Stock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by (ii) the Per Company Share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an amount equal to $700,000,000.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Blaize Group</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Burkhan Conversion Event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Burkhan Convertible Notes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Burkhan Earnout Shares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Burkhan Instruments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Burkhan Warrants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has the meaning set forth in Acquiror’s Governing Documents as in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 Deadline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 Proposal</w:t>
      </w:r>
      <w:r>
        <w:rPr>
          <w:rFonts w:ascii="Times New Roman;Times;Serif" w:hAnsi="Times New Roman;Times;Serif"/>
          <w:b w:val="false"/>
          <w:i w:val="false"/>
          <w:caps w:val="false"/>
          <w:smallCaps w:val="false"/>
          <w:sz w:val="20"/>
        </w:rPr>
        <w:t>” means any offer, inquiry, proposal or indication of interest (whether written or oral, binding or non-binding) relating to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New York are authorized or required by Law to close.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(i) a purchase, sale, exchange, business combination or other transaction (including a merger or consolidation of Acquiror or the Company with or into any other corporation or other entity) in which the equity securities of Acquiror or the Company, their successor, or the surviving entity of such business combination or other transaction are not registered under the Exchange Act or listed or quoted for trading on a national securities exchange, (ii) a sale, lease, exchange or other transfer (including a merger) in one transaction or a series of related transactions of assets representing 50% or more of the value of Acquiror’s or the Company’s assets (including, after the Closing, the capital stock of the Company and other Subsidiaries of Acquiror) to a third party or (iii) the transfer to or acquisition by (whether by tender offer, merger, consolidation, division or other similar transaction), in one transaction or a series of related transactions, a person or entity or group of affiliated persons or entities (other than an underwriter pursuant to an offering), of Acquiror’s or the Company’s voting securities if, after such transfer or acquisition, such person, entity or group of affiliated persons or entities would beneficially own (as defined in Rule 13d-3 promulgated under the Exchange Act) more than 50% of the outstanding voting securities of Acquiror 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United States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Awards</w:t>
      </w:r>
      <w:r>
        <w:rPr>
          <w:rFonts w:ascii="Times New Roman;Times;Serif" w:hAnsi="Times New Roman;Times;Serif"/>
          <w:b w:val="false"/>
          <w:i w:val="false"/>
          <w:caps w:val="false"/>
          <w:smallCaps w:val="false"/>
          <w:sz w:val="20"/>
        </w:rPr>
        <w:t>” means, collectively, the Company RSUs and Company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Charter</w:t>
      </w:r>
      <w:r>
        <w:rPr>
          <w:rFonts w:ascii="Times New Roman;Times;Serif" w:hAnsi="Times New Roman;Times;Serif"/>
          <w:b w:val="false"/>
          <w:i w:val="false"/>
          <w:caps w:val="false"/>
          <w:smallCaps w:val="false"/>
          <w:sz w:val="20"/>
        </w:rPr>
        <w:t>” means the Restated Certificate of Incorporation of the Company, dated as of December 12, 2022, as the same may be amended, restated,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means the shares of common stock, par value $0.00001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 Purchase Agreements</w:t>
      </w:r>
      <w:r>
        <w:rPr>
          <w:rFonts w:ascii="Times New Roman;Times;Serif" w:hAnsi="Times New Roman;Times;Serif"/>
          <w:b w:val="false"/>
          <w:i w:val="false"/>
          <w:caps w:val="false"/>
          <w:smallCaps w:val="false"/>
          <w:sz w:val="20"/>
        </w:rPr>
        <w:t>” means, collectively (i) that certain Note Purchase Agreement, dated as of July 3, 2023, by and among the Company and the lenders party thereto and (ii) that certain Note Purchase and Exchange Agreement, dated as of December 9, 2022, by and among the Company and the lenders party thereto, in each case, as amended and/or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means the convertible promissory notes issued by the Company pursuant to the Company Convertible Note Purchase Agreements (excluding, for the avoidance of doubt, the Burkhan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Cure Period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xml:space="preserve">” has the meaning specified in the introduction to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Earnout Shares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Financing</w:t>
      </w:r>
      <w:r>
        <w:rPr>
          <w:rFonts w:ascii="Times New Roman;Times;Serif" w:hAnsi="Times New Roman;Times;Serif"/>
          <w:b w:val="false"/>
          <w:i w:val="false"/>
          <w:caps w:val="false"/>
          <w:smallCaps w:val="false"/>
          <w:sz w:val="20"/>
        </w:rPr>
        <w:t xml:space="preserve">” means a private placement of (i) secured convertible promissory notes of the Company by, or any other form of investment in or financing of (either directly or indirectly), the Company that is consummated with Burkhan and/or its Affiliates and/or nominees after the date hereof and prior to or substantially concurrently with the Closing providing up to an aggregate amount of $25,000,000 to the Company, and (ii) equity, equity-linked or debt securities of the Company by, or any other form of investment or financing of (either director or indirectly), the Company that is consummated with any Person (other than Burkhan and/or its Affiliates and/or nominees) after the date hereof and prior to or substantially concurrently with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investment or financing described in this clause (ii) (x) shall not be senior in right of payment or rights upon liquidation or dissolution to the Burkhan Convertible Notes, and (y) shall not have a higher interest rate, or a higher conversion rate for purposes of a conversion of such financing instrument, in each case, than the applicable rate set forth in the Burkhan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Fundamental Representations</w:t>
      </w:r>
      <w:r>
        <w:rPr>
          <w:rFonts w:ascii="Times New Roman;Times;Serif" w:hAnsi="Times New Roman;Times;Serif"/>
          <w:b w:val="false"/>
          <w:i w:val="false"/>
          <w:caps w:val="false"/>
          <w:smallCaps w:val="false"/>
          <w:sz w:val="20"/>
        </w:rPr>
        <w:t xml:space="preserve">” means the representations and warranties made pursuant to the first and second sentences of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Company Organization</w:t>
      </w:r>
      <w:r>
        <w:rPr>
          <w:rFonts w:ascii="Times New Roman;Times;Serif" w:hAnsi="Times New Roman;Times;Serif"/>
          <w:b w:val="false"/>
          <w:i w:val="false"/>
          <w:caps w:val="false"/>
          <w:smallCaps w:val="false"/>
          <w:sz w:val="20"/>
        </w:rPr>
        <w:t xml:space="preserve">), the first and second sentences of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4.3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Incentive Plan</w:t>
      </w:r>
      <w:r>
        <w:rPr>
          <w:rFonts w:ascii="Times New Roman;Times;Serif" w:hAnsi="Times New Roman;Times;Serif"/>
          <w:b w:val="false"/>
          <w:i w:val="false"/>
          <w:caps w:val="false"/>
          <w:smallCaps w:val="false"/>
          <w:sz w:val="20"/>
        </w:rPr>
        <w:t>” means the Amended and Restated 2011 Stock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means Intellectual Property that is owned or purported to be owned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xml:space="preserve">” means any Event that (i) has had, or would reasonably be expected to have, individually or in the aggregate, a material adverse effect on the business, assets, results of operations or condition (financial or otherwise) of the Company and its Subsidiaries, taken as a whole, or (ii) does or would reasonably be expected to, individually or in the aggregate, prevent or materially delay the ability of the Company to consummate the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would any of the following, alone or in combination, be deemed to constitute, or be taken into account in determining whether there has been or will be, a “</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pursuant to clause (i) above: (a) any change in applicable Laws or GAAP or any interpretation thereof following the date of this Agreement, (b) any change in interest rates or economic, political, business or financial market conditions generally, (c) the taking of any action required by this Agreement, (d) any natural disaster (including hurricanes, storms, tornados, flooding, earthquakes, volcanic eruptions or similar occurrences), pandemic or change in climate (including any effect directly resulting from, directly arising from or otherwise directly related to such natural disaster, pandemic, or change in climate), (e) any acts of terrorism or war (including cyberterrorism), the outbreak or escalation of hostilities, geopolitical conditions, local, national or international political conditions, (f) any failure of the Company to meet any projections or forecasts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clause (f) shall not prevent any Event not otherwise excluded from this definition of Company Material Adverse Effect underlying such failure to meet projections or forecasts from being taken into account in determining if a Company Material Adverse Effect has occurred), (g) any Events generally applicable to the industries or markets in which the Company and its Subsidiaries operate (including increases in the cost of products, supplies, materials or other goods purchased from third party suppliers), or (h) the announcement of this Agreement or execution, pendency, negotiation or consummation of the Transactions, including any termination of, reduction in the scope of, or similar adverse impact (but in each case only to the extent attributable to such announcement or consummation) on, relationships, contractual or otherwise, with any landlords, customers, suppliers, distributors, partners or employees of the Company and its Subsidiaries (it being understood that this clause (h) shall be disregarded for purposes of the representation and warranty set forth in </w:t>
      </w:r>
      <w:r>
        <w:rPr>
          <w:rFonts w:ascii="Times New Roman;Times;Serif" w:hAnsi="Times New Roman;Times;Serif"/>
          <w:b w:val="false"/>
          <w:i w:val="false"/>
          <w:caps w:val="false"/>
          <w:smallCaps w:val="false"/>
          <w:sz w:val="20"/>
          <w:u w:val="single"/>
        </w:rPr>
        <w:t xml:space="preserve">Section 4.4 </w:t>
      </w:r>
      <w:r>
        <w:rPr>
          <w:rFonts w:ascii="Times New Roman;Times;Serif" w:hAnsi="Times New Roman;Times;Serif"/>
          <w:b w:val="false"/>
          <w:i w:val="false"/>
          <w:caps w:val="false"/>
          <w:smallCaps w:val="false"/>
          <w:sz w:val="20"/>
        </w:rPr>
        <w:t xml:space="preserve">and the condition to Closing with respect thereto), (i) actions taken by, or at the written request of, Acquiror or Merger Sub, (j) any action referred to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taken by the Company with Acquiror’s consent, or (k) the failure to take any action referred to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that was not taken by the Company because Acquiror withheld its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respect to clauses (j) and (k), the Event underlying such action or inaction may be taken into account in determining a Company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to purchase shares of Company Common Stock granted under the Company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means, collectively, the Series Seed Shadow Preferred Stock, Series A Shadow Preferred Stock, Series B Shadow Preferred Stock, Series C Shadow Preferred Stock, Series D Shadow Stock and the Senior Series D Shadow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w:t>
      </w:r>
      <w:r>
        <w:rPr>
          <w:rFonts w:ascii="Times New Roman;Times;Serif" w:hAnsi="Times New Roman;Times;Serif"/>
          <w:b w:val="false"/>
          <w:i w:val="false"/>
          <w:caps w:val="false"/>
          <w:smallCaps w:val="false"/>
          <w:sz w:val="20"/>
        </w:rPr>
        <w:t>” means a restricted stock unit relating to Company Common Stock granted under the Company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Securities</w:t>
      </w:r>
      <w:r>
        <w:rPr>
          <w:rFonts w:ascii="Times New Roman;Times;Serif" w:hAnsi="Times New Roman;Times;Serif"/>
          <w:b w:val="false"/>
          <w:i w:val="false"/>
          <w:caps w:val="false"/>
          <w:smallCaps w:val="false"/>
          <w:sz w:val="20"/>
        </w:rPr>
        <w:t>” means, collectively, the Company Common Stock, the Company Preferred Stock, the Company Convertible Notes, the Company RSUs and the Company Options. For the avoidance of doubt, the Company Securities shall exclude the Burkhan Instruments and any shares of the Company Common Stock issuable upon the Burkhan Conversion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Security Conversion</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Software</w:t>
      </w:r>
      <w:r>
        <w:rPr>
          <w:rFonts w:ascii="Times New Roman;Times;Serif" w:hAnsi="Times New Roman;Times;Serif"/>
          <w:b w:val="false"/>
          <w:i w:val="false"/>
          <w:caps w:val="false"/>
          <w:smallCaps w:val="false"/>
          <w:sz w:val="20"/>
        </w:rPr>
        <w:t>” means any and all Software that embodies or constitutes any Company Intellectual Property from which the Company or its Subsidiaries (i) have derived revenue (directly or indirectly) within the three (3) years preceding the date hereof, (ii) are currently deriving revenue (directly or indirectly), or (iii) currently plan or are scheduled to derive revenue (directly or indirectly), in each case with respect to (i) – (iii), from the sale, license, maintenance or other provision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 Approvals</w:t>
      </w:r>
      <w:r>
        <w:rPr>
          <w:rFonts w:ascii="Times New Roman;Times;Serif" w:hAnsi="Times New Roman;Times;Serif"/>
          <w:b w:val="false"/>
          <w:i w:val="false"/>
          <w:caps w:val="false"/>
          <w:smallCaps w:val="false"/>
          <w:sz w:val="20"/>
        </w:rPr>
        <w:t>” means the approval of this Agreement and the Transactions, including the Merger and the transactions contemplated thereby, by the affirmative vote or written consent of (i) the holders of a majority of the outstanding shares of Company Common Stock and Company Preferred Stock, voting together as a single class on an as-converted basis, (ii) the holders of a majority of the outstanding shares of Company Preferred Stock, voting together as a single class on an as-converted basis, (iii) the holders of a majority of the outstanding shares of Series C Shadow Preferred Stock, voting together as a separate class, and (iv) the holders of a majority of the outstanding shares of Series D Shadow Stock and Senior Series D Shadow Stock, voting together as a single class on an as-converted basis, in each case, pursuant to the terms and subject to the conditions of the Company’s Governing Documents and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means any holder of Company Securities as of immediately prior to the Effective Time (after giving effect to the Company Security Conversion and the Warrant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Support Agreement</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Systems</w:t>
      </w:r>
      <w:r>
        <w:rPr>
          <w:rFonts w:ascii="Times New Roman;Times;Serif" w:hAnsi="Times New Roman;Times;Serif"/>
          <w:b w:val="false"/>
          <w:i w:val="false"/>
          <w:caps w:val="false"/>
          <w:smallCaps w:val="false"/>
          <w:sz w:val="20"/>
        </w:rPr>
        <w:t>” means the information technology systems that are owned or controlled by (including by Contract)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Transaction Expenses</w:t>
      </w:r>
      <w:r>
        <w:rPr>
          <w:rFonts w:ascii="Times New Roman;Times;Serif" w:hAnsi="Times New Roman;Times;Serif"/>
          <w:b w:val="false"/>
          <w:i w:val="false"/>
          <w:caps w:val="false"/>
          <w:smallCaps w:val="false"/>
          <w:sz w:val="20"/>
        </w:rPr>
        <w:t xml:space="preserve">” means the following out-of-pocket fees and expenses paid or payable by the Company or any of its Subsidiaries (whether or not billed or accrued for) as a result of or in connection with the negotiation, documentation and consummation of the Transactions: (i) all fees, costs, expenses, brokerage fees, commissions, finders’ fees and disbursements of financial advisors, investment banks, data room administrators, attorneys, accountants and other advisors and service providers of or to the Company or any of its Subsidiaries (including with respect to any Company Financing), (ii) change-in-control payments, transaction bonuses, retention payments, severance or similar compensatory payments payable by the Company or any of its Subsidiaries to any current or former employee (including any amounts due under any consulting agreement with any such former employee), independent contractor, officer, or director of the Company or any of its Subsidiaries as a result of the Transactions (and not tied to any subsequent event or condition, such as a termination of employment), including the employer portion of any payroll Taxes arising therefrom, (iii) fifty percent (50%) of any Transfer Taxes, (iv) fifty percent (50%) of all of the filing fees, administrative fees, costs and expenses payable by Acquiror or any of its Subsidiaries, or the Company or any of its Subsidiaries, to the Governmental Authorities in connection with the Transactions (including, for the avoidance of doubt, the HSR Act filing fees described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and (v) amounts owing or that may become owed, payable or otherwise due, directly or indirectly, by the Company or any of its Subsidiaries in connection with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Warrants</w:t>
      </w:r>
      <w:r>
        <w:rPr>
          <w:rFonts w:ascii="Times New Roman;Times;Serif" w:hAnsi="Times New Roman;Times;Serif"/>
          <w:b w:val="false"/>
          <w:i w:val="false"/>
          <w:caps w:val="false"/>
          <w:smallCaps w:val="false"/>
          <w:sz w:val="20"/>
        </w:rPr>
        <w:t>” means warrants to purchase equity securities of the Company (excluding, for the avoidance of doubt, the Burkhan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Constituent Corporations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means any legally binding contracts, agreements, subcontracts, leases, and purchase orders.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has the meaning specified within the definition of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D&amp;O Indemnified Parties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Breach</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Letter</w:t>
      </w:r>
      <w:r>
        <w:rPr>
          <w:rFonts w:ascii="Times New Roman;Times;Serif" w:hAnsi="Times New Roman;Times;Serif"/>
          <w:b w:val="false"/>
          <w:i w:val="false"/>
          <w:caps w:val="false"/>
          <w:smallCaps w:val="false"/>
          <w:sz w:val="20"/>
        </w:rPr>
        <w:t>” means, as applicable, the Company Disclosure Letter or the Acquiror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 means the time period commencing on the Closing Date and ending on the five (5) year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Company Holder</w:t>
      </w:r>
      <w:r>
        <w:rPr>
          <w:rFonts w:ascii="Times New Roman;Times;Serif" w:hAnsi="Times New Roman;Times;Serif"/>
          <w:b w:val="false"/>
          <w:i w:val="false"/>
          <w:caps w:val="false"/>
          <w:smallCaps w:val="false"/>
          <w:sz w:val="20"/>
        </w:rPr>
        <w:t>” means Company Stockholders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Holder</w:t>
      </w:r>
      <w:r>
        <w:rPr>
          <w:rFonts w:ascii="Times New Roman;Times;Serif" w:hAnsi="Times New Roman;Times;Serif"/>
          <w:b w:val="false"/>
          <w:i w:val="false"/>
          <w:caps w:val="false"/>
          <w:smallCaps w:val="false"/>
          <w:sz w:val="20"/>
        </w:rPr>
        <w:t>” means each Eligible Company Holder and Burkhan.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applicable Laws relating to Hazardous Materials, pollution, the protection or management of the environment or natural resources, or the protection of human health and safety from exposure to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Incentive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of the Company means any Affiliate or business, whether or not incorporated, that together with the Company would be deemed to be a “single employer” within the meaning of Section 414(b), (c), (m) or (o)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has the meaning specified within the definition of “</w:t>
      </w:r>
      <w:r>
        <w:rPr>
          <w:rFonts w:ascii="Times New Roman;Times;Serif" w:hAnsi="Times New Roman;Times;Serif"/>
          <w:b w:val="false"/>
          <w:i w:val="false"/>
          <w:caps w:val="false"/>
          <w:smallCaps w:val="false"/>
          <w:sz w:val="20"/>
          <w:u w:val="single"/>
        </w:rPr>
        <w:t>Acquiror Intervening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Excise Tax</w:t>
      </w:r>
      <w:r>
        <w:rPr>
          <w:rFonts w:ascii="Times New Roman;Times;Serif" w:hAnsi="Times New Roman;Times;Serif"/>
          <w:b w:val="false"/>
          <w:i w:val="false"/>
          <w:caps w:val="false"/>
          <w:smallCaps w:val="false"/>
          <w:sz w:val="20"/>
        </w:rPr>
        <w:t>” means any Taxes imposed on Acquiror pursuant to Section 4501 of the Code (and any related guidance, including IRS Notice 2023-2) with respect to Acquiror Share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Shares</w:t>
      </w:r>
      <w:r>
        <w:rPr>
          <w:rFonts w:ascii="Times New Roman;Times;Serif" w:hAnsi="Times New Roman;Times;Serif"/>
          <w:b w:val="false"/>
          <w:i w:val="false"/>
          <w:caps w:val="false"/>
          <w:smallCaps w:val="false"/>
          <w:sz w:val="20"/>
        </w:rPr>
        <w:t>” means (i) any shares of Company Common Stock held by the Company as treasury stock and (ii) any Dissenting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Approvals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4.26(a)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Proxy Statement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Authorities</w:t>
      </w:r>
      <w:r>
        <w:rPr>
          <w:rFonts w:ascii="Times New Roman;Times;Serif" w:hAnsi="Times New Roman;Times;Serif"/>
          <w:b w:val="false"/>
          <w:i w:val="false"/>
          <w:caps w:val="false"/>
          <w:smallCaps w:val="false"/>
          <w:sz w:val="20"/>
        </w:rPr>
        <w:t>” means the Secretary of State under the NSI Act or the foreign investment authorities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Benefit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as in effect from time to time,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the legal document(s) by which any Person (other than an individual) establishes its legal existence or which govern its internal affairs. For example,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of a corporation are its certificate of incorporation and bylaws,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of a limited partnership are its limited partnership agreement and certificate of limited partnership, the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of a limited liability company are its operating agreement and certificate of formation (in each case, as amended, restated, amended and restated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provincial, municipal, local or foreign government, governmental authority, regulatory or administrative agency, governmental commission, department, board, bureau, agency or instrumentality, legislature, court or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Order</w:t>
      </w:r>
      <w:r>
        <w:rPr>
          <w:rFonts w:ascii="Times New Roman;Times;Serif" w:hAnsi="Times New Roman;Times;Serif"/>
          <w:b w:val="false"/>
          <w:i w:val="false"/>
          <w:caps w:val="false"/>
          <w:smallCaps w:val="false"/>
          <w:sz w:val="20"/>
        </w:rPr>
        <w:t>” means any order, judgment, injunction, decree, writ, stipulation, determination or award, in each case, entered by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substance, material or waste that is (a) regulated, classified, or otherwise characterized under or pursuant to any Environmental Law as “hazardous,” “toxic,” “pollutant,” “contaminant,” “radioactive,” or words of similar meaning or effect, or (b) to which liability or standards of conduct may be imposed pursuant to Environmental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without duplication, any obligations, contingent or otherwise, in respect of (i) the principal of and premium (if any) in respect of all indebtedness for borrowed money, including accrued interest and any per diem interest accruals, (ii) the principal and interest components of capital lease or finance lease obligations under GAAP, (iii) amounts drawn (including any accrued and unpaid interest) on letters of credit, bank guarantees, bankers’ acceptances and other similar instruments (solely to the extent such amounts have actually been drawn), (iv) the principal of and premium (if any) in respect of obligations evidenced by bonds, debentures, notes, mortgages and similar instruments, (v) the termination value of interest rate protection agreements and currency obligation swaps, hedges or similar arrangements (without duplication of other indebtedness supported or guaranteed thereby), (vi) the principal component of all obligations to pay the deferred and unpaid purchase price of services or property and equipment which have been delivered, including “earn outs” and “seller notes” and (vii) breakage costs, prepayment or early termination premiums, penalties, or other fees or expenses payable as a result of the consummation of the Transactions in respect of any of the items in the foregoing clauses (i) through (vi), and (viii) all Indebtedness of another Person referred to in clauses (i) through (vii) above guaranteed directly or indirectly, jointly or severally.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Directors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Indian Subsidiary</w:t>
      </w:r>
      <w:r>
        <w:rPr>
          <w:rFonts w:ascii="Times New Roman;Times;Serif" w:hAnsi="Times New Roman;Times;Serif"/>
          <w:b w:val="false"/>
          <w:i w:val="false"/>
          <w:caps w:val="false"/>
          <w:smallCaps w:val="false"/>
          <w:sz w:val="20"/>
        </w:rPr>
        <w:t>” means Blaize New Computing Technologies India Private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any and all intellectual property rights and industrial property rights in or to the following, throughout the world, including rights with respect to: (i)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registered and unregistered trademarks, logos, service marks, trade dress and trade names, slogans, pending applications therefor, renewals and extensions of any of the foregoing, together with the goodwill of the Company or any of its Subsidiaries or their respective businesses symbolized by or associated with any of the foregoing (“</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(iii) registered and unregistered copyrights, applications for registration of copyright, and renewals, extensions, and reversions of any of the foregoing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(iv) other rights in works of authorship; (v) internet domain names; (vi) trade secrets, know-how, inventions (whether or not patentable), discoveries, improvements, technology, business and technical information, databases, data compilations and collections, tools, methods, processes, techniques and other confidential information; (vii) rights of publicity; (viii) rights in Software; (ix) all rights to sue for and remedies against past, present and future infringements, misappropriate or dilution of any or all of the foregoing and rights of priority and protection of interests therein under the Laws of any jurisdiction worldwide; and (x) all other proprietary, intellectual property and other rights relating to any or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International Trade Laws</w:t>
      </w:r>
      <w:r>
        <w:rPr>
          <w:rFonts w:ascii="Times New Roman;Times;Serif" w:hAnsi="Times New Roman;Times;Serif"/>
          <w:b w:val="false"/>
          <w:i w:val="false"/>
          <w:caps w:val="false"/>
          <w:smallCaps w:val="false"/>
          <w:sz w:val="20"/>
        </w:rPr>
        <w:t>” means all applicable Laws relating to the import, export, re-export, deemed export, deemed re-export, or transfer of information, data, goods, and technology, including but not limited to the Export Administration Regulations administered by the United States Department of Commerce, the International Traffic in Arms Regulations administered by the United States Department of State, customs and import Laws administered by United States Customs and Border Protection, any other export or import controls administered by an agency of the United States government, the anti-boycott regulations administered by the United States Department of Commerce, and other applicable Laws adopted by Governmental Authorities of other countries relating to the same subject matter as the United States Laws described above, except to the extent inconsistent with 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Agreement</w:t>
      </w:r>
      <w:r>
        <w:rPr>
          <w:rFonts w:ascii="Times New Roman;Times;Serif" w:hAnsi="Times New Roman;Times;Serif"/>
          <w:b w:val="false"/>
          <w:i w:val="false"/>
          <w:caps w:val="false"/>
          <w:smallCaps w:val="false"/>
          <w:sz w:val="20"/>
        </w:rPr>
        <w:t>” means all licenses, sublicenses, consent to use agreements, settlements, coexistence agreements, covenants not to sue, permissions and other Contracts (including any right to receive or obligation to pay royalties or any other consideration), whether written or oral, pursuant to which the Company or its Subsidiaries grant any Person any rights to use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Act</w:t>
      </w:r>
      <w:r>
        <w:rPr>
          <w:rFonts w:ascii="Times New Roman;Times;Serif" w:hAnsi="Times New Roman;Times;Serif"/>
          <w:b w:val="false"/>
          <w:i w:val="false"/>
          <w:caps w:val="false"/>
          <w:smallCaps w:val="false"/>
          <w:sz w:val="20"/>
        </w:rPr>
        <w:t>” means the (Indian) Income Tax Act, 1961, together with any statutory modifications (including those having retrospective applicability) or re-enactment thereof and with all applicable bylaws, rules, regulations, orders, circulars, notifications, ordinances, instructions, directions and otherwise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means the Jumpstart Our Business Startups Act of 2012,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Latham</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11.18(b)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law (including common law), ordinance, rule, regulation, Governmental Order or other similar legal requirement, in each case,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means all real property leased, licensed, subleased or otherwise used or occupied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means any approvals, authorizations, consents, licenses, registrations, permits or certificates of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all liens, mortgages, deeds of trust, pledges, hypothecations, encumbrances, security interests, adverse claim, options, restrictions, claims or other liens of any kind whether consensual, statutory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Certificate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means the board of directors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Capital Stock</w:t>
      </w:r>
      <w:r>
        <w:rPr>
          <w:rFonts w:ascii="Times New Roman;Times;Serif" w:hAnsi="Times New Roman;Times;Serif"/>
          <w:b w:val="false"/>
          <w:i w:val="false"/>
          <w:caps w:val="false"/>
          <w:smallCaps w:val="false"/>
          <w:sz w:val="20"/>
        </w:rPr>
        <w:t>” means the shares of the common stock, par value $0.01 per share,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$125,000,000.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Modification in Recommendation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Acquiror Board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Norton Rose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NSI Act</w:t>
      </w:r>
      <w:r>
        <w:rPr>
          <w:rFonts w:ascii="Times New Roman;Times;Serif" w:hAnsi="Times New Roman;Times;Serif"/>
          <w:b w:val="false"/>
          <w:i w:val="false"/>
          <w:caps w:val="false"/>
          <w:smallCaps w:val="false"/>
          <w:sz w:val="20"/>
        </w:rPr>
        <w:t>” means the United Kingdom’s National Security and Investment Act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 means any and all “open source” licenses and “free software” licenses, including any license that substantially conforms to the Open Source Definition (as promulgated by the Open Source Initiative) or the Free Software Definition (as promulgated by the Free Software Foundation), any license approved by the Open Source Initiative, any Creative Commons License, any GPL, LGPL, AGPL, Mozilla License, Apache License, Common Public License, Common Development and Distribution License, BSD License, Open Software License, Server Side Public License, Sleepycat License, or Eclipse Public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Materials</w:t>
      </w:r>
      <w:r>
        <w:rPr>
          <w:rFonts w:ascii="Times New Roman;Times;Serif" w:hAnsi="Times New Roman;Times;Serif"/>
          <w:b w:val="false"/>
          <w:i w:val="false"/>
          <w:caps w:val="false"/>
          <w:smallCaps w:val="false"/>
          <w:sz w:val="20"/>
        </w:rPr>
        <w:t>” means any Software subject to an Open Source License.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Real Property</w:t>
      </w:r>
      <w:r>
        <w:rPr>
          <w:rFonts w:ascii="Times New Roman;Times;Serif" w:hAnsi="Times New Roman;Times;Serif"/>
          <w:b w:val="false"/>
          <w:i w:val="false"/>
          <w:caps w:val="false"/>
          <w:smallCaps w:val="false"/>
          <w:sz w:val="20"/>
        </w:rPr>
        <w:t>” means all real property owned in fee simple by the Companies or any of their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has the meaning specified within the definition of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PCAOB</w:t>
      </w:r>
      <w:r>
        <w:rPr>
          <w:rFonts w:ascii="Times New Roman;Times;Serif" w:hAnsi="Times New Roman;Times;Serif"/>
          <w:b w:val="false"/>
          <w:i w:val="false"/>
          <w:caps w:val="false"/>
          <w:smallCaps w:val="false"/>
          <w:sz w:val="20"/>
        </w:rPr>
        <w:t>” means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Company Share Merger Consideration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(i) mechanic’s, materialmen’s, and similar Liens arising in the ordinary course of business with respect to any amounts (A) not yet due and payable or which are being contested in good faith through appropriate proceedings and (B) for which adequate accruals or reserves have been established in accordance with GAAP, (ii) Liens for Taxes (A) not yet due and payable or (B) that are being contested in good faith through appropriate proceedings and, in each case, for which adequate accruals or reserves have been established in accordance with GAAP in the Financial Statements, (iii) defects or imperfections of title, easements, encroachments, covenants, rights-of-way, conditions, matters that would be apparent from a physical inspection or current, accurate survey of such real property, restrictions and other similar charges or encumbrances that do not, in the aggregate, materially interfere with the present use of the Owned Real Property or Leased Real Property, (iv) with respect to any Leased Real Property (A) the interests and rights of the respective lessors with respect thereto, including any statutory landlord liens and any Lien thereon, (B) any Lien permitted under a Real Property Lease, (C) any Liens encumbering the underlying fee title of the real property of which the Leased Real Property is a part, and (D) guaranties, letters of credit or deposits arising from any Real Property Leases, including security deposits made in the ordinary course of business, (v) zoning, building, entitlement and other land use and environmental regulations promulgated by any Governmental Authority that do not, individual or in the aggregate, materially interfere with the current use of the Owned Real Property or Leased Real Property, (vi) non-exclusive licenses of Intellectual Property entered into in the ordinary course of business, (vii) Liens incurred in connection with operating lease, capital lease or finance lease obligations of the Company or its Subsidiaries, (viii) with respect to the Company and its Subsidiaries, Liens arising under Governing Documents as in effect on the date of this Agreement, and (ix) Liens to be released prior to or at the Closing.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firm, corporation, partnership, limited liability company, incorporated or unincorporated association, joint venture, joint stock company, Governmental Authority or instrumentality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“personal information,” “personal data,” “personally identifiable information,” or “PII” as defined under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means any and all applicable Laws, implementing regulations under such Laws, legal requirements and binding self-regulatory guidelines (including of any applicable foreign jurisdiction) relating to privacy, data security, data breach notification, or data protection or governing, and to the receipt, collection, compilation, use, storage, processing, sharing, safeguarding, security (technical, physical or administrative), disposal, destruction, disclosure or transfer (including cross-border) of any Personal Information, including, as applicable, but not limited to, the Federal Trade Commission Act, California Consumer Privacy Act (CCPA), Payment Card Industry Data Security Standard (PCI-DSS), and the EU General Data Protection Regulation (GDPR).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Placement Investment</w:t>
      </w:r>
      <w:r>
        <w:rPr>
          <w:rFonts w:ascii="Times New Roman;Times;Serif" w:hAnsi="Times New Roman;Times;Serif"/>
          <w:b w:val="false"/>
          <w:i w:val="false"/>
          <w:caps w:val="false"/>
          <w:smallCaps w:val="false"/>
          <w:sz w:val="20"/>
        </w:rPr>
        <w:t>” means any private placement of shares of Acquiror Class A Common Stock or securities exercisable or convertible into shares of Acquiror Class A Common Stock, or any other form of investment in or financing of (either directly or indirectly) Acquiror, that is consummated in connection with the Transactions subject to and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Placement Investor</w:t>
      </w:r>
      <w:r>
        <w:rPr>
          <w:rFonts w:ascii="Times New Roman;Times;Serif" w:hAnsi="Times New Roman;Times;Serif"/>
          <w:b w:val="false"/>
          <w:i w:val="false"/>
          <w:caps w:val="false"/>
          <w:smallCaps w:val="false"/>
          <w:sz w:val="20"/>
        </w:rPr>
        <w:t>” means any investor that has agreed to enter into a Private Placement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xml:space="preserve">” means, for each Eligible Company Holder, a percentage determined by dividing (i) the total number of (a) shares of Company Common Stock issued and outstanding immediately prior to the Effective Time (after giving effect to the Company Security Conversion and the Warrant Event) held by such Eligible Company Holder immediately prior to the Effective Time,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shares of Company Common Stock subject to Company Options that are outstanding and held by such Eligible Company Holder immediately prior to the Effective Time, calculated using the treasury stock method of accounting,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shares of Company Common Stock subject to unsettled Company RSUs that are outstanding and held by such Eligible Company Holder immediately prior to the Effective Time, by (ii) the total number of (a) shares of Company Common Stock issued and outstanding immediately prior to the Effective Time (after giving effect to the Company Security Conversion and the Warrant Event) held by the Eligible Company Holders immediately prior to the Effective Time,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(b) shares of Company Common Stock subject to Company Options that are outstanding and held by the Eligible Company Holders immediately prior to the Effective Time, calculated using the treasury stock method of accounting,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shares of Company Common Stock subject to Company RSUs that are outstanding and held by the Eligible Company Holders immediately prior to the Effective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 / Registration Statement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4.20(b)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Transaction Proposals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Company Stockholders</w:t>
      </w:r>
      <w:r>
        <w:rPr>
          <w:rFonts w:ascii="Times New Roman;Times;Serif" w:hAnsi="Times New Roman;Times;Serif"/>
          <w:b w:val="false"/>
          <w:i w:val="false"/>
          <w:caps w:val="false"/>
          <w:smallCaps w:val="false"/>
          <w:sz w:val="20"/>
        </w:rPr>
        <w:t>” means the holders of Company Common Stock and Company Preferred Stock who, collectively, hold at least the number, class and series of shares of Company Common Stock and Company Preferred Stock required to deliver the Company Stockholder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any country or territory with which dealings are broadly and comprehensively prohibited by one or more Sanctions Laws (as of the date of this Agreement, Cuba, Iran, North Korea, Syria, the Crimea region of Ukraine, the so-called Donetsk People’s Republic, and the so-called Luhansk People’s Republic).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(i) any Person identified in any sanctions-related list of designated Persons maintained by (a) the United States Department of the Treasury’s Office of Foreign Assets Control or the United States Department of State; (b) His Majesty’s Treasury of the United Kingdom; (c) the United Nations Security Council; or (d) the European Union; (ii) any Person located, organized, or resident in, or a Governmental Authority or government instrumentality of, any Sanctioned Country; and (iii) any Person directly or indirectly 50% or greater owned or controlled by, or acting for the benefit or on behalf of, a Person described in clause (i) or (ii), either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means economic and financial sanctions Laws administered, enacted or enforced from time to time by (i) the United States (including the Department of the Treasury’s Office of Foreign Assets Control), (ii) the European Union and enforced by its member states, (iii) the United Nations Security Council, or (iv)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Purchase Agreements</w:t>
      </w:r>
      <w:r>
        <w:rPr>
          <w:rFonts w:ascii="Times New Roman;Times;Serif" w:hAnsi="Times New Roman;Times;Serif"/>
          <w:b w:val="false"/>
          <w:i w:val="false"/>
          <w:caps w:val="false"/>
          <w:smallCaps w:val="false"/>
          <w:sz w:val="20"/>
        </w:rPr>
        <w:t>” means any purchase agreement entered into with any Private Placement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Series D Shadow Stock</w:t>
      </w:r>
      <w:r>
        <w:rPr>
          <w:rFonts w:ascii="Times New Roman;Times;Serif" w:hAnsi="Times New Roman;Times;Serif"/>
          <w:b w:val="false"/>
          <w:i w:val="false"/>
          <w:caps w:val="false"/>
          <w:smallCaps w:val="false"/>
          <w:sz w:val="20"/>
        </w:rPr>
        <w:t>” means, collectively, the Series D-2 Shadow Preferred Stock, Series D Shadow Exchange Preferred Stock and Series D-1 Shadow Exchange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C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 Exchange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 Shadow Stock</w:t>
      </w:r>
      <w:r>
        <w:rPr>
          <w:rFonts w:ascii="Times New Roman;Times;Serif" w:hAnsi="Times New Roman;Times;Serif"/>
          <w:b w:val="false"/>
          <w:i w:val="false"/>
          <w:caps w:val="false"/>
          <w:smallCaps w:val="false"/>
          <w:sz w:val="20"/>
        </w:rPr>
        <w:t>” means, collectively, the Series D Shadow Preferred Stock and the Series D-1 Shadow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D-1 Exchange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D-1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D-2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Seed Shadow Preferred Stock</w:t>
      </w:r>
      <w:r>
        <w:rPr>
          <w:rFonts w:ascii="Times New Roman;Times;Serif" w:hAnsi="Times New Roman;Times;Serif"/>
          <w:b w:val="false"/>
          <w:i w:val="false"/>
          <w:caps w:val="false"/>
          <w:smallCaps w:val="false"/>
          <w:sz w:val="20"/>
        </w:rPr>
        <w:t>” has the meaning specified in the Company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any and all (a) software, computer programs, and applications including any and all software implementations of algorithms, models and methodologies, whether in source code or object code, (b) computer-based databases and compilations, (c) descriptions, flow-charts and other work product used to design, plan, organize and develop any of the foregoing, screens, user interfaces, report formats, firmware, development tools, templates, menus, buttons and icons, (d) all versions, updates, corrections, enhancements and modifications related to any of the foregoing, and (e) all documents (including, user manuals, training documentation, developer notes, comments and annotations) related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means BurTech LP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 Support Agreement</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 Person, a corporation or other entity of which more than 50% of the voting power of the equity securities or equity interests is owned, directly or indirectly,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declaration, report, claim for refund, statement, information return or statement, or other document filed or required to be filed with any Governmental Authority with respect to Taxes, including any schedules, attachments, amendments, or supplements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U.S. federal, state, or local or non-U.S. taxes, duties, levies or other similar governmental assessments in the nature of taxes, including, without limitation, income, gains, gross receipts, corporate, license, payroll, recapture, net worth, employment (including employee withholding or employer payroll tax, national insurance contributions, apprenticeship levy, FICA or FUTA), excise, severance, stamp, occupation, premium, windfall profits, environmental, customs duties, capital stock, ad valorem, value added, inventory, production, franchise, profits, withholding, social security, unemployment, disability, welfare, real property, personal property, sales, use, services, turnover, transfer, registration, representative, agent, excess lines (or similar), any taxes imposed under the IT Act or the (Indian) Goods &amp; Services Tax Act 2017, alternative or add-on minimum, estimated, and other taxes, including any interest, penalty, or addition to tax of any of the foregoing, whether or not disputed.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Terminating Acquiror Breach</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Terminating Company Breach</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10.1(d)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IV Plan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4.13(c)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Top Customers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Top Vendors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Merger Consideration</w:t>
      </w:r>
      <w:r>
        <w:rPr>
          <w:rFonts w:ascii="Times New Roman;Times;Serif" w:hAnsi="Times New Roman;Times;Serif"/>
          <w:b w:val="false"/>
          <w:i w:val="false"/>
          <w:caps w:val="false"/>
          <w:smallCaps w:val="false"/>
          <w:sz w:val="20"/>
        </w:rPr>
        <w:t xml:space="preserve">” means the number of shares of Acquiror Class A Common Stock issuable in the Transaction to the Company Stockholders and Burkhan and/or its Affiliates and/or nominees pursuant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(including the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Trademarks</w:t>
      </w:r>
      <w:r>
        <w:rPr>
          <w:rFonts w:ascii="Times New Roman;Times;Serif" w:hAnsi="Times New Roman;Times;Serif"/>
          <w:b w:val="false"/>
          <w:i w:val="false"/>
          <w:caps w:val="false"/>
          <w:smallCaps w:val="false"/>
          <w:sz w:val="20"/>
        </w:rPr>
        <w:t>” has the meaning specified within the definition of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Proposals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8.2(b)(ii)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regulations promulgated under the Code by the United States Department of the Treasury (whether in final, proposed or temporary form),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 I</w:t>
      </w:r>
      <w:r>
        <w:rPr>
          <w:rFonts w:ascii="Times New Roman;Times;Serif" w:hAnsi="Times New Roman;Times;Serif"/>
          <w:b w:val="false"/>
          <w:i w:val="false"/>
          <w:caps w:val="false"/>
          <w:smallCaps w:val="false"/>
          <w:sz w:val="20"/>
        </w:rPr>
        <w:t>” means the first date during the Earnout Period on which the closing stock price of Acquiror Class A Common Stock is greater than or equal to $12.50 per share for twenty (20) trading days within any thirty (30) consecutive trading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 II</w:t>
      </w:r>
      <w:r>
        <w:rPr>
          <w:rFonts w:ascii="Times New Roman;Times;Serif" w:hAnsi="Times New Roman;Times;Serif"/>
          <w:b w:val="false"/>
          <w:i w:val="false"/>
          <w:caps w:val="false"/>
          <w:smallCaps w:val="false"/>
          <w:sz w:val="20"/>
        </w:rPr>
        <w:t>” means the first date during the Earnout Period on which the closing stock price of Acquiror Class A Common Stock is greater than or equal to $15.00 per share for twenty (20) trading days within any thirty (30) consecutive trading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 III</w:t>
      </w:r>
      <w:r>
        <w:rPr>
          <w:rFonts w:ascii="Times New Roman;Times;Serif" w:hAnsi="Times New Roman;Times;Serif"/>
          <w:b w:val="false"/>
          <w:i w:val="false"/>
          <w:caps w:val="false"/>
          <w:smallCaps w:val="false"/>
          <w:sz w:val="20"/>
        </w:rPr>
        <w:t>” means the first date during the Earnout Period on which the closing stock price of Acquiror Class A Common Stock is greater than or equal to $17.50 per share for twenty (20) trading days within any thirty (30) consecutive trading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 IV</w:t>
      </w:r>
      <w:r>
        <w:rPr>
          <w:rFonts w:ascii="Times New Roman;Times;Serif" w:hAnsi="Times New Roman;Times;Serif"/>
          <w:b w:val="false"/>
          <w:i w:val="false"/>
          <w:caps w:val="false"/>
          <w:smallCaps w:val="false"/>
          <w:sz w:val="20"/>
        </w:rPr>
        <w:t>” means the first date during the Earnout Period on which the closing stock price of Acquiror Class A Common Stock is greater than or equal to $20.00 per share for twenty (20) trading days within any thirty (30) consecutive trading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Triggering Events</w:t>
      </w:r>
      <w:r>
        <w:rPr>
          <w:rFonts w:ascii="Times New Roman;Times;Serif" w:hAnsi="Times New Roman;Times;Serif"/>
          <w:b w:val="false"/>
          <w:i w:val="false"/>
          <w:caps w:val="false"/>
          <w:smallCaps w:val="false"/>
          <w:sz w:val="20"/>
        </w:rPr>
        <w:t>” means Triggering Event I, Triggering Event II, Triggering Event III and Triggering Event IV, collectively.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means the Investment Management Trust Agreement, dated December 10, 2021, by and between Acquiror and the Trustee, as amended after the date of this Agreement by any later amendment(s) to such agreement approved in writing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Amount</w:t>
      </w:r>
      <w:r>
        <w:rPr>
          <w:rFonts w:ascii="Times New Roman;Times;Serif" w:hAnsi="Times New Roman;Times;Serif"/>
          <w:b w:val="false"/>
          <w:i w:val="false"/>
          <w:caps w:val="false"/>
          <w:smallCaps w:val="false"/>
          <w:sz w:val="20"/>
        </w:rPr>
        <w:t xml:space="preserve">” means (i) the amount of cash available in the Trust Account following the Acquiror Stockholder Meeting, after deducting the amount required to satisfy the Acquiror Share Redemption Amount (such amount, prior to payment of (x) any deferred underwriting commissions being held in the Trust Account, (y) any Acquiror Transaction Expenses or (z) any Company Transaction Expenses), as contemplated by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means the Warrant Agreement, dated as of December 10, 2021, between Acquiror and Continental Stock Transfer &amp; Trust Company, as amended by any later amendment(s) approved in writing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Event</w:t>
      </w:r>
      <w:r>
        <w:rPr>
          <w:rFonts w:ascii="Times New Roman;Times;Serif" w:hAnsi="Times New Roman;Times;Serif"/>
          <w:b w:val="false"/>
          <w:i w:val="false"/>
          <w:caps w:val="false"/>
          <w:smallCaps w:val="false"/>
          <w:sz w:val="20"/>
        </w:rPr>
        <w:t>” has the meaning specified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 Loans</w:t>
      </w:r>
      <w:r>
        <w:rPr>
          <w:rFonts w:ascii="Times New Roman;Times;Serif" w:hAnsi="Times New Roman;Times;Serif"/>
          <w:b w:val="false"/>
          <w:i w:val="false"/>
          <w:caps w:val="false"/>
          <w:smallCaps w:val="false"/>
          <w:sz w:val="20"/>
        </w:rPr>
        <w:t>” means any loan made to Acquiror by any of the Sponsor, an Affiliate of the Sponsor, or any of Acquiror’s officers or directors, and evidenced by a promissory note, for the purpose of financing working capital or costs incurred in connection with a Business Combination, any Extension or to otherwise capitalize the Acquiror or fund any of its expenses.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or “Section” refer to the specified Article or Section of this Agreement; (v) the word “including” shall mean “including, without limitation” and (vi) the word “or” shall be disjunctive but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this Agreement refers to a number of days, such number shall refer to calendar days unless Business Days are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accounting terms used herein and not expressly defined herein shall have the meanings given to them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term “actual fraud” means, with respect to a Party to this Agreement, an actual and intentional fraud with respect to the making of the representations and warranties pursuant to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actual and intentional fraud of such Person shall only be deemed to exist if any of the individuals included on </w:t>
      </w:r>
      <w:r>
        <w:rPr>
          <w:rFonts w:ascii="Times New Roman;Times;Serif" w:hAnsi="Times New Roman;Times;Serif"/>
          <w:b w:val="false"/>
          <w:i w:val="false"/>
          <w:caps w:val="false"/>
          <w:smallCaps w:val="false"/>
          <w:sz w:val="20"/>
          <w:u w:val="single"/>
        </w:rPr>
        <w:t xml:space="preserve">Section 1.3 </w:t>
      </w:r>
      <w:r>
        <w:rPr>
          <w:rFonts w:ascii="Times New Roman;Times;Serif" w:hAnsi="Times New Roman;Times;Serif"/>
          <w:b w:val="false"/>
          <w:i w:val="false"/>
          <w:caps w:val="false"/>
          <w:smallCaps w:val="false"/>
          <w:sz w:val="20"/>
        </w:rPr>
        <w:t xml:space="preserve">of the Company Disclosure Letter (in the case of the Company) or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Acquiror Disclosure Letter (in the case of Acquiror) had knowledge that the representations and warranties made by such Person pursuant to, in the case of the Company,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qualified by the Company Disclosure Letter, or, in the case of Acquiror,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as qualified by the Acquiror Disclosure Letter, were actually breached when made, with the express intention that the other Party to this Agreement rely thereon to its detriment.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phrases “provided to,” “made available” and phrases of similar import when used herein, unless the context otherwise requires, means that a copy of the information or material referred to has been provided no later than one (1) Business Day prior to the date of this Agreement (or any time prior to the execution and delivery of this Agreement, if the applicable recipient acknowledges receipt of such information or material) to the party to which such information or material is to be provided or furnished (i) in the virtual “data room” set up by the Company in connection with this Agreement or (ii) by delivery to such party or its legal counsel via 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As used herein, (a) the phrase “to the knowledge” of the Company (or phrases of similar import) shall mean the actual knowledge of the individuals identified on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Company Disclosure Letter, or knowledge as such individuals would have acquired in the exercise of reasonable inquiries of direct reports, and (b) the phrase “to the knowledge” of Acquiror (or phrases of similar import) shall mean the actual knowledge of the individuals identified on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the Acquiror Disclosure Letter, or knowledge as such individuals would have acquired in the exercise of reasonable inquiries of direct reports.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Equitable Adjustments</w:t>
      </w:r>
      <w:r>
        <w:rPr>
          <w:rFonts w:ascii="Times New Roman;Times;Serif" w:hAnsi="Times New Roman;Times;Serif"/>
          <w:b w:val="false"/>
          <w:i w:val="false"/>
          <w:caps w:val="false"/>
          <w:smallCaps w:val="false"/>
          <w:sz w:val="20"/>
        </w:rPr>
        <w:t xml:space="preserve">. Other than as contemplated by this Agreement, if between the date of this Agreement and the Closing the outstanding shares of Company Common Stock or Acquiror Common Stock shall have been changed into a different number of shares or a different class, by reason of any stock dividend, subdivision, reclassification, reorganization, recapitalization, split, combination or exchange of shares, or any similar event shall have occurred, then any number, value (including dollar value) or amount contained herein which is based upon the number of shares of Company Common Stock or Acquiror Common Stock, as applicable, will be appropriately adjusted to provide to the holders of Company Common Stock or Acquiror Common Stock, as applicable, the same economic effect as contemplated by this Agreement prior to such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not be construed to permit the Company, Acquiror or Merger Sub to take any action with respect to their respective securities that is prohibited by the terms and conditions of this Agreement and/or any Ancillary Agreement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no event shall any adjustment contemplated by this </w:t>
      </w:r>
      <w:r>
        <w:rPr>
          <w:rFonts w:ascii="Times New Roman;Times;Serif" w:hAnsi="Times New Roman;Times;Serif"/>
          <w:b w:val="false"/>
          <w:i w:val="false"/>
          <w:caps w:val="false"/>
          <w:smallCaps w:val="false"/>
          <w:sz w:val="20"/>
          <w:u w:val="single"/>
        </w:rPr>
        <w:t xml:space="preserve">Section 1.4 </w:t>
      </w:r>
      <w:r>
        <w:rPr>
          <w:rFonts w:ascii="Times New Roman;Times;Serif" w:hAnsi="Times New Roman;Times;Serif"/>
          <w:b w:val="false"/>
          <w:i w:val="false"/>
          <w:caps w:val="false"/>
          <w:smallCaps w:val="false"/>
          <w:sz w:val="20"/>
        </w:rPr>
        <w:t>result in an increase to the Base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MERGER;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terms and subject to the conditions set forth in this Agreement, Acquiror, Merger Sub and the Company (Merger Sub and the Company sometimes being referred to herein as the “</w:t>
      </w:r>
      <w:r>
        <w:rPr>
          <w:rFonts w:ascii="Times New Roman;Times;Serif" w:hAnsi="Times New Roman;Times;Serif"/>
          <w:b w:val="false"/>
          <w:i w:val="false"/>
          <w:caps w:val="false"/>
          <w:smallCaps w:val="false"/>
          <w:sz w:val="20"/>
          <w:u w:val="single"/>
        </w:rPr>
        <w:t>Constituent Corporations</w:t>
      </w:r>
      <w:r>
        <w:rPr>
          <w:rFonts w:ascii="Times New Roman;Times;Serif" w:hAnsi="Times New Roman;Times;Serif"/>
          <w:b w:val="false"/>
          <w:i w:val="false"/>
          <w:caps w:val="false"/>
          <w:smallCaps w:val="false"/>
          <w:sz w:val="20"/>
        </w:rPr>
        <w:t>”) shall cause Merger Sub to be merged with and into the Company, with the Company being the surviving corporation in the Merger. The Merger shall be consummated in accordance with this Agreement and shall be evidenced by a certificate of merger with respect to the Merger (as so filed, the “</w:t>
      </w:r>
      <w:r>
        <w:rPr>
          <w:rFonts w:ascii="Times New Roman;Times;Serif" w:hAnsi="Times New Roman;Times;Serif"/>
          <w:b w:val="false"/>
          <w:i w:val="false"/>
          <w:caps w:val="false"/>
          <w:smallCaps w:val="false"/>
          <w:sz w:val="20"/>
          <w:u w:val="single"/>
        </w:rPr>
        <w:t>Merger Certificate</w:t>
      </w:r>
      <w:r>
        <w:rPr>
          <w:rFonts w:ascii="Times New Roman;Times;Serif" w:hAnsi="Times New Roman;Times;Serif"/>
          <w:b w:val="false"/>
          <w:i w:val="false"/>
          <w:caps w:val="false"/>
          <w:smallCaps w:val="false"/>
          <w:sz w:val="20"/>
        </w:rPr>
        <w:t>”), executed by the Company in accordance with the relevant provisions of the DGCL, such Merger to be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consummation of the Merger, the separate corporate existence of Merger Sub shall cease and the Company, as the surviving corporation of the Merger (hereinafter referred to for the periods at and after the Effective Time as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shall continue its corporate existence under the DGCL, as a direct wholly owned subsidiary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At and after the Effective Time, the Surviving Corporation shall thereupon and thereafter possess all of the rights, privileges, powers and franchises, of a public as well as a private nature, of the Constituent Corporations, and shall become subject to all the restrictions, disabilities and duties of each of the Constituent Corporations; and all rights, privileges, powers and franchises of each Constituent Corporation, and all property, real, personal and mixed, and all debts due to each such Constituent Corporation, on whatever account, shall become vested in the Surviving Corporation; and all property, rights, privileges, powers and franchises, and all and every other interest shall become thereafter the property of the Surviving Corporation as they are of the Constituent Corporations; and the title to any real property vested by deed or otherwise or any other interest in real estate vested by any instrument or otherwise in either of such Constituent Corporations shall not revert or become in any way impaired by reason of the Merger; but all Liens upon any property of a Constituent Corporation shall thereafter attach to the Surviving Corporation and shall be enforceable against it to the same extent as if said debts, liabilities and duties had been incurred or contracted by it; all of the foregoing in accordance with the applicable provisions of the DGCL.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Closing; 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accordance with the terms and subject to the conditions of this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electronically by the mutual exchange of electronic signatures (including portable document format (.PDF)) on the date which is two (2) Business Days after the first date on which all conditions set forth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have been satisfied or, to the extent legally permissible, waived (other than those conditions that by their terms are to be satisfied at the Closing, but subject to the satisfaction or, to the extent legally permissible, waiver thereof) or such other time and place as Acquiror and the Company may mutually agree in writing. The date on which the Closing actually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For the avoidance of doubt, the Closing shall occur after the consummation of the Company Security Conversion, the Warrant Event and the Burkhan Conversion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the satisfaction or, to the extent legally permissible, waiver of all of the conditions set forth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this Agreement has not theretofore been terminated pursuant to its terms, Acquiror, Merger Sub, and the Company shall cause the Merger Certificate to be executed and duly submitted for filing with the Secretary of State of the State of Delaware in accordance with the applicable provisions of the DGCL. The Merger shall become effective at the time when the Merger Certificate has been accepted for filing by the Secretary of State of the State of Delaware, or at such later time as may be agreed by Acquiror and the Company in writing and specified in the Merger Certificate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the Company will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Acquiror, a certificate duly executed by an authorized officer of the Company, dated as of the Closing Date, certifying that, to the knowledge and belief of such authorized officer, the conditions specified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9.2(c)</w:t>
      </w:r>
      <w:r>
        <w:rPr>
          <w:rFonts w:ascii="Times New Roman;Times;Serif" w:hAnsi="Times New Roman;Times;Serif"/>
          <w:b w:val="false"/>
          <w:i w:val="false"/>
          <w:caps w:val="false"/>
          <w:smallCaps w:val="false"/>
          <w:sz w:val="20"/>
        </w:rPr>
        <w:t>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Acquiror, the written resignations of all of the directors of the Company (other than any such Persons identified as initial directors of the Surviving Corporation, in accordance with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Acquiror, the Registration Rights Agreement, duly executed by the applicable Company Stockholders who have elected to execute the Registration Rights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Acquiror, a certificate on behalf of the Company and in form and substance reasonably satisfactory to Acquiror, prepared in a manner consistent and in accordance with the requirements of Treasury Regulations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(which shall be delivered by Acquiror to the Internal Revenue Service after the Closing), together with written authorization for Acquiror to deliver such documentation to the Internal Revenue Service on behalf of the Company after the Closing;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Acquiror, (1) for each Company Stockholder that is a “United States person” within the meaning of Section 7701(a)(30) of the Code, a properly completed and duly executed IRS Form W-9 certifying that such Company Stockholder is not subject to backup withholding, or (2) for each Company Stockholder that is not a “United States person,” a properly completed and duly executed applicable IRS Form W-8 of such Company Stockholder;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Company Stockholder fails to provided such certificate, the transactions contemplated by this Agreement shall nonetheless be able to close and each of Acquiror, Merger Sub, the Company, the Exchange Agent and their respective agents, as applicable, shall be entitled to withhold from any consideration paid pursuant to this Agreement any amounts required by Law in accordance with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Acquiror will deliver or cause to be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Exchange Agent, that portion of the Base Merger Consideration to be paid in respect of shares of Company Common Stock in accordance with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(as set forth on the Allocation Schedule), for further distribution to such holders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the Company, a certificate duly executed by an authorized officer of Acquiror, dated the Closing Date, certifying that, to the knowledge and belief of such authorized officer, the conditions specified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9.3(c)</w:t>
      </w:r>
      <w:r>
        <w:rPr>
          <w:rFonts w:ascii="Times New Roman;Times;Serif" w:hAnsi="Times New Roman;Times;Serif"/>
          <w:b w:val="false"/>
          <w:i w:val="false"/>
          <w:caps w:val="false"/>
          <w:smallCaps w:val="false"/>
          <w:sz w:val="20"/>
        </w:rPr>
        <w:t>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Company, the Registration Rights Agreement, duly executed by duly authorized representatives of Acquiror, Burkhan (and/or its Affiliates and/or nominees) and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Sponsor and Burkhan (and/or its Affiliates and/or nominees), the Stockholders’ Agreement, duly executed by Acquiror;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the Company, duly executed written resignations of all of the directors and officers of Acquiror and Merger Sub (other than those Persons identified as the initial directors and officers, respectively, of Acquiror after the Effective Time, in accordance with the provisions of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Closing Date, concurrently with the Effective Time, Acquiror shall pay or cause to be paid by wire transfer of immediately available funds, the Acquiror Transaction Expenses (other than any Excise Tax that is not due and payable at such time) and the Company Transaction Expenses, in accordance with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which amounts incurred, accrued, paid or payable by (i) Acquiror or Acquiror’s Affiliates (which shall include any outstanding amounts under any Working Capital Loans) shall be set forth on a written statement delivered to the Company not less than two (2) Business Days prior to the Closing Date and (ii) the Company or its Subsidiaries shall be set forth on a written statement delivered to Acquiror not less than two (2) Business Days prior to the Closing Date, which statements described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include the respective amounts and wire transfer instructions for the payment thereof, together with corresponding invoices for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Company Transaction Expenses due to current or former employees, independent contractors, officers, or directors of the Company or any of its Subsidiaries shall be paid to the Company for further payment to such employee, independent contractor, officer or director through the Company’s payroll or accounts payable, as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certificate of incorporation and bylaws of the Company in effect immediately prior to the Effective Time shall be amended and restated in their entirety at the Effective Time and, as so amended and restated, shall be the certificate of incorporation and bylaws of the Surviving Corporation from and after the Effective Time, until thereafter amended or modified as provided therein and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certificate of incorporation and bylaws of Acquiror as of immediately prior to the Effective Time (which shall be substantially in the form attached as </w:t>
      </w:r>
      <w:r>
        <w:rPr>
          <w:rFonts w:ascii="Times New Roman;Times;Serif" w:hAnsi="Times New Roman;Times;Serif"/>
          <w:b w:val="false"/>
          <w:i w:val="false"/>
          <w:caps w:val="false"/>
          <w:smallCaps w:val="false"/>
          <w:sz w:val="20"/>
          <w:u w:val="single"/>
        </w:rPr>
        <w:t>Exhibits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hereto with such changes as may be agreed in writing by Acquiror and the Company), shall be the certificate of incorporation and bylaws of Acquiror from and after the Effective Time, until thereafter amended as provided therein and under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 officers of the Company as of immediately prior to the Effective Time shall be the officers of the Surviving Corporation from and after the Effective Time and (ii) the directors of the Company as of immediately prior to the Effective Time shall be the directors of the Surviving Corporation from and after the Effective Time, in each case, each to hold office in accordance with the Governing Documents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take all actions necessary to ensure that, from and after the Effective Time, the Persons identified as the initial post-Closing directors and officers of Acquiror in accordance with the provisions of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as applicable, shall be the directors and officers, respectively, of Acquiror, each to hold office in accordance with the Governing Documents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intend that, for U.S. federal income tax purposes, (i) the Merger will qualify as a “reorganization” within the meaning of Section 368(a) of the Code and the Treasury Regulations promulgated thereunder, to which each of Acquiror, Merger Sub and the Company are parties under Section 368(b) of the Code and the Treasury Regulations promulgated thereunder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xml:space="preserve">”), (ii) the Company Security Conversion and the Burkhan Conversion Event will each qualify as a “recapitalization” within the meaning of Section 368(a)(1)(E) of the Code, and (iii) this Agreement is, and is hereby adopted as, a “plan of reorganization” for purposes of Sections 354, 361, and 368 of the Code and Treasury Regulations Sections 1.368-2(g) and 1.368-3(a). The Parties shall (A) file all Tax Returns and report the transactions contemplated by this Agreement for all U.S. federal income tax purposes in accordance with the Intended Tax Treatment, (B) take no position inconsistent with the Intended Tax Treatment (whether in audits, Tax Returns or otherwise), in the case of each of clauses (A) and (B), unless otherwise required by a “determination” within the meaning of Section 1313(a) of the Code, (C) use reasonable best efforts to cause the Merger (and if the Second Merger is consummated pursuant to </w:t>
      </w:r>
      <w:r>
        <w:rPr>
          <w:rFonts w:ascii="Times New Roman;Times;Serif" w:hAnsi="Times New Roman;Times;Serif"/>
          <w:b w:val="false"/>
          <w:i w:val="false"/>
          <w:caps w:val="false"/>
          <w:smallCaps w:val="false"/>
          <w:sz w:val="20"/>
          <w:u w:val="single"/>
        </w:rPr>
        <w:t>Section 2.7(b)</w:t>
      </w:r>
      <w:r>
        <w:rPr>
          <w:rFonts w:ascii="Times New Roman;Times;Serif" w:hAnsi="Times New Roman;Times;Serif"/>
          <w:b w:val="false"/>
          <w:i w:val="false"/>
          <w:caps w:val="false"/>
          <w:smallCaps w:val="false"/>
          <w:sz w:val="20"/>
        </w:rPr>
        <w:t xml:space="preserve">, the Merger and the Second Merger, taken together) to qualify for the Intended Tax Treatment; and (D) reasonably cooperate in good faith with each other and their respective advisors to document and support the Intended Tax Treatment, including by taking the actions described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of the Company Disclosure Letter. Each of the Parties shall promptly notify the other Parties in writing if such Party becomes aware of any challenge to the Intended Tax Treatment by a Governmental Authority or if such Party becomes aware of any non-public fact or circumstance that would reasonably be expected to prevent or impede the Merger from qualifying for the Intended Tax Treatment. None of the Parties shall (nor shall they permit any of their Affiliates, Subsidiaries or representatives to) knowingly take or cause to be taken any action or fail to take any action (in each case, other than such actions contemplated by this Agreement or the Ancillary Agreements), if such action or failure to take action would be reasonably expected to impede or prevent the Merger from qualifying for the Intended Tax Treatment. Notwithstanding the foregoing, nothing in this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shall (x) require or be interpreted to obligate any Party or any of their respective Affiliates or representatives to litigate or defend against any challenge to the Intended Tax Treatment by a Governmental Authority in a court or (y) prevent any Party or any of their respective Affiliates or representatives from, after taking such commercially reasonable efforts as are determined by such Party in good faith to defend and affirm the Intended Tax Treatment, settling such challenge. Notwithstanding anything else to the contrary contained in this Agreement, the Parties further acknowledge and agree that, (1) other than the representations set forth in </w:t>
      </w:r>
      <w:r>
        <w:rPr>
          <w:rFonts w:ascii="Times New Roman;Times;Serif" w:hAnsi="Times New Roman;Times;Serif"/>
          <w:b w:val="false"/>
          <w:i w:val="false"/>
          <w:caps w:val="false"/>
          <w:smallCaps w:val="false"/>
          <w:sz w:val="20"/>
          <w:u w:val="single"/>
        </w:rPr>
        <w:t>Section 4.15(m)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5.15(m)</w:t>
      </w:r>
      <w:r>
        <w:rPr>
          <w:rFonts w:ascii="Times New Roman;Times;Serif" w:hAnsi="Times New Roman;Times;Serif"/>
          <w:b w:val="false"/>
          <w:i w:val="false"/>
          <w:caps w:val="false"/>
          <w:smallCaps w:val="false"/>
          <w:sz w:val="20"/>
        </w:rPr>
        <w:t> of this Agreement, no Party is making any representation or warranty in this Agreement as to the qualification of the Merger as a reorganization under Section 368(a) of the Code or as to the effect, if any, that any transaction consummated on, after or prior to the Effective Time has or may have on any such reorganization status, (2) each such Party has had the opportunity to obtain independent legal and tax advice with respect to the transactions contemplated by this Agreement, and (3) each such Party (including each of its shareholders) is responsible for paying its own Taxes, including any adverse Tax consequences that may result if the Merger is determined not to qualify as a reorganization under Section 368(a) of the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generality of the foregoing, if the Company reasonably determines that there is a material risk that the Merger will not qualify for the Intended Tax Treatment, but would be reasonably expected to so qualify if a second-step merger of the Surviving Corporation into a limited liability company directly and wholly owned by Acquiror that is disregarded as an entity for U.S. federal income tax purposes were consummated, in accordance with Delaware law, as promptly as practicable following the Merger (such second-step merger,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xml:space="preserve">”), the Company shall notify the Acquiror promptly after such determination, and if the Company and the Acquiror, each acting reasonably and in good faith, together determine that restructuring the transactions governed hereby to incorporate the Second Merger is not expected to result in material delay or cost, the Second Merger shall be so consummated;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Second Merger occurs, (i) the Merger and the Second Merger shall be treated as one integrated transaction for U.S. federal income tax purposes and (ii) references to the Company or the Surviving Corporation (in each case, after the effective time of the Second Merger) and all other provisions of this Agreement shall be interpreted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to take into account the change in structure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three (3) Business Days prior to the Closing Date, the Company shall deliver to Acquiror a schedule, duly certified by an officer of the Company, of the equity capitalization of the Company as of the Closing including, (i) the calculation of the Base Merger Consideration and the Per Company Share Merger Consideration, (ii) for each holder of Company Common Stock (after giving effect to the Company Security Conversion, the Warrant Event and the Burkhan Conversion Event) (A) the name and email address of such holder, (B) the number and class or series (if applicable) of Company Common Stock held by such holder and (C) the portion of the Base Merger Consideration payable to such holder in respect of the Company Common Stock held by such holder (with any fractional shares rounded down to the nearest whole share), and (iii) for each holder of Company Options and Company RSUs, (A) the name of such holder, (B) the number and class or series (if applicable) of Company Options and Company RSUs held by such holder, and (C) the portion of the Base Merger Consideration that will be subject to each Acquiror Option and Acquiror RSU, which shall be determined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in each case, prepared in good faith by the Company and in a form and substance reasonably satisfactory to Acquiror and accompanied by documentation reasonably satisfactory to Acquiror (the “</w:t>
      </w:r>
      <w:r>
        <w:rPr>
          <w:rFonts w:ascii="Times New Roman;Times;Serif" w:hAnsi="Times New Roman;Times;Serif"/>
          <w:b w:val="false"/>
          <w:i w:val="false"/>
          <w:caps w:val="false"/>
          <w:smallCaps w:val="false"/>
          <w:sz w:val="20"/>
          <w:u w:val="single"/>
        </w:rPr>
        <w:t>Allocation Schedule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consider in good faith Acquiror’s comments to the Allocation Schedule, and if any adjustments are made to the Allocation Schedule by the Company at Acquiror’s request prior to the Closing, such adjusted Allocation Schedule shall thereafter become the Allocation Schedule for all purposes of this Agreement. The Allocation Schedule and the calculations and determinations contained therein shall be prepared in accordance with the Company’s Governing Documents, the DGCL and the applicable definitions contained in this Agreement. Each of Acquiror and Merger Sub shall be entitled to rely (without any duty of inquiry) upon the Allocation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EFFECTS OF THE MERGER ON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Burkhan Instruments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reasonably practicable following the date of this Agreement, Burkhan and/or its Affiliates and/or nominees, on the one hand, and the Company, on the other hand, shall enter into (x) convertible promissory notes pursuant to that certain Note Purchase Agreement, dated as of July 3, 2023, by and among the Company and the lenders party thereto (the “</w:t>
      </w:r>
      <w:r>
        <w:rPr>
          <w:rFonts w:ascii="Times New Roman;Times;Serif" w:hAnsi="Times New Roman;Times;Serif"/>
          <w:b w:val="false"/>
          <w:i w:val="false"/>
          <w:caps w:val="false"/>
          <w:smallCaps w:val="false"/>
          <w:sz w:val="20"/>
          <w:u w:val="single"/>
        </w:rPr>
        <w:t>Burkhan Convertible Notes</w:t>
      </w:r>
      <w:r>
        <w:rPr>
          <w:rFonts w:ascii="Times New Roman;Times;Serif" w:hAnsi="Times New Roman;Times;Serif"/>
          <w:b w:val="false"/>
          <w:i w:val="false"/>
          <w:caps w:val="false"/>
          <w:smallCaps w:val="false"/>
          <w:sz w:val="20"/>
        </w:rPr>
        <w:t xml:space="preserve">”) and (y) pre-funded warrants in substantially the form attached hereto as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to purchase up to a number of shares of Company Common Stock that, following the conversion of Company Common Stock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would result in up to 6,833,333 shares of Acquiror, which pre-funded warrants shall have an aggregate exercise price of $68,333.33 and a purchase price of $68,333.33 (the “</w:t>
      </w:r>
      <w:r>
        <w:rPr>
          <w:rFonts w:ascii="Times New Roman;Times;Serif" w:hAnsi="Times New Roman;Times;Serif"/>
          <w:b w:val="false"/>
          <w:i w:val="false"/>
          <w:caps w:val="false"/>
          <w:smallCaps w:val="false"/>
          <w:sz w:val="20"/>
          <w:u w:val="single"/>
        </w:rPr>
        <w:t>Burkhan Warrants</w:t>
      </w:r>
      <w:r>
        <w:rPr>
          <w:rFonts w:ascii="Times New Roman;Times;Serif" w:hAnsi="Times New Roman;Times;Serif"/>
          <w:b w:val="false"/>
          <w:i w:val="false"/>
          <w:caps w:val="false"/>
          <w:smallCaps w:val="false"/>
          <w:sz w:val="20"/>
        </w:rPr>
        <w:t>”, together with Burkhan Convertible Notes, the “</w:t>
      </w:r>
      <w:r>
        <w:rPr>
          <w:rFonts w:ascii="Times New Roman;Times;Serif" w:hAnsi="Times New Roman;Times;Serif"/>
          <w:b w:val="false"/>
          <w:i w:val="false"/>
          <w:caps w:val="false"/>
          <w:smallCaps w:val="false"/>
          <w:sz w:val="20"/>
          <w:u w:val="single"/>
        </w:rPr>
        <w:t>Burkhan Instruments</w:t>
      </w:r>
      <w:r>
        <w:rPr>
          <w:rFonts w:ascii="Times New Roman;Times;Serif" w:hAnsi="Times New Roman;Times;Serif"/>
          <w:b w:val="false"/>
          <w:i w:val="false"/>
          <w:caps w:val="false"/>
          <w:smallCaps w:val="false"/>
          <w:sz w:val="20"/>
        </w:rPr>
        <w:t>”, and any shares of Company Common Stock issuable upon the conversion or exercise of the Burkhan Instruments, the “</w:t>
      </w:r>
      <w:r>
        <w:rPr>
          <w:rFonts w:ascii="Times New Roman;Times;Serif" w:hAnsi="Times New Roman;Times;Serif"/>
          <w:b w:val="false"/>
          <w:i w:val="false"/>
          <w:caps w:val="false"/>
          <w:smallCaps w:val="false"/>
          <w:sz w:val="20"/>
          <w:u w:val="single"/>
        </w:rPr>
        <w:t>Burkhan Company Stock</w:t>
      </w:r>
      <w:r>
        <w:rPr>
          <w:rFonts w:ascii="Times New Roman;Times;Serif" w:hAnsi="Times New Roman;Times;Serif"/>
          <w:b w:val="false"/>
          <w:i w:val="false"/>
          <w:caps w:val="false"/>
          <w:smallCaps w:val="false"/>
          <w:sz w:val="20"/>
        </w:rPr>
        <w:t>”), pursuant to which Burkhan or its Affiliates or nominees shall consummate a Company Financing providing the Company with an aggregate principal amount of $25,000,000, of which the first $68,333.33 shall be allocated to paying the purchase price of the Burkhan Warrants, an additional $68,333.33 shall be allocated to paying the exercise price of the Burkhan Warrants, and the balance shall be allocated towards the principal amount of the Burkhan Convertible Notes. $10,000,000 of the aggregate principal amount of the Burkhan Instruments shall be funded (in installments at the option of Burkhan) on or before January 8, 2024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executes and delivers to Burkhan and/or its Affiliates and/or its nominees the Burkhan Convertible Notes in the same principal amount concurrent with such funding), with the balance of the principal amount to be provided within thirty (30) days following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Company executes and delivers to Burkhan and/or its Affiliates and/or its nominees the Burkhan Convertible Notes in the same principal amount of such subsequent funding concurrent with such funding). Immediately prior to the Effective Time, (i) any Burkhan Convertible Notes that remain outstanding immediately prior to the Effective Time shall, automatically and without any action on the part of the holder thereof, be converted, together with all accrued and unpaid interest thereon, into the right to receive a number of shares of Company Common Stock in accordance with the terms of such Burkhan Convertible Notes, and (ii) unless otherwise exercised prior to the Effective Time, the outstanding Burkhan Warrants will automatically be exercised in full for shares of Company Common Stock, in accordance with the terms of such Burkhan Warrants (collectively the “</w:t>
      </w:r>
      <w:r>
        <w:rPr>
          <w:rFonts w:ascii="Times New Roman;Times;Serif" w:hAnsi="Times New Roman;Times;Serif"/>
          <w:b w:val="false"/>
          <w:i w:val="false"/>
          <w:caps w:val="false"/>
          <w:smallCaps w:val="false"/>
          <w:sz w:val="20"/>
          <w:u w:val="single"/>
        </w:rPr>
        <w:t>Burkhan Conversion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Board shall adopt such resolutions and the Company take all such corporate or other action as may be necessary or appropriate to ensure that the Burkhan Convertible Notes, the Burkhan Warrants and all shares of Burkhan Company Stock issuable upon the conversion or exercise of the Burkhan Instruments shall, upon issuance, be duly authorized and validly issued, without violation of any applicable Law, the Company’s Governing Documents or any right of first offer, preemptive or similar rights of any stockholder of the Company, and all shares of Burkhan Company Stock shall, upon issuance, be fully paid and non-assessable, and free from all taxes, liens and charges other than Permitted Liens, restrictions on transfer arising under applicable securities Laws and Liens imposed under the Company’s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Conversion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Immediately prior to the Effective Time, the Company Security Conversion, the Warrant Event and the Burkhan Conversion Event shall have been consummated. All Company Preferred Stock, Company Convertible Notes, Company Warrants, Burkhan Convertible Notes and Burkhan Warrants converted into or exercised for shares of Company Common Stock shall no longer be outstanding and shall cease to exist, and each holder thereof shall thereafter cease to have any rights with respect to such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Effective Time, by virtue of the Merger and without any action on the part of any holder of Company Common Stock, each share of Company Common Stock, in each case, that is issued and outstanding immediately prior to the Effective Time (other than any shares subject to Company RSU and Company Option and any Excluded Shares, and after giving effect to the Company Security Conversion, the Warrant Event and the Burkhan Conversion Event), shall be canceled and converted into the right to receive a number of shares of Acquiror Class A Common Stock equal to the quotient obtained by </w:t>
      </w:r>
      <w:r>
        <w:rPr>
          <w:rFonts w:ascii="Times New Roman;Times;Serif" w:hAnsi="Times New Roman;Times;Serif"/>
          <w:b w:val="false"/>
          <w:i/>
          <w:caps w:val="false"/>
          <w:smallCaps w:val="false"/>
          <w:sz w:val="20"/>
        </w:rPr>
        <w:t>dividing</w:t>
      </w:r>
      <w:r>
        <w:rPr>
          <w:rFonts w:ascii="Times New Roman;Times;Serif" w:hAnsi="Times New Roman;Times;Serif"/>
          <w:b w:val="false"/>
          <w:i w:val="false"/>
          <w:caps w:val="false"/>
          <w:smallCaps w:val="false"/>
          <w:sz w:val="20"/>
        </w:rPr>
        <w:t xml:space="preserve"> (a) the Company Base Merger Consideration, by (b) the Aggregate Company Shares (the “</w:t>
      </w:r>
      <w:r>
        <w:rPr>
          <w:rFonts w:ascii="Times New Roman;Times;Serif" w:hAnsi="Times New Roman;Times;Serif"/>
          <w:b w:val="false"/>
          <w:i w:val="false"/>
          <w:caps w:val="false"/>
          <w:smallCaps w:val="false"/>
          <w:sz w:val="20"/>
          <w:u w:val="single"/>
        </w:rPr>
        <w:t>Per Company Share 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Effective Time, by virtue of the Merger and without any action on the part of Acquiror or Merger Sub, each share of Merger Sub Capital Stock, shall be converted into one (1) share of common stock, par value $0.0001,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Effective Time, by virtue of the Merger and without any action on the part of any holder thereof, all Company Common Stock issued and outstanding immediately prior to the Effective Time held by the Company in treasury shall no longer be outstanding and shall be automatically canceled and shall cease to exist, and no consideration shall be delivered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(a)     . Notwithstanding anything to the contrary contained herein, no evidence of book-entry shares representing fractional shares of Acquiror Class A Common Stock shall be issued in exchange for shares of Company Common Stock. Each Person who would otherwise be entitled to a fraction of a share of Acquiror Class A Common Stock (after aggregating all fractional shares of such Acquiror Class A Common Stock that would otherwise be received by such Person in connection with the Closing) shall instead have the number of shares of Acquiror Class A Common Stock issued to such Person rounded up to the nearest whole share of Acquiror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Exchange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three (3) Business Days prior to the Closing, Acquiror shall appoint an exchange agent reasonably acceptable to the Company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and enter into an Exchange Agent Agreement, in form and substance reasonable satisfactory to the Company, for the purpose of exchanging Company Common Stock for that portion of the Base Merger Consideration payable in respect of shares of Company Common Stock in accordance with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on the terms and conditions set forth in this Agreement. The Company shall reasonably cooperate with Acquiror and the Exchange Agent in connection with the appointment of the Exchange Agent and the entry into the Exchange Agent Agreement. At or before the Effective Time, Acquiror shall deposit with the Exchange Agent that portion of the Base Merger Consideration payable in respect of shares of Company Common Stock in accordance with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holder of Company Common Stock whose shares of Company Common Stock have been converted into the right to receive a portion of the Base Merger Consideration pursuant to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shall be entitled to receive the portion of the Base Merger Consideration to which he, she or it is entitled as set forth on the Allocation Schedule upon receipt of such documents as the Exchange Agent may reasonably request.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portion of the Base Merger Consideration is to be issued to a Person other than the holder of the Company Common Stock in whose name the surrendered certificate or the transferred shares of Company Common Stock in book-entry form is registered, it shall be a condition to the issuance of the applicable portion of the Base Merger Consideration that, in addition to any other requirements set forth in the Exchange Agent Agreement, (i) either such certificate shall be properly endorsed or shall otherwise be in proper form for transfer or such share of Company Common Stock in book-entry form shall be properly transferred and (ii) the Person requesting such consideration pay to the Exchange Agent any transfer or similar Taxes required as a result of such consideration being issued to a Person other than the registered holder of such certificate or share of Company Common Stock in book-entry form or establish to the satisfaction of the Exchange Agent that such transfer or similar Taxes have been paid or are not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interest will be paid or accrued on the Base Merger Consideration (or any portion thereof). From and after the Effective Time, until surrendered or transferred, as applicable, in accordance with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each share of Company Common Stock (excluding any Excluded Shares) shall solely represent the right to receive a portion of the Total Merger Consideration to which such shares of Company Common Stock are entitled to receive pursuant to this Agreement. At the Effective Time, the stock transfer books of the Company shall be closed and there shall be no transfers of Company Common Stock that were outstanding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following the date that is one (1) year after the Effective Time, Acquiror may instruct the Exchange Agent to deliver to Acquiror all documents in its possession relating to the Transactions, at which point the Exchange Agent’s duties shall terminate. Thereafter, any portion of the Base Merger Consideration to be paid in respect of shares of Company Common Stock in accordance with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that remains unclaimed shall be returned to Acquiror, and any Person that was a holder of shares of Company Common Stock as of immediately prior to the Effective Time that has not exchanged such shares of Company Common Stock for an applicable portion of the Base Merger Consideration in accordance with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prior to such instruction, may transfer such shares of Company Common Stock to Acquiror and (subject to applicable abandoned property, escheat and similar Laws) receive in consideration therefor, and Acquiror shall promptly deliver, such applicable portion of the Base Merger Consideration without any interest thereon. None of Acquiror, Merger Sub, the Company, the Surviving Corporation or the Exchange Agent shall be liable to any Person in respect of any portion of the Base Merger Consideration delivered to a public official pursuant to and in accordance with any applicable abandoned property, escheat or similar Laws. If any such shares shall not have not been transferred immediately prior to such date on which any amounts payable pursuant to this </w:t>
      </w:r>
      <w:r>
        <w:rPr>
          <w:rFonts w:ascii="Times New Roman;Times;Serif" w:hAnsi="Times New Roman;Times;Serif"/>
          <w:b w:val="false"/>
          <w:i w:val="false"/>
          <w:caps w:val="false"/>
          <w:smallCaps w:val="false"/>
          <w:sz w:val="20"/>
          <w:u w:val="single"/>
        </w:rPr>
        <w:t xml:space="preserve">Article III </w:t>
      </w:r>
      <w:r>
        <w:rPr>
          <w:rFonts w:ascii="Times New Roman;Times;Serif" w:hAnsi="Times New Roman;Times;Serif"/>
          <w:b w:val="false"/>
          <w:i w:val="false"/>
          <w:caps w:val="false"/>
          <w:smallCaps w:val="false"/>
          <w:sz w:val="20"/>
        </w:rPr>
        <w:t>would otherwise escheat to or become the property of any Governmental Authority, any such shares shall, to the extent permitted by applicable Law, become the property of the Surviving Corporation, free and clear of all claims or interest of any Person previously entitled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Earnout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Closing, and as additional consideration for the Transactions, within ten (10) Business Days after the occurrence of a Triggering Event, Acquiror shall issue or cause to be issued to each Eligible Company Holder (in accordance with such Eligible Company Holder’s Pro Rata Share), the following shares of Acquiror Class A Common Stock (the “</w:t>
      </w:r>
      <w:r>
        <w:rPr>
          <w:rFonts w:ascii="Times New Roman;Times;Serif" w:hAnsi="Times New Roman;Times;Serif"/>
          <w:b w:val="false"/>
          <w:i w:val="false"/>
          <w:caps w:val="false"/>
          <w:smallCaps w:val="false"/>
          <w:sz w:val="20"/>
          <w:u w:val="single"/>
        </w:rPr>
        <w:t>Company Earnout Shares</w:t>
      </w:r>
      <w:r>
        <w:rPr>
          <w:rFonts w:ascii="Times New Roman;Times;Serif" w:hAnsi="Times New Roman;Times;Serif"/>
          <w:b w:val="false"/>
          <w:i w:val="false"/>
          <w:caps w:val="false"/>
          <w:smallCaps w:val="false"/>
          <w:sz w:val="20"/>
        </w:rPr>
        <w:t>”), upon the terms and subject to the conditions set forth in this Agreement and the Ancillary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occurrence of Triggering Event I, a one-time issuance of 3,750,000 Company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occurrence of Triggering Event II, a one-time issuance of 3,750,000 Company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occurrence of Triggering Event III, a one-time issuance of 3,750,000 Company Earnout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occurrence of Triggering Event IV, a one-time issuance of 3,750,000 Company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within ten (10) Business Days after the occurrence of a Triggering Event, Acquiror shall issue or cause to be issued to Burkhan the following shares of Acquiror Class A Common Stock (the “</w:t>
      </w:r>
      <w:r>
        <w:rPr>
          <w:rFonts w:ascii="Times New Roman;Times;Serif" w:hAnsi="Times New Roman;Times;Serif"/>
          <w:b w:val="false"/>
          <w:i w:val="false"/>
          <w:caps w:val="false"/>
          <w:smallCaps w:val="false"/>
          <w:sz w:val="20"/>
          <w:u w:val="single"/>
        </w:rPr>
        <w:t>Burkhan Earnout Shares</w:t>
      </w:r>
      <w:r>
        <w:rPr>
          <w:rFonts w:ascii="Times New Roman;Times;Serif" w:hAnsi="Times New Roman;Times;Serif"/>
          <w:b w:val="false"/>
          <w:i w:val="false"/>
          <w:caps w:val="false"/>
          <w:smallCaps w:val="false"/>
          <w:sz w:val="20"/>
        </w:rPr>
        <w:t>” and, together with the Company Earnout Shares, the “</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upon the terms and subject to the conditions set forth in this Agreement and the Ancillary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occurrence of Triggering Event I, a one-time issuance of 325,000 Burkhan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occurrence of Triggering Event II, a one-time issuance of 325,000 Burkhan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occurrence of Triggering Event III, a one-time issuance of 325,000 Burkhan Earnout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occurrence of Triggering Event IV, a one-time issuance of 325,000 Burkhan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the Eligible Holders shall be entitled to receive Earnout Shares, as applicable, upon the occurrence of each Triggering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Triggering Event shall only occur once, if at all, and in no event shall (i) the Eligible Company Holders be entitled to receive more than an aggregate of 15,000,000 Company Earnout Shares or (ii) Burkhan be entitled to receive more than an aggregate of 1,300,000 Burkhan Earnout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each Triggering Event may be achieved at the same time or on overlapping days.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 Acquiror Class A Common Stock price targets set forth in the definitions of Triggering Event I, Triggering Event II, Triggering Event III and Triggering Event IV and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(ii) the number of Earnout Shares issuable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in each case, be equitably adjusted for stock splits, reverse stock splits, stock dividends, reorganizations, recapitalizations, reclassifications, combination, exchange of shares or other like change or transaction with respect to Acquiror Class A Common Stock occurring on or after the Closing (other than the conversion of Acquiror Class B Common Stock held by Sponsor into Acquiror Class A Common Stock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required by a “determination” within the meaning of Section 1313(a) of the Code (or any similar or corresponding provision of applicable Law), the Parties acknowledge and agree (i) that the issuance of Company Earnout Shares to each Eligible Holder (other than holders of Acquiror Options and/or Acquiror RSUs) is intended to comply with, and shall be effected in accordance with, Rev. Proc. 84-42, 1984-1 C.B. 521; (ii) that any Company Earnout Shares paid to the Eligible Holders (other than holders of Acquiror Options and/or Acquiror RSUs) shall be treated as additional consideration for the Company Common Stock for all income Tax purposes (other than to the extent treated as interest under Section 483 of the Code or any similar or corresponding provision of applicable Law and Indian capital gains tax, if attracted), and (iii) to prepare and file all Tax Returns consistent with such Tax treatment. Any issuance of Earnout Shares in respect of Company Common Stock to holders of such Company Common Stock hereunder shall be treated as comprised of two components, respectively a principal component and an interest component, the amounts of which shall be determined as provided in Reg. §1.483-4(b) example (2) using the 3-month test rate of interest provided for in Reg. §1.1274-4(a)(1)(ii) employing the semi-annual compounding period. As to each such issuance of Earnout Shares hereunder in respect of Company Common Stock to each holder of such Company Common Stock outstanding immediately prior to the Effective Time, Earnout Shares representing the principal component (with a value equal to the principal component) and Earnout Shares representing the interest component (with a value equal to the interest component) shall be represented by separate share certificates. Notwithstanding anything in this Agreement to the contrary, the right of Eligible Holders to receive the Earnout Shares under this Agreement may not be assigned or transferred, other than as may be permitted in accordance with Rev. Proc. 84-42.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herein, no fraction of an Earnout Share will be issued by virtue of any Triggering Event, and each Person who would otherwise be entitled to a fraction of an Earnout Share (after aggregating all fractional Earnout Shares that otherwise would be received by such Person in connection with the occurrence of such Triggering Event) shall instead have the number of Earnout Shares issued to such Person rounded up to the nearest whole Earnout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contained herein, if, during the Earnout Period, there is a Change in Control, (A) immediately prior to such Change in Control, Acquiror shall issue to (i) Burkhan, all Burkhan Earnout Shares and to (ii) the Eligible Company Holders (in accordance with each Eligible Company Holder’s respective Pro Rata Share), all Company Earnout Shares, in each case, that have not been previously issued to such Person assuming that all Triggering Events have occurred, and Burkhan and the Eligible Company Holders shall be eligible to participate in such Change in Control and (B) thereafter, the right of Burkhan and the Eligible Company Holders to receive any Earnout Shares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terminate and no further Earnout Shares shall be issuable 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no event shall any right to receive Earnout Shares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be represented by any negotiable certificate of any kind, and in no event shall any Eligible Holder or its successor in interest take any step that would render such rights readily marketable.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any Company Earnout Shares issuable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 respect of a Company Option or Company RSU that was outstanding as of immediately prior to the Effective Time shall be issued to the holder of such Company Option or Company RSU, as applicable, only if such holder continues to provide services (whether as an employee, director or individual independent contractor) to Acquiror or one of its Subsidiaries through the date on which such Earnout Shares are issued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Any Company Earnout Shares that are forfeited pursuant to the preceding sentence shall be reallocated on a pro rata basis to the other Eligible Company Holders (in accordance with each such Eligible Company Holder’s Pro Rata Share, as adjusted to give effect to such forfeiture) who remain entitled to receive Company 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xml:space="preserve">. Notwithstanding anything to the contrary set forth herein, Acquiror, Merger Sub, the Company, the Exchange Agent and their respective agents, as applicable, shall be entitled to deduct and withhold from any amount payable pursuant to this Agreement such Taxes that are required to be deducted and withheld from such amount under any applicable Tax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Acquiror, Merger Sub, the Company, the Exchange Agent, or their agent shall use commercially reasonable efforts to provide the Person in respect of whom such withholding or deduction is expected to be made with at least five (5) days prior written notice of any amounts that it intends to withhold in connection with any payment of the Total Merger Consideration (other than any compensatory payments to be made pursuant to this Agreement or withholding by reason of the failure to provide the certifications required under </w:t>
      </w:r>
      <w:r>
        <w:rPr>
          <w:rFonts w:ascii="Times New Roman;Times;Serif" w:hAnsi="Times New Roman;Times;Serif"/>
          <w:b w:val="false"/>
          <w:i w:val="false"/>
          <w:caps w:val="false"/>
          <w:smallCaps w:val="false"/>
          <w:sz w:val="20"/>
          <w:u w:val="single"/>
        </w:rPr>
        <w:t>Section 2.4(a)(iv)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2.4(a)(v)</w:t>
      </w:r>
      <w:r>
        <w:rPr>
          <w:rFonts w:ascii="Times New Roman;Times;Serif" w:hAnsi="Times New Roman;Times;Serif"/>
          <w:b w:val="false"/>
          <w:i w:val="false"/>
          <w:caps w:val="false"/>
          <w:smallCaps w:val="false"/>
          <w:sz w:val="20"/>
        </w:rPr>
        <w:t xml:space="preserve">) and will reasonably cooperate with such Person to reduce or eliminate any applicable withholding. To the extent that any Taxes are deducted or withheld pursuant to this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such Taxes shall be (a) timely remitted to the appropriate Governmental Authority and (b) if so remitted, treated for all purposes of this Agreement as having been paid to the Person in respect of which such deduction or withholding was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or otherwise waives, withdraws, or loses such holder’s appraisal rights under the DGCL with respect to such shares) shall not be converted into a right to receive a portion of the Base Merger Consideration, but instead shall be entitled to only such rights as are granted by Section 262 of the DGCL;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a portion of the Base Merger Consideration in accordance with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without interest thereon, upon transfer of such shares. The Company shall provide Acquiror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Acquiror, the Company shall not make any payment with respect to, or settle, or offer to settle, any such demands.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Treatment of Company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Effective Time, without any action on the part of the holder thereof or any other Person (but subject to </w:t>
      </w:r>
      <w:r>
        <w:rPr>
          <w:rFonts w:ascii="Times New Roman;Times;Serif" w:hAnsi="Times New Roman;Times;Serif"/>
          <w:b w:val="false"/>
          <w:i w:val="false"/>
          <w:caps w:val="false"/>
          <w:smallCaps w:val="false"/>
          <w:sz w:val="20"/>
          <w:u w:val="single"/>
        </w:rPr>
        <w:t>Section 3.8(c)</w:t>
      </w:r>
      <w:r>
        <w:rPr>
          <w:rFonts w:ascii="Times New Roman;Times;Serif" w:hAnsi="Times New Roman;Times;Serif"/>
          <w:b w:val="false"/>
          <w:i w:val="false"/>
          <w:caps w:val="false"/>
          <w:smallCaps w:val="false"/>
          <w:sz w:val="20"/>
        </w:rPr>
        <w:t>), each Company Option that is outstanding and unexercised as of immediately prior to the Effective Time shall automatically be converted into an option to purchase shares of Acquiror Common Stock set forth in the Allocation Schedule (each, an “</w:t>
      </w:r>
      <w:r>
        <w:rPr>
          <w:rFonts w:ascii="Times New Roman;Times;Serif" w:hAnsi="Times New Roman;Times;Serif"/>
          <w:b w:val="false"/>
          <w:i w:val="false"/>
          <w:caps w:val="false"/>
          <w:smallCaps w:val="false"/>
          <w:sz w:val="20"/>
          <w:u w:val="single"/>
        </w:rPr>
        <w:t>Acquiror Option</w:t>
      </w:r>
      <w:r>
        <w:rPr>
          <w:rFonts w:ascii="Times New Roman;Times;Serif" w:hAnsi="Times New Roman;Times;Serif"/>
          <w:b w:val="false"/>
          <w:i w:val="false"/>
          <w:caps w:val="false"/>
          <w:smallCaps w:val="false"/>
          <w:sz w:val="20"/>
        </w:rPr>
        <w:t xml:space="preserve">”) upon substantially the same terms and conditions as are in effect with respect to the corresponding Company Option immediately prior to the Effective Time, including with respect to vesting and termination-related provisions except that (a) such Acquiror Option shall entitle the holders, upon exercise, to that whole number of shares of Acquiror Common Stock (rounded down to the nearest whole share) equal to the number of shares of Company Common Stock subject to such Company Option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Per Company Share Merger Consideration, and (b) the exercise price per share for each such Acquiror Option shall be equal to the exercise price per share of such Company Option in effect immediately prior to the Effective Time,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 xml:space="preserve">the Per Company Share Merger Consideration (rounded up to the nearest full cent);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applicable, the conversion of the Company Options will be made in a manner consistent with Treasury Regulation Section 1.424-1, such that such conversion will not constitute a “modification” of such Company Options for purposes of Section 409A or Section 424 of the Code. As of the Effective Time, all Company Options will no longer be outstanding and each holder of Acquiror Options will cease to have any rights with respect to such Company Options, except as set forth in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For the avoidance of doubt, each holder of an Acquiror Option as of immediately following the Effective Time shall also be entitled to receive its Pro Rata Share of any Company Earnout Shares in accordance with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hereof. Notwithstanding the foregoing or anything to the contrary contained in this Agreement, the shares of Acquiror Common Stock underlying the Acquiror Options that are converted from Company Options shall be included in, and shall not be in addition to, the total number of shares of Acquiror Common Stock constituting the Base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Effective Time, without any action on the part of the holder thereof or any other Person (but subject to </w:t>
      </w:r>
      <w:r>
        <w:rPr>
          <w:rFonts w:ascii="Times New Roman;Times;Serif" w:hAnsi="Times New Roman;Times;Serif"/>
          <w:b w:val="false"/>
          <w:i w:val="false"/>
          <w:caps w:val="false"/>
          <w:smallCaps w:val="false"/>
          <w:sz w:val="20"/>
          <w:u w:val="single"/>
        </w:rPr>
        <w:t>Section 3.8(c)</w:t>
      </w:r>
      <w:r>
        <w:rPr>
          <w:rFonts w:ascii="Times New Roman;Times;Serif" w:hAnsi="Times New Roman;Times;Serif"/>
          <w:b w:val="false"/>
          <w:i w:val="false"/>
          <w:caps w:val="false"/>
          <w:smallCaps w:val="false"/>
          <w:sz w:val="20"/>
        </w:rPr>
        <w:t>), each award of Company RSUs that is outstanding and unsettled as of immediately prior to the Effective Time shall automatically be converted into an award of restricted stock units relating to shares of Acquiror Common Stock set forth in the Allocation Schedule (“</w:t>
      </w:r>
      <w:r>
        <w:rPr>
          <w:rFonts w:ascii="Times New Roman;Times;Serif" w:hAnsi="Times New Roman;Times;Serif"/>
          <w:b w:val="false"/>
          <w:i w:val="false"/>
          <w:caps w:val="false"/>
          <w:smallCaps w:val="false"/>
          <w:sz w:val="20"/>
          <w:u w:val="single"/>
        </w:rPr>
        <w:t>Acquiror RSUs</w:t>
      </w:r>
      <w:r>
        <w:rPr>
          <w:rFonts w:ascii="Times New Roman;Times;Serif" w:hAnsi="Times New Roman;Times;Serif"/>
          <w:b w:val="false"/>
          <w:i w:val="false"/>
          <w:caps w:val="false"/>
          <w:smallCaps w:val="false"/>
          <w:sz w:val="20"/>
        </w:rPr>
        <w:t xml:space="preserve">”) upon substantially the same terms and conditions as are in effect with respect to such Company RSU award immediately prior to the Effective Time, including with respect to vesting and termination-related provisions, except that such Acquiror RSU award shall entitle the holders, upon vesting and settlement, to that whole number of shares of Acquiror Common Stock (rounded down to the nearest whole share) equal to the number of shares of Company Common Stock subject to such Company RSU award immediately prior to the Effective Time,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Per Company Share Merger Consideration. As of the Effective Time, all Company RSUs will no longer be outstanding and each holder of Acquiror RSUs will cease to have any rights with respect to such Company RSUs, except as set forth in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For the avoidance of doubt, each holder of an Acquiror RSU as of immediately following the Effective Time shall also be entitled to receive its Pro Rata Share of any Company Earnout Shares in accordance with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hereof. Notwithstanding the foregoing or anything to the contrary contained in this Agreement, the shares of Acquiror Common Stock underlying the Acquiror RSUs that are converted from Company RSUs shall be included in, and shall not be in addition to, the total number of shares of Acquiror Common Stock constituting the Base Purchase Price.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Prior to the Effective Time, the Company Board shall adopt such resolutions and take all such other action as may be necessary in accordance with the Company Incentive Plan (including the award agreements in accordance with the Company Incentive Plan) to give effect to the transactions contemplated by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disclosure letter delivered to Acquiror and Merger Sub by the Company on the date of this Agreement (the “</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xml:space="preserve">”) (each section of which, subject to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qualifies the correspondingly numbered and lettered representations in this Article IV), the Company represents and warrants to Acquiror and Merger Sub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Company Organization</w:t>
      </w:r>
      <w:r>
        <w:rPr>
          <w:rFonts w:ascii="Times New Roman;Times;Serif" w:hAnsi="Times New Roman;Times;Serif"/>
          <w:b w:val="false"/>
          <w:i w:val="false"/>
          <w:caps w:val="false"/>
          <w:smallCaps w:val="false"/>
          <w:sz w:val="20"/>
        </w:rPr>
        <w:t>. The Company has been duly incorporated and is validly existing and in good standing under the Laws of the State of Delaware, and has the requisite corporate power and authority to own, lease or operate all of its properties and assets and to conduct its business as it is now being conducted. The Governing Documents of the Company, as amended to the date of this Agreement and as previously made available by or on behalf of the Company to Acquiror, are true, correct and complete and the Company is not in default under or in violation of any provision thereunder. The Company is duly licensed or qualified and in good standing as a foreign or extra-provincial corporation in each jurisdiction in which its ownership of property or the character of its activities is such as to require it to be so licensed or qualified or in good standing, as applicable, except where the failure to be so licensed or qualified or in good standing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 complete list of each Subsidiary of the Company and its jurisdiction of incorporation, formation or organization, as applicable, is set forth on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of the Company Disclosure Letter. The Subsidiaries of the Company have been duly formed or organized and are validly existing and in good standing under the Laws of their respective jurisdictions of incorporation or organization and have the requisite power and authority to own, lease or operate all of their respective properties and assets and to conduct their respective businesses as they are now being conducted. True, correct and complete copies of the Governing Documents of the Company’s Subsidiaries, in each case, as amended to the date of this Agreement, have been previously made available to Acquiror by or on behalf of the Company and no Subsidiary of the Company is in default under or in violation of any provision under its Governing Documents. Each Subsidiary of the Company is duly licensed or qualified and in good standing as a foreign or extra-provincial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or in good standing would not reasonably be expected to be material to the business of the Company or such Subsidiary, taken as a whole.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Other than the Company Stockholder Approvals, the Company has all requisite corporate power and authority to execute and deliver this Agreement and the other documents to which it is a party contemplated hereby and (subject to the approvals described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to consummate the Transactions and to perform all of its obligations hereunder and thereunder. The execution and delivery of this Agreement and the other documents to which the Company is a party contemplated hereby and the consummation of the Transactions have been duly and validly authorized and approved by the Company Board, and no other corporate proceeding on the part of the Company is necessary to authorize this Agreement and the other documents to which the Company is a party contemplated hereby. This Agreement has been, and on or prior to the Closing, the other documents to which the Company is a party contemplated hereby will be, duly and validly executed and delivered by the Company. This Agreement constitutes, and on or prior to the Closing, the other documents to which the Company is a party contemplated hereby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date of this Agreement, the Company Board has duly adopted resolutions (i) determining that this Agreement and the other documents to which the Company is a party contemplated hereby and the Transactions are advisable and fair to, and in the best interests of, the Company and its stockholders, as applicable, (ii) authorizing and approving the execution, delivery and performance by the Company of this Agreement and the other documents to which the Company is a party contemplated hereby and the Transactions and (iii) recommending that the holders of the Company Common Stock approve this Agreement and the Transactions, including the Merger. No other corporate action is required on the part of the Company or any of its stockholders to enter into this Agreement or the documents to which the Company is a party contemplated hereby or to approve the Merger other than the Company Stockholder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 Subject to the receipt of the consents, approvals, authorizations and other requirements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the execution and delivery by the Company of this Agreement and the documents to which the Company is a party contemplated hereby and the consummation of the Transactions do not and will not (a) violate or conflict with any provision of, or result in the breach of, or default under the Governing Documents of the Company or any of the Company’s Subsidiaries, (b) violate or conflict with any provision of, or result in the breach of, or default under any Law or Governmental Order applicable to the Company or any of the Company’s Subsidiaries, (c) except as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Company Disclosure Letter,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of the type described in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to which the Company or any of the Company’s Subsidiaries is a party or by which the Company or any of the Company’s Subsidiaries may be bound or any License of the Company or any of its Subsidiaries, or terminate or result in the termination of any such foregoing Contract, or (d) result in the creation of any Lien (other than Permitted Liens) upon any of the properties or assets of the Company or any of the Company’s Subsidiaries, except, in the case of clauses (b) through (d), to the extent that the occurrence of the foregoing would not (i) have or would not be reasonably expected to have, individually or in the aggregate, a material adverse effect on the ability of the Company to enter into and perform their obligations under this Agreement or (ii)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             </w:t>
      </w:r>
      <w:r>
        <w:rPr>
          <w:rFonts w:ascii="Times New Roman;Times;Serif" w:hAnsi="Times New Roman;Times;Serif"/>
          <w:b w:val="false"/>
          <w:i w:val="false"/>
          <w:caps w:val="false"/>
          <w:smallCaps w:val="false"/>
          <w:sz w:val="20"/>
          <w:u w:val="single"/>
        </w:rPr>
        <w:t>Governmental Authorities; Consents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of the Company Disclosure Letter, assuming the truth and completeness of the representations and warranties of Acquiror contained in this Agreement, no consent, waiver, approval or authorization of any Governmental Authority (each, a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or designation, declaration or filing with, or notification to, any Governmental Authority, is required on the part of the Company or its Subsidiaries with respect to the Company’s execution or delivery of this Agreement or the consummation by the Company of the Transactions, except for (i) applicable requirements of the HSR Act; (ii) any consents, approvals, authorizations, designations, declarations, waivers or filings, the absence of which would not, individually or in the aggregate, reasonably be expected to have a Company Material Adverse Effect and (iii) the filing of the Merger Certificate in accordance with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             </w:t>
      </w:r>
      <w:r>
        <w:rPr>
          <w:rFonts w:ascii="Times New Roman;Times;Serif" w:hAnsi="Times New Roman;Times;Serif"/>
          <w:b w:val="false"/>
          <w:i w:val="false"/>
          <w:caps w:val="false"/>
          <w:smallCaps w:val="false"/>
          <w:sz w:val="20"/>
          <w:u w:val="single"/>
        </w:rPr>
        <w:t>Capitalization of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the authorized capital stock of the Company consists of: (i) 175,095,000 shares of Company Common Stock, of which 3,343,660 shares are issued and outstanding as of the date of this Agreement; (ii) 5,032,238 shares of Series Seed Shadow Preferred Stock, of which 2,020,309 shares are issued and outstanding as of the date of this Agreement; (iii) 15,174,130 shares of Series A Shadow Preferred Stock, of which 4,573,935 shares are issued and outstanding as of the date of this Agreement; (iv) 18,392,046 shares of Series B Shadow Preferred Stock, of which 12,234,661 shares are issued and outstanding as of the date of this Agreement; (v) 13,722,052 shares of Series C Shadow Preferred Stock, of which 10,211,548 shares are issued and outstanding as of the date of this Agreement; (vi) 4,707,494 shares of Series D Shadow Preferred Stock, of which 3,990,707 shares are issued and outstanding as of the date of this Agreement; (vii) 3,935,839 shares of Series D-1 Shadow Preferred Stock, of which 3,662,318 shares are issued and outstanding as of the date of this Agreement; (viii) 27,042,965 shares of Series D-2 Shadow Preferred Stock, of which 7,561,820 shares are issued and outstanding as of the date of this Agreement; (ix) 4,707,494 shares of Series D Exchange Shadow Preferred Stock, of which 239,405 shares are issued and outstanding as of the date of this Agreement; and (x) 3,935,839 shares of Series D-1 Exchange Shadow Preferred Stock, of which no shares are issued and outstanding as of the date of this Agreement, and, except as otherwise set forth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there are no other authorized equity interests of the Company that are issued and outstanding. The Company has provided to Acquiror a true, correct and complete capitalization table of the Company as of the date hereof, including, for each holder of Company Common Stock and Company Preferred Stock, the number of Company Common Stock or Company Preferred Stock held by such holder, as applicable, which,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may be updated from time to time by the Company, by promptly providing an updated capitalization table to Acquiror. All of the issued and outstanding shares of Company Common Stock and Company Preferred Stock: (i) have been duly authorized and validly issued and are fully paid and non-assessable; (ii) have been offered, sold and issued in compliance with applicable Law in all material respects, including federal and state securities Laws, and all requirements set forth in (1) the Governing Documents of the Company and (2)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or any of its Subsidiaries is a party or otherwise bound; and (iv) are free and clear of any Liens other than Permitted Liens, restrictions on transfer arising under applicable securities Laws and Liens imposed under the Company’s Governing Documents.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the Company Disclosure Letter sets forth a true, correct and complete list of all holders of Company Warrants as of the date of this Agreement, including the number of shares of Company Common Stock or Company Preferred Stock (including series thereof), as applicable, covered by such Company Warrant, the date of issuance, the cash exercise price per share of such Company Warrant and the applicable expiration date thereof, which, subject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may be updated from time to time by the Company, by promptly providing an updated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the Company Disclosure Letter to Acquiror. All outstanding Company Warrants (i) have been duly authorized and validly issued and constitute valid and binding obligations of the Company, enforceable against the Company in accordance with their terms, subject to the Enforceability Exceptions; (ii) have been offered, sold and issued in compliance with applicable Law in all material respects, including federal and state securities Laws, and all requirements set forth in (1) the Governing Documents of the Company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the Governing Documents of the Company or any Contract to which the Company or any of its Subsidiaries is a party or otherwise bound; and (iv) are free and clear of any Liens, other than Permitted Liens, restrictions on transfer arising under applicable securities Laws, Liens imposed under the Company’s Governing Documents or as set forth on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 of the date of this Agreement, 28,283,319 shares of Company Common Stock are available for future issuance pursuant to the Company Incentive Plan.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Company Disclosure Letter sets forth a true and complete list of each holder of a Company Award as of the date of this Agreement, including the type of Company Award, the number of shares of Company Common Stock subject thereto, vesting schedule, current vested and unvested status, any early-exercise features, the expiration date, and, if applicable, the exercise price thereof. All Company Awards are evidenced by award agreements in substantially the forms previously made available to Acquiror, and, except as set forth on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of the Company Disclosure Letter, no Company Award is subject to terms that are materially different from those set forth in such forms. Each Company Award was validly issued and properly approved or ratified by the Company Board (or appropriate committee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otherwise set forth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on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4.6(d)</w:t>
      </w:r>
      <w:r>
        <w:rPr>
          <w:rFonts w:ascii="Times New Roman;Times;Serif" w:hAnsi="Times New Roman;Times;Serif"/>
          <w:b w:val="false"/>
          <w:i w:val="false"/>
          <w:caps w:val="false"/>
          <w:smallCaps w:val="false"/>
          <w:sz w:val="20"/>
        </w:rPr>
        <w:t> of the Company Disclosure Letter, neither the Company nor any of its Subsidiaries has granted any outstanding subscriptions, options, stock appreciation rights, participations, phantom option, phantom equity or similar rights, warrants, rights or other securities (including debt securities) convertible into or exchangeable or exercisable for shares of Company Common Stock, any other commitments, calls, conversion rights, rights of exchange or privilege (whether pre-emptive, contractual or by matter of Law), plans or other agreements of any character providing for the issuance of additional shares or registration rights with respect to any shares, the sale of treasury shares or other equity interests, or for the repurchase or redemption of shares or other equity interests of the Company or other rights the value of which is determined by reference to shares or other equity interests of the Company, and there are no voting trusts, proxies or agreements of any kind that may obligate the Company to issue, purchase, register for sale, redeem or otherwise acquire any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Capitalization of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of the Company Disclosure Letter sets forth a true, correct and complete capitalization table of each of the Company’s Subsidiaries as of the date hereof. The outstanding shares of capital stock or equity interests of each of the Company’s Subsidiaries (i) have been duly authorized and validly issued, are, to the extent applicable, fully paid and non-assessable; (ii) have been offered, sold and issued in compliance with applicable Law in all material respects, including federal and state securities Laws, and all requirements set forth in (A) the Governing Documents of each such Subsidiary, and (B) any other applicable Contracts governing the issuance of such securities; (iii) are not subject to, nor have they been issued in violation of, any purchase option, call option, right of first refusal, preemptive right, subscription right or any similar right under any provision of any applicable Law, the Governing Documents of each such Subsidiary or any Contract to which the Company or any such Subsidiary is a party or otherwise bound; and (iv) are free and clear of any Liens other than Permitted Liens, restrictions on transfer arising under applicable securities Laws, any Liens imposed under the Governing Documents of the applicable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owns of record and beneficially all the issued and outstanding shares of capital stock or equity interests of such Subsidiaries free and clear of any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4.7(c)</w:t>
      </w:r>
      <w:r>
        <w:rPr>
          <w:rFonts w:ascii="Times New Roman;Times;Serif" w:hAnsi="Times New Roman;Times;Serif"/>
          <w:b w:val="false"/>
          <w:i w:val="false"/>
          <w:caps w:val="false"/>
          <w:smallCaps w:val="false"/>
          <w:sz w:val="20"/>
        </w:rPr>
        <w:t> of the Company Disclosure Letter, there are no outstanding subscriptions, options, warrants, rights or other securities (including debt securities) exercisable or exchangeable for any capital stock of such Subsidiaries, any other commitments, calls, conversion rights, rights of exchange or privilege (whether pre-emptive, contractual or by matter of Law), plans or other agreements of any character providing for the issuance of additional shares, the sale of treasury shares or other equity interests, or for the repurchase or redemption of shares or other equity interests of such Subsidiaries or other rights the value of which are determined by reference to shares or other equity interests of the Subsidiaries of the Company, and there are no voting trusts, proxies or agreements of any kind which may obligate any Subsidiary of the Company to issue, purchase, register for sale, redeem or otherwise acquire any of its capital stock.</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for the equity interests of the Subsidiaries set forth on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of the Company Disclosure Letter, neither the Company nor any of its Subsidiaries (i) owns, directly or indirectly, any ownership, equity, profits or voting interest in any Person, (ii) has any agreement or commitment to purchase any such interest or (iii) has agreed nor is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4.8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xml:space="preserve"> of the Company Disclosure Letter, the Financial Statements, when delivered, will (i) fairly present in all material respects the consolidated financial position of the Company and its consolidated Subsidiaries, as at the respective dates thereof, and the consolidated results of their operations, their consolidated losses, their consolidated changes in stockholders’ deficit and their consolidated cash flows for the respective periods then ended, (ii) have been prepared in conformity, and in accordance, with GAAP applied on a consistent basis during the periods involved (except as may be indicated in the notes thereto), (iii) have been prepared from, will be in accordance with and will accurately reflect in all material respects, the books and records of the Company and its consolidated Subsidiaries, (iv) when delivered by the Company for inclusion in the Proxy Statement / Registration Statement for filing with the SEC following the date of this Agreement in accordance with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comply in all material respects with the applicable accounting requirements and with the rules and regulations of the SEC, the Exchange Act and the Securities Act for financial statements required to be included in the Proxy Statement / Registration Statement, in effect as of the respective dates of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 of the Company Disclosure Letter, neither the Company (including, to the knowledge of the Company, any employee thereof) nor any independent auditor of the Company has identified or been made aware of (i) any significant deficiency or material weakness in the design or system of internal accounting controls utilized by the Company, (ii) any fraud, whether or not material, that involves the Company’s management or other employees who have a role in the preparation of financial statements or the internal accounting controls utilized by the Company or (iii) any claim or allegation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Neither the Company nor any of its Subsidiaries has any Indebtedness other than the Indebtedness set forth on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of the Company Disclosure Letter, which sets forth the outstanding principal amount and any accrued but unpaid interest as of the last day of the month immediately prior to the date of this Agreement with respect to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Undisclosed Liabilities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of the Company Disclosure Letter, there is no other material liability, debt (including Indebtedness) or obligation of, or claim or judgment against, the Company or any of the Company’s Subsidiaries (whether direct or indirect, absolute or contingent, accrued or unaccrued, known or unknown, liquidated or unliquidated, or due or to become due) required to be reflected or reserved for on a balance sheet prepared in accordance with GAAP, except for liabilities, debts, obligations, claims or judgments (a) reflected or reserved for on the Financial Statements or disclosed in the notes thereto, (b) that have arisen since the date of the most recent balance sheet included in the Financial Statements in the ordinary course of business, consistent with past practice, of the Company and its Subsidiaries, or (c) that will be discharged or paid off prior to, at or in connection with the Closing.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Litigation and Proceedings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of the Company Disclosure Letter: (a) there are no pending or, to the knowledge of the Company, threatened, Actions, or other proceedings at law or in equity against the Company or any of the Company’s Subsidiaries or their respective properties or assets; and (b) there is no outstanding Governmental Order imposed upon the Company or any of the Company’s Subsidiaries; nor are any properties or assets of the Company or any of the Company’s Subsidiaries’ respective businesses bound or subject to any Governmental Order, except, in each case, as would not be, or would not reasonably be expected to be, material to the business of the Company and its Subsidiaries, taken as a whole. No Top Vendor or Top Customer has as of the date of this Agreement notified the Company in writing of a pending material dispute or, to the knowledge of the Company, threatened a material dispute against the Company or its Subsidiaries or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and its Subsidiaries is, and for the three (3) years preceding the date hereof has been, in compliance with all applicable Laws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past three (3) years, none of the Company or any of its Subsidiaries has received any written notice of, or, to the knowledge of the Company, been charged with, the violation in any material respect of any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Subsidiaries maintain a program of policies, procedures and internal controls reasonably designed and implemented to provide reasonable assurance that violation of applicable Law by any of the Company’s or its Subsidiaries’ directors, officers and employees will be prevented, detected and deterred.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Contracts; No Defaults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Company Disclosure Letter contains a listing of all Contracts described in clauses (a) through (xxi) below to which, as of the date of this Agreement, the Company or any of the Company’s Subsidiaries is a party or by which they are bound, other than any Company Benefit Plans. True, correct and complete copies of the Contracts listed on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of the Company Disclosure Letter have previously been delivered to or made available to Acquiror or its agents or representatives, together with all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Contract with any of the Top Vendors or Top Customers (other than purchase orders, invoices, statements of work and non-disclosure or similar agreements entered into in the ordinary course of business consistent with past practice that do not contain any material terms relating to the Contract underlying the applicable Top Customer or Top Vendor relationship);</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mortgage, note, debenture, guarantee, pledge, loan, credit or financing agreement or instrument or other Contract for money borrowed by the Company or any of the Company’s Subsidiaries or pursuant to which a Lien has been placed on any material assets or properties of the Company or any of its Subsidiaries, including any other agreement or commitment for future loans, credit or financing, in each case, in excess of $500,000 in the aggregate for the Company and its Subsidiaries, taken as a whole (other than any customary credit card line (or similar cash management credit line) used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Contract for the acquisition of any property or Person or any business unit thereof or the disposition of any material assets of the Company or any of its Subsidiaries entered into or consummated in the last three (3) years, in each case, involving payments in excess of $500,000 other than Contracts in which the applicable acquisition or disposition has been consummated and there are no material obligations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related to the formation, governance or operation of a joint venture, partnership or similar arrangement or the sharing of profits or revenues therefrom or pursuant to which the Company or any of its Subsidiaries has an ownership interest in any other Person (excluding any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Contracts (other than employment agreements, employee confidentiality and invention assignment agreements, equity or incentive equity documents that are Company Benefit Plans and Governing Documents) between the Company and its Subsidiaries, on the one hand, and Affiliates of the Company or any of the Company’s Subsidiaries (other than the Company or any of the Company’s Subsidiaries), the officers and managers (or equivalents) of the Company or any of the Company’s Subsidiaries, the members or stockholders of the Company or any of the Company’s Subsidiaries, any employee of the Company or any of the Company’s Subsidiaries or a member of the immediate family of the foregoing Persons, on the other hand (collectively, “</w:t>
      </w:r>
      <w:r>
        <w:rPr>
          <w:rFonts w:ascii="Times New Roman;Times;Serif" w:hAnsi="Times New Roman;Times;Serif"/>
          <w:b w:val="false"/>
          <w:i w:val="false"/>
          <w:caps w:val="false"/>
          <w:smallCaps w:val="false"/>
          <w:sz w:val="20"/>
          <w:u w:val="single"/>
        </w:rPr>
        <w:t>Affiliate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Contracts with any employee of the Company or its Subsidiaries that provides for annual base compensation in excess of $300,000;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Contracts with any employee or consultant of the Company or its Subsidiaries that provides for the increase in the amount, accelerated vesting, of benefits upon the consummation of the Transactions or the value of any of the benefits of which shall be calculated on the basis of any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Contracts containing covenants of the Company or any of the Company’s Subsidiaries (A) prohibiting or limiting the right of the Company or any of the Company’s Subsidiaries to engage in or compete with any Person in any line of business in any material respect or (B) prohibiting or restricting the Company’s or any of the Company’s Subsidiaries’ ability to conduct their respective businesses with any Person in any geographic area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collective bargaining (or similar) agreement or Contract between the Company or any of the Company’s Subsidiaries, on one hand, and any labor union or other body representing employees of the Company or any of the Company’s Subsidiaries, on the other hand;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Each Contract pursuant to which the Company or any of the Company’s Subsidiaries grants a license, sublicense, right, consent or nonassertion under or with respect to any Company Intellectual Property to any third Person (excluding non-exclusive licenses granted by Company or any of the Company’s Subsidiaries to customers and service providers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Contract pursuant to which a third Person grants to the Company or any of the Company’s Subsidiaries a license, sublicense, right, consent or nonassertion under or with respect to any Intellectual Property that is material to the business of the Company and its Subsidiaries (other than (A) Contracts granting nonexclusive rights to use commercially available off-the-shelf Software or Software as a service offerings or other Software, products or applications that are non-customized for less than $200,000 annually; or (B) Open Source 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Each Contract to which the Company or any of its Subsidiaries is party or bound that involves the creation, development, transfer, assignment, or ownership of any Company Registered Intellectual Property (other than employee confidentiality and invention assignment agreements entered into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Each Contract reasonably expected to result in capital expenditures by the Company or any of the Company’s Subsidiaries after the date of this Agreement in an amount in excess of $500,000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Contract that (A) grants to any third Person any “most favored nation rights”, or (B) grants to any third Person price guarantees for a period greater than one (1) year from the date of this Agreement and requires aggregate future payments to the Company and its Subsidiaries, taken as a whole, in excess of $250,000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Contracts granting to any Person (other than the Company or its Subsidiaries) a right of first refusal, first offer or similar preferential right to purchase or acquire equity interests in, or lease, purchase or acquire any material properties or assets of,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Contracts under which the Company or any of its Subsidiaries is lessee of, or holds or operates any personal property owned by any other party, for which the rental exceeds $500,000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Contracts under which the Company or any of its Subsidiaries is the lessor of or permits any third party to hold or operate any property, real or personal, for which the rental paid by such third party exceeds $500,000 in any calendar year;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Contracts for third party services relating to the Leased Real Property, for which payment for such services exceed $500,000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settlement or coexistence agreements with respect to any pending or threatened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any outstanding offer that, if accepted, would constitute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for any Contract that will terminate upon the expiration of the stated term thereof prior to the Closing Date, all of the Contracts listed pursuant to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in the Company Disclosure Letter are (i) in full force and effect and (ii) represent the legal, valid and binding obligations of the Company or the Subsidiary of the Company party thereto, subject to the Enforceability Exceptions and, to the knowledge of the Company, represent the legal, valid and binding obligations of the counterparties thereto, subject to the Enforceability Exceptions. The Company and its Subsidiaries have performed in all material respects all respective obligations required to be performed by them to date under such Contracts listed pursuant to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and neither the Company, the Company’s Subsidiaries, nor, to the knowledge of the Company, any other party thereto is in material breach of or material default under any such Contract. Neither the Company nor any of its Subsidiaries has received any written claim or written notice of termination (including by non-renewal) under any such Contract. To the knowledge of the Company, no event has occurred which individually or together with other events, would reasonably be expected to result in a material breach of or a material default under any such Contract by the Company or its Subsidiaries or, to the knowledge of the Company, any other party thereto (in each case, with or without notice or lapse of time or both). No party to any such Contract that is a Top Vendor or Top Customer has, within the past 24 months, canceled or terminated its business with, or, to the knowledge of the Company, threatened to cancel, terminate, materially limit or materially and adversely modify its business with,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Company Benefit Plans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of the Company Disclosure Letter sets forth a complete list, as of the date hereof, of each material Company Benefit Plan, and separately identifies each Company Benefit Plan that is subject to the Laws of a country other than the United States (a “</w:t>
      </w:r>
      <w:r>
        <w:rPr>
          <w:rFonts w:ascii="Times New Roman;Times;Serif" w:hAnsi="Times New Roman;Times;Serif"/>
          <w:b w:val="false"/>
          <w:i w:val="false"/>
          <w:caps w:val="false"/>
          <w:smallCaps w:val="false"/>
          <w:sz w:val="20"/>
          <w:u w:val="single"/>
        </w:rPr>
        <w:t>Foreign Benefit Plan</w:t>
      </w:r>
      <w:r>
        <w:rPr>
          <w:rFonts w:ascii="Times New Roman;Times;Serif" w:hAnsi="Times New Roman;Times;Serif"/>
          <w:b w:val="false"/>
          <w:i w:val="false"/>
          <w:caps w:val="false"/>
          <w:smallCaps w:val="false"/>
          <w:sz w:val="20"/>
        </w:rPr>
        <w:t>”) and the non-U.S. jurisdiction applicable to each Foreign Benefit Plan, but excluding, in each case, any (A) award agreements for Company Awards made pursuant to standard forms of equity award agreement that have been made available to Acquiror, in which case only the forms of such equity award agreements will be listed, and (B) employment agreements or offer letters made pursuant to standard forms that have been made available to Acquiror and which do not provide for severance or change in control benefits, in which case only the forms of such employment agreements or offer letters will be listed. For purposes of this Agreement, a “</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an “employee benefit plan” as defined in Section 3(3) of ERISA or any other plan, policy, program or agreement (including any employment, bonus, incentive, deferred compensation, employee loan, note or pledge agreement, equity or equity-based compensation, severance, retention, supplemental retirement, change in control, or pension plan, policy, program or agreement) which are maintained, sponsored or contributed to by the Company or any of the Company’s Subsidiaries for the benefit of any current or former director, officer, individual consultant, worker or employee of the Company or any of its Subsidiaries, or to which the Company or any of the Company’s Subsidiaries is a party or has or may have any current or contingent liability, and in each case whether or not (i) subject to the Laws of the United States, (ii) in writing or (iii) funded, but excluding in each case any statutory plan, program or arrangement that is required under applicable law and maintained by any Governmental Authority. With respect to each Company Benefit Plan, the Company has made available to Acquiror, to the extent applicable, true, complete and correct copies of (I) such Company Benefit Plan and all plan documents, trust agreements, insurance Contracts or other funding vehicles and all amendments thereto, (II) the most recent summary plan description, including any summary of material modifications, if applicable, (III) the most recent annual report (Form 5500 series) filed with the IRS with respect to such Company Benefit Plan, (IV) the most recent actuarial report or other financial statement relating to such Company Benefit Plan, if applicable, (V) the most recent determination or opinion letter, if any, issued by the IRS with respect to any Company Benefit Plan and any pending request for such a determination letter, and (VI) all non-routine correspondence with any Governmental Authority within the past three (3) years regarding the operation or the administration of any Company Benefit Plan.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Company Benefit Plan has been operated and administered in compliance in all material respects with its terms and all applicable Laws, including ERISA, the Code and the IT Act. In all material respects,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 Each Company Benefit Plan which is intended to be qualified within the meaning of Section 401(a) of the Code has received a favorable determination or opinion letter from the IRS as to its qualification or may rely upon an opinion letter for a prototype plan and, to the knowledge of the Company, no fact or event has occurred that would reasonably be expected to adversely affect the qualified status of any such Company Benefit Plan. To the knowledge of the Company, no non-exempt “prohibited transaction” within the meaning of Section 406 of ERISA and Section 4975 of the Code has occurred with respect to any Company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Benefit Plan is (i) a multiemployer pension plan (as defined in Section 3(37) of ERISA) (a “</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(ii) an “employee pension benefit plan” (as defined in Section 3(2) of ERISA) that is subject to Title IV of ERISA (“</w:t>
      </w:r>
      <w:r>
        <w:rPr>
          <w:rFonts w:ascii="Times New Roman;Times;Serif" w:hAnsi="Times New Roman;Times;Serif"/>
          <w:b w:val="false"/>
          <w:i w:val="false"/>
          <w:caps w:val="false"/>
          <w:smallCaps w:val="false"/>
          <w:sz w:val="20"/>
          <w:u w:val="single"/>
        </w:rPr>
        <w:t>Title IV Plan</w:t>
      </w:r>
      <w:r>
        <w:rPr>
          <w:rFonts w:ascii="Times New Roman;Times;Serif" w:hAnsi="Times New Roman;Times;Serif"/>
          <w:b w:val="false"/>
          <w:i w:val="false"/>
          <w:caps w:val="false"/>
          <w:smallCaps w:val="false"/>
          <w:sz w:val="20"/>
        </w:rPr>
        <w:t>”) (iii) a “multiple employer plan” as defined in Section 413(c) of the Code or (iv) a “multiple employer welfare arrangement” within the meaning of Section 3(40) of ERISA, and neither the Company nor any of its ERISA Affiliates has sponsored or contributed to, been required to contribute to, or had any actual or contingent liability under, a (i) Multiemployer Plan, or (ii) Title IV Plan, in each case, at any time within the previous six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each Company Benefit Plan, no actions, suits or claims (other than routine claims for benefits in the ordinary course) are pending or, to the knowledge of the Company, threatened, and to the knowledge of the Company, no facts or circumstances exist that would reasonably be expected to give rise to any such actions, suits or claims. Except as set forth on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of the Company Disclosure Letter, no Company Benefit Plan is, or within the last three (3) years has been, the subject of an examination, investigation, or audit by a Governmental Authority.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Company Benefit Plan provides medical, surgical, hospitalization, death or similar benefits (whether or not insured) for employees or former employees of the Company or any Subsidiary for periods extending beyond their retirement or other termination of service, other than (i) coverage mandated by applicable Law or (ii) death benefits under any pension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set forth on </w:t>
      </w:r>
      <w:r>
        <w:rPr>
          <w:rFonts w:ascii="Times New Roman;Times;Serif" w:hAnsi="Times New Roman;Times;Serif"/>
          <w:b w:val="false"/>
          <w:i w:val="false"/>
          <w:caps w:val="false"/>
          <w:smallCaps w:val="false"/>
          <w:sz w:val="20"/>
          <w:u w:val="single"/>
        </w:rPr>
        <w:t>Section 4.13(f)</w:t>
      </w:r>
      <w:r>
        <w:rPr>
          <w:rFonts w:ascii="Times New Roman;Times;Serif" w:hAnsi="Times New Roman;Times;Serif"/>
          <w:b w:val="false"/>
          <w:i w:val="false"/>
          <w:caps w:val="false"/>
          <w:smallCaps w:val="false"/>
          <w:sz w:val="20"/>
        </w:rPr>
        <w:t> of the Company Disclosure Letter, the consummation of the Transactions will not, either alone or in combination with another event (such as termination of employment following the consummation of the Transactions), (i) entitle any current or former employee, officer or other individual service provider of the Company or any Subsidiary of the Company to any material severance pay or any other compensation or benefits payable or to be provided by the Company or any Subsidiary of the Company, (ii) accelerate the time of payment, funding or vesting, or increase the amount of material compensation or benefits due to any such employee, officer or other individual service provider by the Company or a Subsidiary of the Company, or (iii) accelerate the vesting and/or settlement of any Company Award. The consummation of the Transactions will not, either alone or in combination with another event, result in any “excess parachute payment” under Section 280G of the Code. No Company Benefit Plan provides for a Tax gross-up, make whole or similar payment with respect to the Taxes imposed under Sections 409A or 4999 of the Code. Each Company Benefit Plan that is a “nonqualified deferred compensation plan” (as defined for purposes of Code Section 409A(d)(1)) is in compliance in all material respects with Section 409A of the Code and the applicable guidance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Company Awards have been granted in all material respects in accordance with the terms of the Company Incentive Plan and all applicable Laws, including valid exemptions from registration under any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 respect to each Foreign Benefit Plan: (i) all employer and employee contributions to each Foreign Benefit Plan required by Law or by the terms of such Foreign Benefit Plan have been made in all material respects, or, if applicable, accrued; (ii) no Foreign Benefit Plan has any material unfunded liabilities; (iii) if intended to qualify for special tax treatment under applicable Law, satisfies all requirements to obtain such tax treatment; (iv) each Foreign Benefit Plan required to be registered has been registered and has been maintained in good standing with applicable Governmental Authorities; and (v) has been maintained in compliance in all material respects with applicable Law. No Foreign Benefit Plan is in the nature of a defined benefit plan for the benefit of any Person in, or subject to any legal Laws of, a jurisdiction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incurred (whether or not assessed) any Tax, penalty or other liability in the past three (3) years under Sections 4980B, 4980D, 4980H, 6055 or 6056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Labor Relations; Employees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provided to Acquiror a true and complete anonymized list of all employees of the Company or any of its Subsidiaries, with an indication as to: (i) title or position; (ii) whether full or part time; (iii) hire date; and (iv) location.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 of the Company Disclosure Letter, (i) neither the Company nor any of its Subsidiaries is a party to or bound by any collective bargaining agreement, or any similar agreement, (ii) no such agreement is being negotiated by the Company or any of the Company’s Subsidiaries, and (iii) no labor union or any other employee representative body has requested or, to the knowledge of the Company, has sought to represent any of the employees of the Company or its Subsidiaries. In the past three (3) years, there has been no actual or, to the knowledge of the Company, threatened strike, slowdown, work stoppage, picketing, lockout or other labor dispute against or affecting the Company or any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are, and have been for the past three (3) years, in compliance in all material respects with all applicable Laws respecting labor and employment including, but not limited to, all applicable Laws respecting terms and conditions of employment, health and safety, wages and hours, meal and rest breaks, holiday pay and the calculation of holiday pay, working time, employee classification (with respect to both exempt vs. non-exempt status and employee vs. independent contractor and worker status), child labor, work authorization and immigration, employment discrimination, harassment, disability rights or benefits, equal opportunity and equal pay, plant closures and layoffs, affirmative action, workers’ compensation, labor relations, maternity benefits, employee leave issues and unemployment insurance (including under the federal Emergency Paid Sick Leave Act and the federal Emergency Family and Medical Leave Expansion Act). Each of the Company and its Subsidiaries currently properly classify, and for the past three (3) years has properly classified, each person who performs or performed services for the Company or such Subsidiary as an employee or independent contractor and (with respect to their U.S. employees) as exempt or non-exempt under the Fair Labor Standards Act and similar state and local Laws. Neither the Company nor any of its Subsidiaries has any liability as a joint employer with respect to any temporary employees leased or staffed through a third-party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three (3) years, the Company and its Subsidiaries have not received (i) written notice of any unfair labor practice charge or complaint pending or threatened before the National Labor Relations Board or any other Governmental Authority against the Company or any of its Subsidiaries, (ii) written notice of any complaints, grievances or arbitrations arising out of any collective bargaining agreement or any other complaints, grievances or arbitration procedures against the Company or any of its Subsidiaries, (iii) written notice of any charge or complaint with respect to or relating to the Company or any of its Subsidiaries pending before the Equal Employment Opportunity Commission or any other Governmental Authority responsible for the prevention of unlawful employment practices, (iv) written notice of the intent of any Governmental Authority responsible for the enforcement of labor, employment, wages and hours of work, child labor, immigration, or occupational safety and health Laws to conduct an investigation with respect to or relating to the Company or any of its Subsidiaries or notice that such investigation is in progress, or (v) written notice of any complaint, lawsuit or other proceeding pending or threatened in any forum by or on behalf of any current or former employees against the Company or any of its Subsidiaries related to breach of any express or implied Contract of employment, unfair labor practices, employment discrimination, harassment, retaliation, equal pay, wage and hour, or wrongful or tortious conduct in connection with the employment relationship.</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the Company’s Subsidiaries is party to a settlement agreement with a current or former officer, employee or independent contractor of the Company or any of the Company’s Subsidiaries that involves allegations relating to sexual harassment, sexual misconduct or discrimination by either (i) an officer of the Company or any of the Company’s Subsidiaries or (ii) an employee of the Company or any of the Company’s Subsidiaries. To the knowledge of the Company, in the past three (3) years, no allegations of sexual harassment, sexual misconduct or discrimination have been made against (x) an officer of the Company or any of the Company’s Subsidiaries or (y) an employee of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past three (3) years, the Company and its Subsidiaries have not engaged in layoffs, furloughs or employment terminations sufficient to trigger application of the Workers’ Adjustment and Retraining Notification Act or any similar state, local or foreign Law relating to group 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There are adequate resources available to meet any liability arising in the Indian Subsidiary on account of gratuity payments, as the same has neither been funded nor covered through specific gratuity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and other material Tax Returns required to be filed by the Company or any of its Subsidiaries has been timely filed (taking into account any applicable extension), all such Tax Returns are true, correct, and complete in all material respects, and the Company and each of its Subsidiaries has timely paid all income and other material Taxes due (whether or not shown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Company and its Subsidiaries has deducted and withheld from amounts (including, without limitation, any Company Award) owing to any employee, former employee, independent contractor, creditor, stockholder, related party, or other third party all material Taxes required to be deducted and withheld, and paid over to the proper Governmental Authority all such Taxes required by applicable Law to be so paid over, and complied in all material respects with all Tax Laws applicable to such deduction and withholding and related reporting requirements (including, without limitation, all information reporting, filing of prescribed returns and backup withholding provisions of the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Permitted Liens under clause (ii) of the definition thereof, there are no Liens for Taxes upon any assets of the Company, any of its Subsidiaries or any Company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assessment, deficiency, or proposed adjustment for any Taxes has been asserted or assessed by any Governmental Authority in writing against the Company or any of its Subsidiaries except for deficiencies which have been satisfied by payment, settled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Tax audits, examinations or other Actions relating to Taxes due from the Company or any of its Subsidiaries that are presently in progress or threatened in writing, and there are no waivers, extensions, or requests for any waivers or extensions of any statute of limitations currently in effect with respect to any material Taxes of the Company or any of its Subsidiaries, in each case, other than customary extensions of the due date for filing a Tax Return.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of its Subsidiaries is a party to any Tax indemnification, sharing, or similar agreement, other than (i) any such agreement solely among the Company and its Subsidiaries and (ii) customary Contracts entered into in the ordinary course of business and not primarily related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of its Subsidiaries has constituted either a “distributing corporation” or a “controlled corporation” in a distribution of stock intended to be governed in whole or in part under Section 355 of the Code within the past two (2)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of its Subsidiaries (i) has any liability for Taxes of any other Person (other than the Company and its Subsidiaries) under Treasury Regulations Section 1.1502-6 or any similar provision of state, local, or non-U.S. Tax Law, as a transferee or successor, or by Contract (other than any customary Contract entered into in the ordinary course of business and not primarily related to Taxes) or (ii) has been a member of a group filing income Tax Returns on an affiliated, consolidated, combined, or unitary basis, other than a group the common parent of which was or is the Company (and of which only the Company and its Subsidiaries are or were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has received any written notice from any Governmental Authority in a jurisdiction where the Company or any of its Subsidiaries does not file Tax Returns that it is or may be required to file Tax Returns or subject to taxation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of its Subsidiaries has a permanent establishment (within the meaning of an applicable Tax treaty) or otherwise has an office or fixed place of business in any country other than the country of its organization, or is, or has ever been, subject to income Tax in a jurisdiction outside the country of its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Company nor any of its Subsidiaries has participated in a “reportable transaction” within the meaning of Treasury Regulations Section 1.6011-4(b) (or any corresponding or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of its Subsidiaries will be required to include any item of income that, individually or in the aggregate with all similar items, is material in, or exclude any item of deduction, that, individually or in the aggregate with all similar items is material from, taxable income, for any taxable period (or portion thereof) ending after the Closing Date, in each case, as a result of any (i) installment sale or open transaction disposition made prior to the Closing outside the ordinary course of business, (ii) prepaid amount received or deferred revenue recognized on or prior to the Closing outside the ordinary course of business, (iii) change in method of accounting or the use of impermissible method of accounting for a taxable period ending on or prior to the Closing Date made before the Closing, (iv) “closing agreement” as described in Section 7121 of the Code (or any similar provision of state, local, or non-U.S. Tax Law) executed prior to the Closing, (v) intercompany transaction or excess loss account as described in the Treasury Regulations promulgated under Section 1502 of the Code (or any similar provision of state, local, or non-U.S. Tax Law), (vi) any inclusion under Section 965 of the Code, (vii) inclusion pursuant to Section 951 or Section 951A of the Code with respect to any interest held in a “controlled foreign corporation” (as that term is defined in Section 957 of the Code) with respect to any Tax period ending on or prior to the Closing Date, or (viii) a “domestic use election” under Section 1503(d) of the Code or a “gain recognition agreement” under Treasury Regulations Section 1.367(a)-8.</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Company nor any of its Subsidiaries has knowingly taken any action or agreed to take any action, or is aware of any facts or circumstances, that could reasonably be expected to impede or prevent the Merger from qualifying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Neither the Company nor any of its Subsidiaries has utilized the employment Tax deferral or employee retention credit relief provided under Sections 2301, 2302 or 3606 of the CARES Act, as applicable, or the payroll Tax obligation deferral under IRS Notice 2020-65 or any related guidance, executive order or memorandum. The Company and its Subsidiaries have properly complied with all applicable laws and duly accounted for any available Tax credits under Sections 7001 through 7005 of the Families First Coronavirus Response Act for 2020 (or any similar election under state, local or non-U.S. law) and Section 2301 of the CARES Act (or any similar election under state, local or non-U.S.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Neither the Company nor any of its Subsidiaries has made a request for or entered into a closing agreement, private letter ruling, advance tax ruling or similar agreement with any Governmental Authority with respect to Taxes or a request for a change of any method of accounting, which would, individually or in the aggregate with all similar requests, adversely impact the Taxes of the Company or any of its Subsidiaries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and its Subsidiaries are in material compliance with escheat and unclaimed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and its Subsidiaries are in compliance in all material respects with all terms and conditions of any applicable Tax exemption or Tax holiday or Tax incentive including those in respect of export income of the Indian Subsidiary from the units set up in Special Economic Zones in India. The consummation of the Transactions will not have any material adverse effect on the continued validity and effectiveness of any such Tax exemption, Tax holiday or Tax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To the extent any provisions of the IT Act are applicable and subject to the provisions of the IT Act, all the material transactions executed, performed (including part performance) or undertaken on or prior to the Effective Time by the Company and its Subsidiaries have been executed, performed or undertaken on an Arm’s Length Basis in accordance with the provisions of the IT Act in all material respects. For purposes of this </w:t>
      </w:r>
      <w:r>
        <w:rPr>
          <w:rFonts w:ascii="Times New Roman;Times;Serif" w:hAnsi="Times New Roman;Times;Serif"/>
          <w:b w:val="false"/>
          <w:i w:val="false"/>
          <w:caps w:val="false"/>
          <w:smallCaps w:val="false"/>
          <w:sz w:val="20"/>
          <w:u w:val="single"/>
        </w:rPr>
        <w:t>Section 4.15(r)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Arm’s Length Basis</w:t>
      </w:r>
      <w:r>
        <w:rPr>
          <w:rFonts w:ascii="Times New Roman;Times;Serif" w:hAnsi="Times New Roman;Times;Serif"/>
          <w:b w:val="false"/>
          <w:i w:val="false"/>
          <w:caps w:val="false"/>
          <w:smallCaps w:val="false"/>
          <w:sz w:val="20"/>
        </w:rPr>
        <w:t>” means fair and reasonable terms that are consistent with market practice and which have been agreed in comparable transactions between parties which are independent and not related parties of, or otherwise affiliated with, each other under comparable circumstances and are accepted as such by the tax authorities under the IT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 the purposes of claiming tax exemption under the IT Act, the Indian Subsidiary has complied in all material respects with all the conditions and requirements to claim such tax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Neither the Company nor any of its Subsidiaries has at any time entered into or been party to any material transactions, schemes or arrangements which could be reasonably expected (as determined by the Company in good faith) to be reclassified for the purposes of Indian Tax under any legislation, enactment or other applicable Tax Law or otherwise by any Indian Tax authority including under the provisions of General Anti Avoidance Rules under the IT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None of the Company’s Subsidiaries organized or formed under the laws of a jurisdiction outside of the United States (i) is a “surrogate foreign corporation” or “expatriated entity” within the meaning of Section 7874 of the Code (or any corresponding or similar provision of state, local or non-U.S. Tax Law) or is treated as a U.S. corporation for U.S. federal Tax purposes by reason of the application of Sections 269B or 7874(b) of the Code (or any corresponding or similar provision of state, local or non-U.S. Tax Law) or (ii) is taxable in the United States as a domestic entity pursuant to the dual charter provision of Treasury Regulation Section 301.7701-5(a) (or any corresponding or similar provision of state, local or non-U.S.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and its Subsidiaries are in compliance with all applicable transfer pricing Laws and regulations in all material respects, including, to the extent required by applicable Law, the execution and maintenance of contemporaneous documentation substantiating the transfer pricing practices and methodology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Section 4.15(w)</w:t>
      </w:r>
      <w:r>
        <w:rPr>
          <w:rFonts w:ascii="Times New Roman;Times;Serif" w:hAnsi="Times New Roman;Times;Serif"/>
          <w:b w:val="false"/>
          <w:i w:val="false"/>
          <w:caps w:val="false"/>
          <w:smallCaps w:val="false"/>
          <w:sz w:val="20"/>
        </w:rPr>
        <w:t xml:space="preserve"> of the Company Disclosure Letter, sets forth the tax classification of the Company and each of its Subsidiaries for U.S. federal income tax purposes, and except as set forth in </w:t>
      </w:r>
      <w:r>
        <w:rPr>
          <w:rFonts w:ascii="Times New Roman;Times;Serif" w:hAnsi="Times New Roman;Times;Serif"/>
          <w:b w:val="false"/>
          <w:i w:val="false"/>
          <w:caps w:val="false"/>
          <w:smallCaps w:val="false"/>
          <w:sz w:val="20"/>
          <w:u w:val="single"/>
        </w:rPr>
        <w:t>Section 4.15(w)</w:t>
      </w:r>
      <w:r>
        <w:rPr>
          <w:rFonts w:ascii="Times New Roman;Times;Serif" w:hAnsi="Times New Roman;Times;Serif"/>
          <w:b w:val="false"/>
          <w:i w:val="false"/>
          <w:caps w:val="false"/>
          <w:smallCaps w:val="false"/>
          <w:sz w:val="20"/>
        </w:rPr>
        <w:t> of the Company Disclosure Letter, such classification has not changed since the formation of each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Except as otherwise disclosed on </w:t>
      </w:r>
      <w:r>
        <w:rPr>
          <w:rFonts w:ascii="Times New Roman;Times;Serif" w:hAnsi="Times New Roman;Times;Serif"/>
          <w:b w:val="false"/>
          <w:i w:val="false"/>
          <w:caps w:val="false"/>
          <w:smallCaps w:val="false"/>
          <w:sz w:val="20"/>
          <w:u w:val="single"/>
        </w:rPr>
        <w:t>Section 4.15(x)</w:t>
      </w:r>
      <w:r>
        <w:rPr>
          <w:rFonts w:ascii="Times New Roman;Times;Serif" w:hAnsi="Times New Roman;Times;Serif"/>
          <w:b w:val="false"/>
          <w:i w:val="false"/>
          <w:caps w:val="false"/>
          <w:smallCaps w:val="false"/>
          <w:sz w:val="20"/>
        </w:rPr>
        <w:t> of the Company Disclosure Letter, none of the Subsidiaries of the Company is a “passive foreign investment company” within the meaning of Section 1297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and its Subsidiaries have (i) collected and remitted to the proper Governmental Authorities all sales, use, value added and similar Taxes that (A) are required to be collected and remitted by the applicable Law and (B) individually or in the aggregate with all similar Taxes, are material; (ii) for all transactions (including sales or the provision of services) that were (A) treated as exempt from sales, use, value added, and similar Taxes and (B) individually or in the aggregate with all similar transactions, are material, received and retained any Tax exemption certificates and other documentation qualifying such transactions as exempt to the extent such exemptions were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Neither the Company nor any of the Company’s Subsidiaries has liability for a material amount of unpaid Taxes that has not been adequately accrued for or reserved on the Company’s or any Company Subsidiary’s Financial Statements, other than any liability for unpaid Taxes that has been incurred since the date of the most recent Financial Statements in connection with the operation of the business of the Company or the Company’s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Neither the Company nor any of its non-Indian Subsidiaries have their respective place of effective management in India under the IT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has ascertained that the transaction contemplated under this Agreement does not attract capital gains tax upon indirect transfer of Indian capital asset on the shareholders of the Company in India, in respect of which the Acquiror is required to withhold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shares of the Company do not derive substantial value from any Indian assets including the Indian Subsidiary in terms of the provisions of Section 9, Explanation 5 of the IT Act. Accordingly, the transfer of shares of the Company contemplated in the transaction under this Agreement do not attract obligation on the Acquiror to withhold Indian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Neither the Company nor any its Subsidiaries is or has been a member of a qualifying multinational group within the meaning of Chapter 2 of Part 3 of the Finance (No 2) Act 2023 or is or has been a member of a multinational group as contemplated by Article 1.3.1 of the OECD GloBE Rules or by any law or regulation implementing the OECD GloBE Rules. For purposes of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OECD GloBE Rules means the Global Anti-Base Erosion Model Rules (Pillar Two) published by the OECD Secretariat on 20 December 2021 as amended, supplemented or substituted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Neither the Company nor any its Subsidiaries is or has been a qualifying entity within the meaning of Part 4 of the Finance (No 2) Act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Neither the Company nor any its Subsidiaries is subject to a Qualified Domestic Minimum Top-Up Tax as contemplated by Article 10.1.1 of the OECD GloBE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of the Company Disclosure Letter, no broker, finder, investment banker or other Person is entitled to any brokerage fee, finders’ fee or other commission in connection with the Transactions based upon arrangements made by the Company, any of the Company’s Subsidiaries’ or any of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Company Disclosure Letter contains a list of, as of the date hereof, all material policies or binders of property, fire and casualty, product liability, workers’ compensation, vehicle, and other forms of insurance held by, or for the benefit of, the Company or any of the Company’s Subsidiaries as of the date of this Agreement. True, correct and complete copies of such insurance policies as in effect as of the date hereof have previously been made available to Acquiror. All such policies are in full force and effect, all premiums due have been paid, and no notice of cancellation or termination has been received by the Company or any of the Company’s Subsidiaries with respect to any such policy. Neither the Company nor any of its Subsidiaries is in material default with respect to any provision contained in any such policy. Except as disclosed on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Company Disclosure Letter, no insurer has denied or disputed coverage of any material claim under an insurance policy during the last twelve (12) months.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4.18           </w:t>
      </w:r>
      <w:r>
        <w:rPr>
          <w:rFonts w:ascii="Times New Roman;Times;Serif" w:hAnsi="Times New Roman;Times;Serif"/>
          <w:b w:val="false"/>
          <w:i w:val="false"/>
          <w:caps w:val="false"/>
          <w:smallCaps w:val="false"/>
          <w:sz w:val="20"/>
          <w:u w:val="single"/>
        </w:rPr>
        <w:t>Licenses</w:t>
      </w:r>
      <w:r>
        <w:rPr>
          <w:rFonts w:ascii="Times New Roman;Times;Serif" w:hAnsi="Times New Roman;Times;Serif"/>
          <w:b w:val="false"/>
          <w:i w:val="false"/>
          <w:caps w:val="false"/>
          <w:smallCaps w:val="false"/>
          <w:sz w:val="20"/>
        </w:rPr>
        <w:t xml:space="preserve">. The Company and its Subsidiaries have obtained, and maintain, all of the material Licenses reasonably required to permit the Company and its Subsidiaries to acquire, originate, own, operate, use and maintain their assets in the manner in which they are now operated and maintained and to conduct the business of the Company and its Subsidiaries as currently conducted. Each material License held by the Company or any of the Company’s Subsidiaries is in full force and effect. Neither the Company nor any of its Subsidiaries (a) is in material default or material violation (and no event has occurred which, with notice or the lapse of time or both, would constitute a material default or material violation) of any term, condition or provision of any material License to which it is a party, (b) is or has been the subject of any pending or, to the knowledge of the Company, threatened Action by a Governmental Authority seeking the revocation, suspension, termination, modification, or impairment of any material License; or (c) has received any notice that any Governmental Authority that has issued any material License intends to cancel, terminate, or not renew any such material License, except to the extent such material License may be amended, replaced, or reissued as a result of and as necessary to reflect the Transactions, or as otherwise disclosed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Company Disclosure Letter,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amendment, replacement, or reissuance does not materially adversely affect the continuous conduct of the business of the Company and its Subsidiaries as currently conducted from and after Closing.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of the Company Disclosure Letter sets forth a true, correct and complete list of material Licenses held by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4.19           </w:t>
      </w:r>
      <w:r>
        <w:rPr>
          <w:rFonts w:ascii="Times New Roman;Times;Serif" w:hAnsi="Times New Roman;Times;Serif"/>
          <w:b w:val="false"/>
          <w:i w:val="false"/>
          <w:caps w:val="false"/>
          <w:smallCaps w:val="false"/>
          <w:sz w:val="20"/>
          <w:u w:val="single"/>
        </w:rPr>
        <w:t>Equipment and Other Tangible Property</w:t>
      </w:r>
      <w:r>
        <w:rPr>
          <w:rFonts w:ascii="Times New Roman;Times;Serif" w:hAnsi="Times New Roman;Times;Serif"/>
          <w:b w:val="false"/>
          <w:i w:val="false"/>
          <w:caps w:val="false"/>
          <w:smallCaps w:val="false"/>
          <w:sz w:val="20"/>
        </w:rPr>
        <w:t>. The Company or one of its Subsidiaries owns and has good title to, and has the legal and beneficial ownership of or a valid leasehold interest in or right to use by license or otherwise, all material machinery, equipment and other tangible property reflected on the books of the Company and its Subsidiaries as owned by the Company or one of its Subsidiaries, free and clear of all Liens other than Permitted Liens. Except as would not reasonably be expected to have a Company Material Adverse Effect, all material personal property and leased personal property assets of the Company and its Subsidiaries are structurally sound and in good operating condition and repair (ordinary wear and tear excepted) and are suitable for their present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4.20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of the Company Disclosure Letter sets forth a true, correct and complete list as of the date of this Agreement of all Leased Real Property and all Real Property Leases (as hereinafter defined) pertaining to such Leased Real Property. With respect to each parcel of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one of its Subsidiaries holds a good and valid leasehold estate in such Leased Real Property, free and clear of all Liens,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its Subsidiaries have delivered to Acquiror true, correct and complete copies of all leases, lease guaranties, subleases, agreements for the leasing, use or occupancy of, or otherwise granting a right in and to the Leased Real Property by or to the Company and its Subsidiaries, including all amendments and modifications thereof (collectively, the “</w:t>
      </w:r>
      <w:r>
        <w:rPr>
          <w:rFonts w:ascii="Times New Roman;Times;Serif" w:hAnsi="Times New Roman;Times;Serif"/>
          <w:b w:val="false"/>
          <w:i w:val="false"/>
          <w:caps w:val="false"/>
          <w:smallCaps w:val="false"/>
          <w:sz w:val="20"/>
          <w:u w:val="single"/>
        </w:rPr>
        <w:t>Real Property Leases</w:t>
      </w:r>
      <w:r>
        <w:rPr>
          <w:rFonts w:ascii="Times New Roman;Times;Serif" w:hAnsi="Times New Roman;Times;Serif"/>
          <w:b w:val="false"/>
          <w:i w:val="false"/>
          <w:caps w:val="false"/>
          <w:smallCaps w:val="false"/>
          <w:sz w:val="20"/>
        </w:rPr>
        <w:t>”), and none of such Real Property Leases have been modified in any material respect, except to the extent that such modifications have been disclosed by the copies delivered to Acquiror.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disclosed on </w:t>
      </w:r>
      <w:r>
        <w:rPr>
          <w:rFonts w:ascii="Times New Roman;Times;Serif" w:hAnsi="Times New Roman;Times;Serif"/>
          <w:b w:val="false"/>
          <w:i w:val="false"/>
          <w:caps w:val="false"/>
          <w:smallCaps w:val="false"/>
          <w:sz w:val="20"/>
          <w:u w:val="single"/>
        </w:rPr>
        <w:t>Section 4.20(c)</w:t>
      </w:r>
      <w:r>
        <w:rPr>
          <w:rFonts w:ascii="Times New Roman;Times;Serif" w:hAnsi="Times New Roman;Times;Serif"/>
          <w:b w:val="false"/>
          <w:i w:val="false"/>
          <w:caps w:val="false"/>
          <w:smallCaps w:val="false"/>
          <w:sz w:val="20"/>
        </w:rPr>
        <w:t> of the Company Disclosure Letter, to the knowledge of the Company, neither the Company, its Subsidiaries or any counterparty to a Real Property Lease is in material breach or material default under the Real Property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disclosed on </w:t>
      </w:r>
      <w:r>
        <w:rPr>
          <w:rFonts w:ascii="Times New Roman;Times;Serif" w:hAnsi="Times New Roman;Times;Serif"/>
          <w:b w:val="false"/>
          <w:i w:val="false"/>
          <w:caps w:val="false"/>
          <w:smallCaps w:val="false"/>
          <w:sz w:val="20"/>
          <w:u w:val="single"/>
        </w:rPr>
        <w:t>Section 4.20(d)</w:t>
      </w:r>
      <w:r>
        <w:rPr>
          <w:rFonts w:ascii="Times New Roman;Times;Serif" w:hAnsi="Times New Roman;Times;Serif"/>
          <w:b w:val="false"/>
          <w:i w:val="false"/>
          <w:caps w:val="false"/>
          <w:smallCaps w:val="false"/>
          <w:sz w:val="20"/>
        </w:rPr>
        <w:t> of the Company Disclosure Letter, as of the date of this Agreement, there are no written leases, subleases, licenses or other agreements that create or confer upon any Person other than the Company or its Subsidiaries, a right to use or occupy the Leased Real Property or any portion thereof, subject to the entry and reversionary rights of lessors under the Real Property Leases and the rights of holders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its Subsidiaries have received written notice of any current condemnation proceeding or proposed similar Action or agreement for taking in lieu of condemnation with respect to any portion of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or any of its Subsidiaries owns any Owned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4.21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4.21(a)</w:t>
      </w:r>
      <w:r>
        <w:rPr>
          <w:rFonts w:ascii="Times New Roman;Times;Serif" w:hAnsi="Times New Roman;Times;Serif"/>
          <w:b w:val="false"/>
          <w:i w:val="false"/>
          <w:caps w:val="false"/>
          <w:smallCaps w:val="false"/>
          <w:sz w:val="20"/>
        </w:rPr>
        <w:t> of the Company Disclosure Letter lists (A) each item of Company Intellectual Property that is issued by or registered or pending with a Governmental Authority or domain name registrar as of the date of this Agreement (“</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specifying as to each item, as applicable: (i) the title, mark, or design; (ii) the record owner; (iii) the jurisdiction by or in which it has been issued, registered, or filed; (iv) the patent, registration, or application serial number; and (v) the issue, registration, or filing date; and the current status; (B) all material unregistered Trademarks included in the Company Intellectual Property; (C) all Company Software; and (D) a correct, current, and complete list of all social media accounts used in the Company and its Subsidiaries business. The Company or one of its Subsidiaries is the sole and exclusive beneficial and record owner of all Company Registered Intellectual Property. To the knowledge of the Company, all Company Registered Intellectual Property is subsisting and (excluding any pending applications included in the Company Registered Intellectual Property) is valid and enforceable. All assignments and other instruments necessary to establish of record the Company’s and its Subsidiaries’ ownership interest in the Company Registered Intellectual Property have been validly executed, delivered, and filed with the relevant Governmental Authorities and authorized registrars.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or one of its Subsidiaries owns, free and clear of all Liens (other than Permitted Liens) all Company Intellectual Property. Without limiting the generality of the foregoing, and except as set forth in </w:t>
      </w:r>
      <w:r>
        <w:rPr>
          <w:rFonts w:ascii="Times New Roman;Times;Serif" w:hAnsi="Times New Roman;Times;Serif"/>
          <w:b w:val="false"/>
          <w:i w:val="false"/>
          <w:caps w:val="false"/>
          <w:smallCaps w:val="false"/>
          <w:sz w:val="20"/>
          <w:u w:val="single"/>
        </w:rPr>
        <w:t>Section 4.21(a)</w:t>
      </w:r>
      <w:r>
        <w:rPr>
          <w:rFonts w:ascii="Times New Roman;Times;Serif" w:hAnsi="Times New Roman;Times;Serif"/>
          <w:b w:val="false"/>
          <w:i w:val="false"/>
          <w:caps w:val="false"/>
          <w:smallCaps w:val="false"/>
          <w:sz w:val="20"/>
        </w:rPr>
        <w:t xml:space="preserve"> of the Company Disclosure Letter, the Company and its Subsidiaries have entered into written agreements with every current and former employee and independent contractor who, in each case, has created or developed material Intellectual Property for or on behalf of the Company or any of its Subsidiaries, whereby such employees and independent contractors (i) grant to the Company or a Subsidiary of the Company a present, irrevocable assignment of all of their right, title and interest in such Intellectual Property and (ii) irrevocably waive any right or interest, including any moral rights, regarding any such Intellectual Property, to the extent permitted by applicable Law. To the knowledge of Company, the Company or one of its Subsidiaries have valid and continuing rights to all Intellectual Property necessary and sufficient for the conduct of the business of the Company and its Subsidiaries as presently conducted;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representation and warranty in this sentence does not constitute a representation and warranty of non-infringement of the Intellectual Property of any third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knowledge of Company, the Company, its Subsidiaries, and the conduct of the business of the Company and its Subsidiaries (including the creation, development, licensing, marketing, importation, offering for sale, sale, or use of the products and services of the business of the Company and its Subsidiaries) as currently conducted and as formerly conducted in the six (6) years preceding the date of this Agreement, have not infringed upon, misappropriated or otherwise violated the Intellectual Property of any third Person and do not infringe upon, misappropriate or otherwise violate the Intellectual Property of any third Person. As of the date of this Agreement, there is no action pending or threatened in writing to which the Company or any Subsidiary of the Company is a named party, or, to the Company’s knowledge, for which any other Person is entitled to be indemnified, defended, held harmless, or reimbursed by the Company or any Subsidiary of the Company, in each case that (i) alleges the infringement, misappropriation or other violation of the Intellectual Property of any third Person or (ii) challenges the ownership, use, validity or enforceability of any Company Intellectual Property. There has not been any such action brought or threatened in writing in the past six (6) years, and to the knowledge of the Company, there are no facts or circumstances that could reasonably be expected to give rise to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on </w:t>
      </w:r>
      <w:r>
        <w:rPr>
          <w:rFonts w:ascii="Times New Roman;Times;Serif" w:hAnsi="Times New Roman;Times;Serif"/>
          <w:b w:val="false"/>
          <w:i w:val="false"/>
          <w:caps w:val="false"/>
          <w:smallCaps w:val="false"/>
          <w:sz w:val="20"/>
          <w:u w:val="single"/>
        </w:rPr>
        <w:t>Section 4.21(d)</w:t>
      </w:r>
      <w:r>
        <w:rPr>
          <w:rFonts w:ascii="Times New Roman;Times;Serif" w:hAnsi="Times New Roman;Times;Serif"/>
          <w:b w:val="false"/>
          <w:i w:val="false"/>
          <w:caps w:val="false"/>
          <w:smallCaps w:val="false"/>
          <w:sz w:val="20"/>
        </w:rPr>
        <w:t> of the Company Disclosure Letter, to the knowledge of the Company (i) no Person is infringing upon, misappropriating or otherwise violating any material Company Intellectual Property in any material respect, and (ii) the Company and its Subsidiaries have not sent to any Person any written notice, charge, complaint, claim or other written assertion against such third Person claiming infringement, violation or misappropriation by such third Person of any material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and its Subsidiaries have made available to Acquiror a complete and accurate copy of each standard form of IP Agreement of the Company and its Subsidiaries, used by Company and its Subsidiaries within the last three (3) years. Except as set forth on </w:t>
      </w:r>
      <w:r>
        <w:rPr>
          <w:rFonts w:ascii="Times New Roman;Times;Serif" w:hAnsi="Times New Roman;Times;Serif"/>
          <w:b w:val="false"/>
          <w:i w:val="false"/>
          <w:caps w:val="false"/>
          <w:smallCaps w:val="false"/>
          <w:sz w:val="20"/>
          <w:u w:val="single"/>
        </w:rPr>
        <w:t>Section 4.21(e)</w:t>
      </w:r>
      <w:r>
        <w:rPr>
          <w:rFonts w:ascii="Times New Roman;Times;Serif" w:hAnsi="Times New Roman;Times;Serif"/>
          <w:b w:val="false"/>
          <w:i w:val="false"/>
          <w:caps w:val="false"/>
          <w:smallCaps w:val="false"/>
          <w:sz w:val="20"/>
        </w:rPr>
        <w:t xml:space="preserve"> of the Company Disclosure Letter, within the last three (3) years, the Company and its Subsidiaries have not granted any Person rights to use any Company Software except pursuant to a Contract either in (a) a form made available to Acquiror pursuant to this </w:t>
      </w:r>
      <w:r>
        <w:rPr>
          <w:rFonts w:ascii="Times New Roman;Times;Serif" w:hAnsi="Times New Roman;Times;Serif"/>
          <w:b w:val="false"/>
          <w:i w:val="false"/>
          <w:caps w:val="false"/>
          <w:smallCaps w:val="false"/>
          <w:sz w:val="20"/>
          <w:u w:val="single"/>
        </w:rPr>
        <w:t>Section 4.21(e)</w:t>
      </w:r>
      <w:r>
        <w:rPr>
          <w:rFonts w:ascii="Times New Roman;Times;Serif" w:hAnsi="Times New Roman;Times;Serif"/>
          <w:b w:val="false"/>
          <w:i w:val="false"/>
          <w:caps w:val="false"/>
          <w:smallCaps w:val="false"/>
          <w:sz w:val="20"/>
        </w:rPr>
        <w:t xml:space="preserve"> without material deviations, and which represent the legal, valid and binding obligations of the Company or the Subsidiary of the Company party thereto, subject to the Enforceability Exceptions and, to the knowledge of the Company, represent the legal, valid and binding obligations of the counterparties thereto, subject to the Enforceability Exceptions, or (b) pursuant to a Contract set forth in </w:t>
      </w:r>
      <w:r>
        <w:rPr>
          <w:rFonts w:ascii="Times New Roman;Times;Serif" w:hAnsi="Times New Roman;Times;Serif"/>
          <w:b w:val="false"/>
          <w:i w:val="false"/>
          <w:caps w:val="false"/>
          <w:smallCaps w:val="false"/>
          <w:sz w:val="20"/>
          <w:u w:val="single"/>
        </w:rPr>
        <w:t xml:space="preserve">Section 4.12 </w:t>
      </w:r>
      <w:r>
        <w:rPr>
          <w:rFonts w:ascii="Times New Roman;Times;Serif" w:hAnsi="Times New Roman;Times;Serif"/>
          <w:b w:val="false"/>
          <w:i w:val="false"/>
          <w:caps w:val="false"/>
          <w:smallCaps w:val="false"/>
          <w:sz w:val="20"/>
        </w:rPr>
        <w:t>of the Company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have taken commercially reasonable measures to protect the Company Intellectual Property and maintain the confidentiality of trade secrets and other confidential information included therein. To the knowledge of the Company, there has not been any unauthorized disclosure of or unauthorized access to any material trade secrets or other material confidential information to any Person in a manner that has resulted or may result in the misappropriation of, or loss of trade secret or other rights in and to such information to the detriment of the Company, such Subsidiary, or, to the knowledge of the Company, such Person to whom the Company or any of its Subsidiaries has a Contract with confidentiality obligation.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and its Subsidiaries are in actual possession of the source code necessary to compile and operate all Company Software. No source code for any Company Software (excluding Open Source Materials) has been delivered, licensed or made available by the Company or any of its Subsidiaries to, or accessed by, any escrow agent or other Person, other than employees or independent contractors subject to written non-disclosure agreements restricting the disclosure and use of such source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funding, facilities or resources of any Governmental Authority or any research or academic institution was used in the creation or development of any material Company Intellectual Property or other material Intellectual Property created or developed by the Company or any of its Subsidiaries in a manner that has resulted in such Governmental Authority or research or academic institution having any ownership of or right to any such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current version of the Company Software substantially conforms to all applicable contractual commitments. To the knowledge of the Company, the current version of the Company Software does not contain any (i) undisclosed or hidden device or feature designed to disrupt, disable, or otherwise impair the functioning of any Software or any “back door,” “time bomb”, “Trojan horse,” “virus”, “worm,” contaminants, “drop dead device,” or other malicious code or routines that enable or permit the unauthorized access, unauthorized disablement or unauthorized erasure, of any Company System, or (ii)  except as would not reasonably be expected to be material to the business of Company and its Subsidiaries, “bugs”, faults, or errors.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Company and its Subsidiaries own, or have a valid right to access and use, the Company Systems;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representation and warranty in this sentence does not constitute a representation and warranty of non-infringement of the Intellectual Property of any third Person. The Company Systems constitute all the information technology systems infrastructure reasonably necessary to carry on the businesses of the Company and its Subsidiaries as currently conducted. The Company takes and has taken commercially reasonable measures, including (if applicable) entering into Contracts with third parties pursuant to which such third parties operate the Company Systems on behalf of the Company, to maintain and protect the performance, integrity and security of the Company Systems and to back up such Company Systems. In the past three (3) years (i) to the Company’s knowledge, there have been no material breaches of the security of the Company Systems, and (ii) there have been no disruptions in any Company Systems that has, or is reasonably likely to materially adversely affect the Company’s or its Subsidiaries’ businesses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Section 4.21(k)</w:t>
      </w:r>
      <w:r>
        <w:rPr>
          <w:rFonts w:ascii="Times New Roman;Times;Serif" w:hAnsi="Times New Roman;Times;Serif"/>
          <w:b w:val="false"/>
          <w:i w:val="false"/>
          <w:caps w:val="false"/>
          <w:smallCaps w:val="false"/>
          <w:sz w:val="20"/>
        </w:rPr>
        <w:t> of the Company Disclosure Letter sets forth a correct, current, and complete list of each item of Open Source Material that is or has been included, incorporated or embedded in, linked to, combined, made available or distributed with any Company Software by the Company or any of its Subsidiaries, including for each item of Open Source Material, (i) the applicable Company Software and (ii) the name and version number of the applicable license agreement. No Open Source Material is or has been included, incorporated or embedded in, linked to, combined, made available or distributed with any Company Software by the Company or any of its Subsidiaries, in each case, in a manner that has required the Company or any Subsidiary: (A) to distribute, make available, license or disclose to any Person the source code to any Company Software (other than the Open Source Material itself); (B) to distribute, make available, or license any Company Software (other than the Open Source Material itself) without charge or at a reduced or nominal charge; (C) to distribute, make available, license or disclose any Company Software (other than the Open Source Material itself) for the purpose of making modifications or derivative works; or (D) to grant a license to, or refrain from asserting of enforcing any Company Intellectual Property. Except as would not reasonably be expected to have a Company Material Adverse Effect, the Company and its Subsidiaries are in material compliance with the terms and conditions of the applicable Open Source Licenses (including all notice and attribution requirements) for the Open Source Materials that are included, incorporated or embedded in, linked to, combined, made available or distributed with any Company Software.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would not reasonably be expected to be material to the business of Company and its Subsidiaries, neither the execution and delivery of this Agreement nor the consummation of the transactions contemplated by this Agreement will result in: (i) the loss or impairment of any Company Intellectual Property; (ii) the release, disclosure, provision or delivery of, or the requirement to release, disclose, provide or deliver, any source code constituting Company Software to any third Person; (iii) the grant, assignment or transfer of, or the requirement to grant, assign or transfer, to any other Person of any license, ownership or other right or interest in, to or under any Company Intellectual Property; or (iv) the obligation to pay any additional consideration to, or the reduction of any payments from, any Person with respect to any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Privacy and Cybersecurity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be material to the business of Company and its Subsidiaries, the Company and its Subsidiaries are in compliance with, and during the three (3) years preceding the date of this Agreement have been in compliance with, (i) all applicable Privacy Laws, including requirements thereunder to maintain privacy policies and notices regarding Personal Information, and (ii) all of the Company’s and its Subsidiaries’ internal and publicly facing privacy policies and notices regarding Personal Information, and (iii) the Company’s and its Subsidiaries’ contractual obligations concerning cybersecurity, data security and the security of the Company’s and each of its Subsidiaries’ information technology systems and processing of Personal Information. Except as would not reasonably be expected to be material to the business of Company and its Subsidiaries, the Company and its Subsidiaries have implemented and maintained policies, procedures and systems as are required by Privacy Laws for receiving and appropriately responding to requests from individuals concerning their Personal Information. There are no Actions by any Person (including any Governmental Authority), to which the Company or any of the Company’s Subsidiaries is a named party, pending or to the knowledge of the Company threatened against the Company or its Subsidiaries alleging a violation of any (i) Privacy Laws, or (ii) contractual commitments (including any applicable privacy policies) of the Company or any of the Company’s Subsidiaries with respect to any Personal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knowledge of the Company, during the three (3) years preceding the date of this Agreement, (i) there have been no actual or reasonably suspected instances of data breaches, security incidents, or misuse of or unauthorized use of, access to, intrusions into, disruptions of, or data loss involving Company Systems which would, individually or in the aggregate, reasonably be expected to result in a Company Material Adverse Effect (a “</w:t>
      </w:r>
      <w:r>
        <w:rPr>
          <w:rFonts w:ascii="Times New Roman;Times;Serif" w:hAnsi="Times New Roman;Times;Serif"/>
          <w:b w:val="false"/>
          <w:i w:val="false"/>
          <w:caps w:val="false"/>
          <w:smallCaps w:val="false"/>
          <w:sz w:val="20"/>
          <w:u w:val="single"/>
        </w:rPr>
        <w:t>Data Breach</w:t>
      </w:r>
      <w:r>
        <w:rPr>
          <w:rFonts w:ascii="Times New Roman;Times;Serif" w:hAnsi="Times New Roman;Times;Serif"/>
          <w:b w:val="false"/>
          <w:i w:val="false"/>
          <w:caps w:val="false"/>
          <w:smallCaps w:val="false"/>
          <w:sz w:val="20"/>
        </w:rPr>
        <w:t>”), (ii) the Company and its Subsidiaries have implemented commercially reasonable measures designed to protect Personal Information in their possession or control against a Data Breach, and (iii) neither the Company nor any Subsidiary of the Company has received any written notice or complaint from any Person with respect to any such Data Breach, nor has any such notice or complaint been threatened in writing against the Company or any of the Company’s Subsidiaries. Neither the Company nor any of its Subsidiaries have provided or been required to provide any written notification to any Person in connection with a Data Breach. Neither the Company nor any of its Subsidiaries has paid (i) any perpetrator of any data breach incident or cyber-attack or (ii) any third party with actual or alleged information about any data breach incident or cyber-attack.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current third-party services providers, outsourcers, processors or other third parties who currently process, store or otherwise handle any Personal Information for or on behalf of the Company or any of its Subsidiaries have contractually agreed to (i) comply with applicable Privacy Laws, (ii) maintain the confidentiality of Personal Information processed on behalf of the Company or any of its Subsidiaries and, (iii) maintain reasonable and appropriate technical, physical and administrative safeguards to protect and secure such Personal Information from loss, theft, misuse or unauthorized access, use, modification, alteration, destruction or disclosure. To the knowledge of the Company, such third parties have not (A) suffered any Data Breach involving the Company’s or any of its Subsidiaries’ Personal Information, (B) breached any obligations relating to the Company’s or any of its Subsidiaries’ Personal Information or (C) violated any Privacy Laws in relation to the Company’s or any of its Subsidiaries’ Personal Information. To the knowledge of the Company, no third party who has provided any Personal Information to the Company and its Subsidiaries has done so in violation of applicable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neither the Company nor any of its Subsidiaries is subject to any contractual requirements or other legal obligations that, following the Closing, would prohibit Acquiror, the Company, or any of the Company’s Subsidiaries from receiving, accessing, storing or using any Personal Information in the manner in which the Company or the respective Subsidiary received, accessed, stored and used such Personal Information prior to the date of this Agreement. The execution, delivery and performance of this Agreement by the Company does not violate its obligations under applicable Privacy Laws, the Company’s privacy policies and applicable contractual obligations of the Company or any of its Subsidiaries regarding its collection, use or disclosure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knowledge of the Company, the Company and its Subsidiaries are, and for the past three (3) years have been, in compliance in all material respects with all applicable Environmental Laws, which compliance includes obtaining, maintaining and complying in all material respects with all material Licenses required by Environmental Laws (“</w:t>
      </w:r>
      <w:r>
        <w:rPr>
          <w:rFonts w:ascii="Times New Roman;Times;Serif" w:hAnsi="Times New Roman;Times;Serif"/>
          <w:b w:val="false"/>
          <w:i w:val="false"/>
          <w:caps w:val="false"/>
          <w:smallCaps w:val="false"/>
          <w:sz w:val="20"/>
          <w:u w:val="single"/>
        </w:rPr>
        <w:t>Environmental Permits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its Subsidiaries has received written notice that it is subject to any current Governmental Order relating to any material non-compliance with Environmental Laws by the Company or its Subsidiaries or the investigation, sampling, monitoring, treatment, remediation, removal or cleanup of any material release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material Action is pending or, to the knowledge of the Company, threatened with respect to the Company’s and its Subsidiaries’ compliance with or liability under Environmental Laws, and, to the knowledge of the Company, there are no facts or circumstances which could reasonably be expected to form the basis of such an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past three (3) years, (i) the Company has not received written notice that the Company or any of its Subsidiaries has released Hazardous Materials at, on, in, under or from the Leased Real Property, the Owned Real Property or any other location, including any properties formerly owned, leased or operated by the Company or any of its Subsidiaries and, (ii) neither the Company nor any of its Subsidiaries has released any Hazardous Materials at any location, in each case for which there was a material obligation under Environmental Law to perform any investigation or remedial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made available to Acquiror all material environmental reports, assessments, audits and inspections, including copies of all Phase I and Phase II environmental site assessments relating to the Leased Real Property and Owned Real Property, or other location formerly owned, leased or operated by the Company or any of its Subsidiaries, prepared within the past three (3) years and in the Company’s possession, and any material communications or notices concerning any material non-compliance of the Company or any of the Company’s Subsidiaries with, or material liability of the Company or any of the Company’s Subsidiaries under,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4.24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the most recent balance sheet included in the Financial Statements to the date of this Agreement, there has not been any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the date of the most recent balance sheet included in the Financial Statements, except (i) as set forth on </w:t>
      </w:r>
      <w:r>
        <w:rPr>
          <w:rFonts w:ascii="Times New Roman;Times;Serif" w:hAnsi="Times New Roman;Times;Serif"/>
          <w:b w:val="false"/>
          <w:i w:val="false"/>
          <w:caps w:val="false"/>
          <w:smallCaps w:val="false"/>
          <w:sz w:val="20"/>
          <w:u w:val="single"/>
        </w:rPr>
        <w:t>Section 4.24(b)</w:t>
      </w:r>
      <w:r>
        <w:rPr>
          <w:rFonts w:ascii="Times New Roman;Times;Serif" w:hAnsi="Times New Roman;Times;Serif"/>
          <w:b w:val="false"/>
          <w:i w:val="false"/>
          <w:caps w:val="false"/>
          <w:smallCaps w:val="false"/>
          <w:sz w:val="20"/>
        </w:rPr>
        <w:t> of the Company Disclosure Letter and (ii) in connection with the transactions contemplated by this Agreement and the other documents to which the Company is a party contemplated hereby, through and including the date of this Agreement, the Company and its Subsidiaries have carried on their respective businesses and operated their properties in all material respects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Since the date of the most recent balance sheet included in the Financial Statements, except (i) as set forth on </w:t>
      </w:r>
      <w:r>
        <w:rPr>
          <w:rFonts w:ascii="Times New Roman;Times;Serif" w:hAnsi="Times New Roman;Times;Serif"/>
          <w:b w:val="false"/>
          <w:i w:val="false"/>
          <w:caps w:val="false"/>
          <w:smallCaps w:val="false"/>
          <w:sz w:val="20"/>
          <w:u w:val="single"/>
        </w:rPr>
        <w:t>Section 4.24(c)</w:t>
      </w:r>
      <w:r>
        <w:rPr>
          <w:rFonts w:ascii="Times New Roman;Times;Serif" w:hAnsi="Times New Roman;Times;Serif"/>
          <w:b w:val="false"/>
          <w:i w:val="false"/>
          <w:caps w:val="false"/>
          <w:smallCaps w:val="false"/>
          <w:sz w:val="20"/>
        </w:rPr>
        <w:t xml:space="preserve"> of the Company Disclosure Letter and (ii) in connection with the transactions contemplated by this Agreement and the other documents to which the Company is a party contemplated hereby, neither the Company nor any of its Subsidiaries has taken or permitted to occur any action that, were it to be taken from and after the date hereof, would require the prior written consent of Acquiror pursuant to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(n)</w:t>
      </w:r>
      <w:r>
        <w:rPr>
          <w:rFonts w:ascii="Times New Roman;Times;Serif" w:hAnsi="Times New Roman;Times;Serif"/>
          <w:b w:val="false"/>
          <w:i w:val="false"/>
          <w:caps w:val="false"/>
          <w:smallCaps w:val="false"/>
          <w:sz w:val="20"/>
        </w:rPr>
        <w:t xml:space="preserve"> or, with respect to the foregoing,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4.25           </w:t>
      </w:r>
      <w:r>
        <w:rPr>
          <w:rFonts w:ascii="Times New Roman;Times;Serif" w:hAnsi="Times New Roman;Times;Serif"/>
          <w:b w:val="false"/>
          <w:i w:val="false"/>
          <w:caps w:val="false"/>
          <w:smallCaps w:val="false"/>
          <w:sz w:val="20"/>
          <w:u w:val="single"/>
        </w:rPr>
        <w:t>Anti-Corruption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of its Subsidiaries, nor any director, officer or employee, nor, to the knowledge of the Company, any agent while acting on behalf of the Company or any of the Company’s Subsidiaries, has offered or given anything of value to any official or employee of a Governmental Authority, any political party or official thereof, or any candidate for political office or any other Person, in any such case while knowing that all or a portion of such money or thing of value will be offered, given or promised, directly or indirectly, to any official or employee of a Governmental Authority or candidate for political office, for the purpose of (i) influencing any act or decision of such government official or employee, candidate, party or campaign, (ii) inducing such government official or employee, candidate, party or campaign to do or omit to do any act in violation of a lawful duty, (iii) obtaining or retaining business for or with any person, (iv) expediting or securing the performance of official acts of a routine nature, (v) securing any improper advantage, or (vi) otherwise in violation of the Anti-Bribery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has established or maintained any unlawful fund of corporate monies or any other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its Subsidiaries, has instituted and maintains policies and procedures reasonably designed to ensure compliance in all material respects with the Anti-Bribery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knowledge of the Company, as of the date hereof, there are no current or pending internal investigations, third party investigations (including by any Governmental Authority), or internal or external audits that address any material allegations or information concerning possible material violations of the Anti-Bribery Laws related to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4.26           </w:t>
      </w:r>
      <w:r>
        <w:rPr>
          <w:rFonts w:ascii="Times New Roman;Times;Serif" w:hAnsi="Times New Roman;Times;Serif"/>
          <w:b w:val="false"/>
          <w:i w:val="false"/>
          <w:caps w:val="false"/>
          <w:smallCaps w:val="false"/>
          <w:sz w:val="20"/>
          <w:u w:val="single"/>
        </w:rPr>
        <w:t>Sanctions and International Trade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its Subsidiaries (i) are, and have been for the past five (5) years, in compliance in all material respects with all applicable International Trade Laws and Sanctions Laws, and (ii) have obtained all required licenses, consents, notices, waivers, approvals, orders, registrations, declarations, or other authorizations from, and have made all requisite filings with, any applicable Governmental Authority for the import, export, re-export, deemed export, deemed re-export, or transfer required under the International Trade Laws and Sanctions Laws (the “</w:t>
      </w:r>
      <w:r>
        <w:rPr>
          <w:rFonts w:ascii="Times New Roman;Times;Serif" w:hAnsi="Times New Roman;Times;Serif"/>
          <w:b w:val="false"/>
          <w:i w:val="false"/>
          <w:caps w:val="false"/>
          <w:smallCaps w:val="false"/>
          <w:sz w:val="20"/>
          <w:u w:val="single"/>
        </w:rPr>
        <w:t>Export Approvals</w:t>
      </w:r>
      <w:r>
        <w:rPr>
          <w:rFonts w:ascii="Times New Roman;Times;Serif" w:hAnsi="Times New Roman;Times;Serif"/>
          <w:b w:val="false"/>
          <w:i w:val="false"/>
          <w:caps w:val="false"/>
          <w:smallCaps w:val="false"/>
          <w:sz w:val="20"/>
        </w:rPr>
        <w:t>”). There are no pending or, to the knowledge of the Company threatened, complaints, charges, voluntary disclosures or Actions against the Company or any of the Company’s Subsidiaries related to any International Trade Laws or Sanctions Laws or any Export Approvals.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of its Subsidiaries nor any of their respective directors or officers, or to the knowledge of the Company, any of the Company’s or its Subsidiaries’ respective employees, agents, representatives or other Persons acting on behalf of the Company or any of the Company’s Subsidiaries, (i) is, or has been, a Sanctioned Person or (ii) during the past five (5) years, has transacted business directly or knowingly indirectly with any Sanctioned Person or in any Sanctioned Country in violation of applicable Sanctions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4.27           </w:t>
      </w:r>
      <w:r>
        <w:rPr>
          <w:rFonts w:ascii="Times New Roman;Times;Serif" w:hAnsi="Times New Roman;Times;Serif"/>
          <w:b w:val="false"/>
          <w:i w:val="false"/>
          <w:caps w:val="false"/>
          <w:smallCaps w:val="false"/>
          <w:sz w:val="20"/>
          <w:u w:val="single"/>
        </w:rPr>
        <w:t>Vendors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of the Company Disclosure Letter sets forth, as of the date of this Agreement, the top ten (10) vendors based on the aggregate Dollar value of the Company’s and its Subsidiaries’ transaction volume with such counterparty during the trailing twelve months for the period ending December 31, 2022 (the “</w:t>
      </w:r>
      <w:r>
        <w:rPr>
          <w:rFonts w:ascii="Times New Roman;Times;Serif" w:hAnsi="Times New Roman;Times;Serif"/>
          <w:b w:val="false"/>
          <w:i w:val="false"/>
          <w:caps w:val="false"/>
          <w:smallCaps w:val="false"/>
          <w:sz w:val="20"/>
          <w:u w:val="single"/>
        </w:rPr>
        <w:t>Top Vendors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4.28           </w:t>
      </w:r>
      <w:r>
        <w:rPr>
          <w:rFonts w:ascii="Times New Roman;Times;Serif" w:hAnsi="Times New Roman;Times;Serif"/>
          <w:b w:val="false"/>
          <w:i w:val="false"/>
          <w:caps w:val="false"/>
          <w:smallCaps w:val="false"/>
          <w:sz w:val="20"/>
          <w:u w:val="single"/>
        </w:rPr>
        <w:t>Customers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4.28</w:t>
      </w:r>
      <w:r>
        <w:rPr>
          <w:rFonts w:ascii="Times New Roman;Times;Serif" w:hAnsi="Times New Roman;Times;Serif"/>
          <w:b w:val="false"/>
          <w:i w:val="false"/>
          <w:caps w:val="false"/>
          <w:smallCaps w:val="false"/>
          <w:sz w:val="20"/>
        </w:rPr>
        <w:t xml:space="preserve"> of the Company Disclosure Letter sets forth, as of the date of this Agreement, the top ten (10) customers based on the aggregate Dollar value of the Company’s and its Subsidiaries’ revenue with such counterparty during the trailing twelve months for the period ending December 31, 2022 (the “</w:t>
      </w:r>
      <w:r>
        <w:rPr>
          <w:rFonts w:ascii="Times New Roman;Times;Serif" w:hAnsi="Times New Roman;Times;Serif"/>
          <w:b w:val="false"/>
          <w:i w:val="false"/>
          <w:caps w:val="false"/>
          <w:smallCaps w:val="false"/>
          <w:sz w:val="20"/>
          <w:u w:val="single"/>
        </w:rPr>
        <w:t>Top Customers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4.29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 Neither the Company nor any of its Subsidiaries is party to: (i) any Contract, including an individual task order, delivery order, purchase order, basic ordering agreement, letter Contract or blanket purchase agreement between the Company or any of its Subsidiaries, on one hand, and any Governmental Authority, on the other hand, or (ii) any subcontract or other Contract by which the Company or one of its Subsidiaries has agreed to provide goods or services through a prime contractor directly to a Governmental Authority that is expressly identified in such subcontract or other Contract as the ultimate consumer of such goods or services. None of the Company or any of its Subsidiaries have provided any offer, bid, quotation or proposal to sell products made or services provided by the Company or any of its Subsidiaries that, if accepted or awarded, would lead to any Contract or subcontract of the type described by the foregoing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4.30            </w:t>
      </w:r>
      <w:r>
        <w:rPr>
          <w:rFonts w:ascii="Times New Roman;Times;Serif" w:hAnsi="Times New Roman;Times;Serif"/>
          <w:b w:val="false"/>
          <w:i w:val="false"/>
          <w:caps w:val="false"/>
          <w:smallCaps w:val="false"/>
          <w:sz w:val="20"/>
          <w:u w:val="single"/>
        </w:rPr>
        <w:t>No Additional Representations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neither the Company nor any of its Affiliates, nor any of their respective directors, managers, officers, employees, equityholders, partners, members or representatives has made, or is making, any representation or warranty whatsoever to Acquiror or Merger Sub or their Affiliates and no such party shall be liable in respect of the accuracy or completeness of any information provided to Acquiror or Merger Sub or their Affiliates. Without limiting the foregoing, each of Acquiror and Merger Sub acknowledges that Acquiror and Merger Sub and their respective advisors have made their own investigation of the Company and its Subsidiaries and, except as provided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are not relying on any representation or warranty whatsoever as to the condition, merchantability, suitability or fitness for a particular purpose or trade as to any of the assets of the Company or any of its Subsidiaries, the prospects (financial or otherwise) or the viability or likelihood of success of the business of the Company and its Subsidiaries as conducted after the Closing, as contained in any materials provided by the Company, its Subsidiaries or any of their respective Affiliates or any of their or their Affiliates’ respective directors, officers, employees, stockholders, partners, members or representatives or otherwise.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 OF ACQUIROR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(i) any Acquiror SEC Filings filed or submitted on or prior to the date hereof (excluding (a) any disclosures in any risk factors section that do not constitute statements of fact, disclosures in any forward-looking statements disclaimer and other disclosures that are generally cautionary, predictive or forward-looking in nature and (b) any exhibits or other documents appended thereto) or (ii) the disclosure letter delivered by Acquiror and Merger Sub to the Company (the “</w:t>
      </w:r>
      <w:r>
        <w:rPr>
          <w:rFonts w:ascii="Times New Roman;Times;Serif" w:hAnsi="Times New Roman;Times;Serif"/>
          <w:b w:val="false"/>
          <w:i w:val="false"/>
          <w:caps w:val="false"/>
          <w:smallCaps w:val="false"/>
          <w:sz w:val="20"/>
          <w:u w:val="single"/>
        </w:rPr>
        <w:t>Acquiror Disclosure Letter</w:t>
      </w:r>
      <w:r>
        <w:rPr>
          <w:rFonts w:ascii="Times New Roman;Times;Serif" w:hAnsi="Times New Roman;Times;Serif"/>
          <w:b w:val="false"/>
          <w:i w:val="false"/>
          <w:caps w:val="false"/>
          <w:smallCaps w:val="false"/>
          <w:sz w:val="20"/>
        </w:rPr>
        <w:t xml:space="preserve">”) on the date of this Agreement (each section of which, subject to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 xml:space="preserve">, qualifies the correspondingly numbered and lettered representations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Acquiror and Merger Sub represent and warrant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Company Organization</w:t>
      </w:r>
      <w:r>
        <w:rPr>
          <w:rFonts w:ascii="Times New Roman;Times;Serif" w:hAnsi="Times New Roman;Times;Serif"/>
          <w:b w:val="false"/>
          <w:i w:val="false"/>
          <w:caps w:val="false"/>
          <w:smallCaps w:val="false"/>
          <w:sz w:val="20"/>
        </w:rPr>
        <w:t>. Each of Acquiror and Merger Sub has been duly incorporated, organized or formed and is validly existing as a corporation or exempted company in good standing (or equivalent status, to the extent that such concept exists) under the Laws of its jurisdiction of incorporation, organization or formation, and has the requisite company power and authority to own, lease or operate all of its properties and assets and to conduct its business as it is now being conducted. The copies of Acquiror’s Governing Documents and the Governing Documents of Merger Sub, in each case, as amended to the date of this Agreement, previously delivered by Acquiror to the Company, are true, correct and complete. Merger Sub has no assets or operations other than those incident to this Agreement and the Transactions. All of the equity interests of Merger Sub are held directly by Acquiror. Each of Acquiror and Merger Sub is duly licensed or qualified and in good standing as a foreign corporation or company in all jurisdictions in which its ownership of property or the character of its activities is such as to require it to be so licensed or qualified, except where failure to be so licensed or qualified would not reasonably be expected to be, individually or in the aggregate, material to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Acquiror and Merger Sub has all requisite corporate power and authority to (a) execute and deliver this Agreement and the documents contemplated hereby, and (b) subject to obtaining the Acquiror Stockholder Approval, consummate the Transactions and perform all obligations to be performed by it hereunder and thereunder. The execution and delivery of this Agreement and the documents contemplated hereby and the consummation of the Transactions have been (i) duly and validly authorized and approved by the Acquiror Board and by Acquiror as the sole stockholder of Merger Sub and (ii) determined by the Acquiror Board as advisable to Acquiror and the Acquiror Stockholders and (iii) recommended for approval by the Acquiror Stockholders. No other company proceeding on the part of Acquiror or Merger Sub is necessary to authorize this Agreement and the documents contemplated hereby (other than the Acquiror Stockholder Approval). This Agreement has been, and at or prior to the Closing, the other documents contemplated hereby will be, duly and validly executed and delivered by each of Acquiror and/or Merger Sub, as applicable, and this Agreement constitutes, and at or prior to the Closing, the other documents contemplated hereby will constitute, a legal, valid and binding obligation of each of Acquiror and/or Merger Sub, as applicable, enforceable against Acquiror and/or Merger Sub, as applicable,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Assuming that a quorum (as determined pursuant to Acquiror’s Governing Documents) is present, the Acquiror Stockholder Approval is the only vote of any of Acquiror’s capital stock necessary in connection with entry into this Agreement by Acquiror and Merger Sub and the consummation of the Transactions, including the Closing.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 meeting duly called and held, the Acquiror Board has unanimously approved the transactions contemplated by this Agreement as a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Subject to the Acquiror Stockholder Approval, the execution and delivery of this Agreement by Acquiror and Merger Sub and the other documents contemplated hereby by Acquiror and Merger Sub and the consummation of the Transactions do not and will not (a) violate or conflict with any provision of, or result in the breach of or default under the Governing Documents of Acquiror or Merger Sub, (b) violate or conflict with any provision of, or result in the breach of, or default under any applicable Law or Governmental Order applicable to Acquiror or Merger Sub, (c) violate or conflict with any provision of, or result in the breach of, result in the loss of any right or benefit, or cause acceleration, or constitute (with or without due notice or lapse of time or both) a default (or give rise to any right of termination, cancellation or acceleration) under any Contract to which Acquiror or Merger Sub is a party or by which Acquiror or Merger Sub may be bound, or terminate or result in the termination of any such Contract or (d) result in the creation of any Lien upon any of the properties or assets of Acquiror or Merger Sub, except, in the case of clauses (b) through (d), to the extent that the occurrence of the foregoing would not (i) have, or would not reasonably be expected to have, individually or in the aggregate, an Acquiror Material Adverse Effect or (ii) be material to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Litigation and Proceedings</w:t>
      </w:r>
      <w:r>
        <w:rPr>
          <w:rFonts w:ascii="Times New Roman;Times;Serif" w:hAnsi="Times New Roman;Times;Serif"/>
          <w:b w:val="false"/>
          <w:i w:val="false"/>
          <w:caps w:val="false"/>
          <w:smallCaps w:val="false"/>
          <w:sz w:val="20"/>
        </w:rPr>
        <w:t>. As of the date of this Agreement, there are no pending or, to the knowledge of Acquiror, threatened Actions against Acquiror or Merger Sub, their respective properties or assets, or, to the knowledge of Acquiror, any of their respective directors, managers, officers or employees (in their capacity as such). As of the date of this Agreement, there are no investigations or other inquiries pending or, to the knowledge of Acquiror, threatened by any Governmental Authority, against Acquiror or Merger Sub, their respective properties or assets, or, to the knowledge of Acquiror, any of their respective directors, managers, officers or employees (in their capacity as such). As of the date of this Agreement, there is no outstanding Governmental Order imposed upon Acquiror or Merger Sub, nor are any assets of Acquiror’s or Merger Sub’s respective businesses bound or subject to any Governmental Order the violation of which would, individually or in the aggregate, reasonably be expected to be material to Acquiror. From their respective dates of inception to the date of this Agreement, Acquiror and Merger Sub have not received any written notice of or been charged with the violation of any Laws, except where such violation has not been, individually or in the aggregate, material to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disclosed on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 of the Acquiror Disclosure Letter, Acquiror has timely filed or furnished all statements, prospectuses, registration statements, forms, reports and documents required to be filed by it with the SEC since December 15, 2021, pursuant to the Exchange Act or the Securities Act (collectively, as they have been amended since the time of their filing through the date hereof, the “</w:t>
      </w:r>
      <w:r>
        <w:rPr>
          <w:rFonts w:ascii="Times New Roman;Times;Serif" w:hAnsi="Times New Roman;Times;Serif"/>
          <w:b w:val="false"/>
          <w:i w:val="false"/>
          <w:caps w:val="false"/>
          <w:smallCaps w:val="false"/>
          <w:sz w:val="20"/>
          <w:u w:val="single"/>
        </w:rPr>
        <w:t>Acquiror SEC Filings</w:t>
      </w:r>
      <w:r>
        <w:rPr>
          <w:rFonts w:ascii="Times New Roman;Times;Serif" w:hAnsi="Times New Roman;Times;Serif"/>
          <w:b w:val="false"/>
          <w:i w:val="false"/>
          <w:caps w:val="false"/>
          <w:smallCaps w:val="false"/>
          <w:sz w:val="20"/>
        </w:rPr>
        <w:t>”). Each of the Acquiror SEC Filings, as of the respective date of its filing (or if amended or superseded by a filing prior to the date of this Agreement or the Effective Time, then on the date of such filing), complied in all material respects with the applicable requirements of the Securities Act, the Exchange Act, the Sarbanes-Oxley Act and any rules and regulations promulgated thereunder applicable to the Acquiror SEC Filings. As of the respective date of its filing (or if amended or superseded by a filing prior to the date of this Agreement or the Closing Date, then on the date of such filing), the Acquiror SEC Filings did not contain any untrue statement of a material fact or omit to state a material fact required to be stated therein or necessary to make the statements made therein, in light of the circumstances under which they were made, not misleading. As of the date hereof, there are no outstanding or unresolved comments in comment letters received from the SEC with respect to the Acquiror SEC Filings. To the knowledge of Acquiror, none of the Acquiror SEC Filings filed on or prior to the date hereof is subject to ongoing SEC review or investigation as of the date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effective date of the Proxy Statement / Registration Statement, and when first filed in accordance with Rule 424(b) under the Securities Act and/or filed pursuant to Section 14(a) of the Exchange Act, the Proxy Statement / Registration Statement (or any amendment or supplement thereto) will comply in all material respects with the applicable requirements of the Securities Act and the Exchange Act. On the effective date of the Proxy Statement / Registration Statement, the information supplied in writing by Acquiror or Merger Sub for inclusion in the Proxy Statement / Registration Statement will not contain any untrue statement of a material fact or omit to state any material fact required to be stated therein or necessary in order to make the statements therein, in light of the circumstances under which they are made, not misleading. On the date of any filing pursuant to Rule 424(b) under the Securities Act and/or Section 14(a) of the Exchange Act, the date the Proxy Statement / Registration Statement is first mailed to the Acquiror Stockholders, and at the time of the Acquiror Stockholders’ Meeting, the information supplied in writing by Acquiror or Merger Sub for inclusion in the Proxy Statement / Registration Statement (together with any amendments or supplements thereto), will not contain any untrue statement of a material fact or omit to state any material fact required to be stated therein or necessary in order to make the statements therein, in light of the circumstances under which they are made, not misleading. Notwithstanding the foregoing, neither Acquiror nor Merger Sub makes any representation or warranty or covenant with respect to: (a) statements made or incorporated by reference therein in any of the foregoing documents based on information supplied by the Company or its Subsidiaries for inclusion therein or (b) any projections or forecast or forward looking statements included in the Proxy Statement /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Internal Controls; Listing;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not required in reliance on exemptions from various reporting requirements by virtue of Acquiror’s status as an “emerging growth company” within the meaning of the Securities Act, as modified by JOBS Act, Acquiror has established and maintains disclosure controls and procedures (as defined in Rule 13a-15 under the Exchange Act). Such disclosure controls and procedures are designed to ensure that material information relating to Acquiror is made known to Acquiror’s principal executive officer and its principal financial officer by others within those entities, particularly during the periods in which the periodic reports required under the Exchange Act are being prepared. Such disclosure controls and procedures are effective in timely alerting Acquiror’s principal executive officer and principal financial officer to material information required to be included in Acquiror’s periodic reports required under the Exchange Act. Acquiror has established and maintained a system of internal controls over financial reporting (as defined in Rule 13a-15 under the Exchange Act) that is sufficient to provide reasonable assurance regarding the reliability of Acquiror’s financial reporting and the preparation of Acquiror’s financial statements for external purposes in accordance with GAAP and there have been no significant deficiencies or material weakness in Acquiror’s internal control over financial reporting (whether or not remediated) and no change in Acquiror’s control over financial reporting that has materially affected, or is reasonably likely to materially affect Acquiror’s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Acquiror has not taken any action prohibited by Section 402 of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Acquiror Class A Common Stock is registered pursuant to Section 12(b) of the Exchange Act and is listed for trading on Nasdaq. Except as disclosed in the Acquiror SEC Filings or as otherwise set forth on </w:t>
      </w:r>
      <w:r>
        <w:rPr>
          <w:rFonts w:ascii="Times New Roman;Times;Serif" w:hAnsi="Times New Roman;Times;Serif"/>
          <w:b w:val="false"/>
          <w:i w:val="false"/>
          <w:caps w:val="false"/>
          <w:smallCaps w:val="false"/>
          <w:sz w:val="20"/>
          <w:u w:val="single"/>
        </w:rPr>
        <w:t>Section 5.6(c)</w:t>
      </w:r>
      <w:r>
        <w:rPr>
          <w:rFonts w:ascii="Times New Roman;Times;Serif" w:hAnsi="Times New Roman;Times;Serif"/>
          <w:b w:val="false"/>
          <w:i w:val="false"/>
          <w:caps w:val="false"/>
          <w:smallCaps w:val="false"/>
          <w:sz w:val="20"/>
        </w:rPr>
        <w:t> of the Acquiror Disclosure Letter, there is no Action pending or, to the knowledge of Acquiror, threatened against Acquiror by Nasdaq or the SEC with respect to any intention by such entity to deregister the Acquiror Class A Common Stock or prohibit or terminate the listing of Acquiror Class A Common Stock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disclosed in the Acquiror SEC Filings or as otherwise set forth on </w:t>
      </w:r>
      <w:r>
        <w:rPr>
          <w:rFonts w:ascii="Times New Roman;Times;Serif" w:hAnsi="Times New Roman;Times;Serif"/>
          <w:b w:val="false"/>
          <w:i w:val="false"/>
          <w:caps w:val="false"/>
          <w:smallCaps w:val="false"/>
          <w:sz w:val="20"/>
          <w:u w:val="single"/>
        </w:rPr>
        <w:t>Section 5.6(d)</w:t>
      </w:r>
      <w:r>
        <w:rPr>
          <w:rFonts w:ascii="Times New Roman;Times;Serif" w:hAnsi="Times New Roman;Times;Serif"/>
          <w:b w:val="false"/>
          <w:i w:val="false"/>
          <w:caps w:val="false"/>
          <w:smallCaps w:val="false"/>
          <w:sz w:val="20"/>
        </w:rPr>
        <w:t> of the Acquiror Disclosure Letter, the financial statements and notes contained or incorporated by reference in the Acquiror SEC Filings fairly present in all material respects the financial condition and the results of operations, changes in stockholders’ deficit and cash flows of Acquiror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Acquiror has no off-balance sheet arrangements that are not disclosed in the Acquiror SEC Filings. No financial statements other than those of Acquiror are required by GAAP to be included in the consolidated financial statements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Acquiror nor Acquiror’s independent auditors has identified or been made aware of (i) any significant deficiency or material weakness in the system of internal accounting controls utilized by Acquiror, (ii) any actual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Governmental Authorities; Consents</w:t>
      </w:r>
      <w:r>
        <w:rPr>
          <w:rFonts w:ascii="Times New Roman;Times;Serif" w:hAnsi="Times New Roman;Times;Serif"/>
          <w:b w:val="false"/>
          <w:i w:val="false"/>
          <w:caps w:val="false"/>
          <w:smallCaps w:val="false"/>
          <w:sz w:val="20"/>
        </w:rPr>
        <w:t xml:space="preserve">. Assuming the truth and completeness of the representations and warranties of the Company contained in this Agreement, no Governmental Authorization of, or designation, declaration or filing with, or notification to, any Governmental Authority or other Person is mandatorily required on the part of Acquiror or Merger Sub with respect to Acquiror’s or Merger Sub’s execution or delivery of this Agreement or the consummation of the Transactions, except for (i) applicable requirements of the HSR Act and the NSI Act, and (ii) as otherwise disclosed on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xml:space="preserve"> of the Acquiror Disclosure Letter.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As of the date of this Agreement, Acquiror has at least $45,000,000 in the Trust Account. There are no separate Contracts, side letters or other arrangements or understandings (whether written or unwritten, express or implied) that would cause the description of the Trust Agreement in the Acquiror SEC Filings to be inaccurate or that would entitle any Person (other than the Acquiror Stockholders holding shares of Acquiror Common Stock sold in Acquiror’s initial public offering who shall have elected to redeem their shares of Acquiror Common Stock pursuant to Acquiror’s Governing Documents and the underwriters of Acquiror’s initial public offering with respect to deferred underwriting commissions) to any portion of the proceeds in the Trust Account. Prior to the Closing, none of the funds held in the Trust Account may be released other than (i) to pay Taxes and (ii) to redeem shares of Acquiror Class A Common Stock in accordance with the provisions of the SPAC’s Governing Documents and the Trust Agreement. The Trust Agreement is a valid and binding obligation of Acquiror and is in full force and effect and is enforceable in accordance with its terms. There are no claims or proceedings pending or, to the knowledge of Acquiror, threatened with respect to the Trust Account. Acquiror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Acquiror to dissolve or liquidate pursuant to Acquiror’s Governing Documents shall terminate, and as of the Effective Time, Acquiror shall have no obligation whatsoever pursuant to Acquiror’s Governing Documents to dissolve and liquidate the assets of Acquiror by reason of the consummation of the Transactions. To Acquiror’s knowledge, as of the date hereof, following the Effective Time, no Acquiror Stockholder shall be entitled to receive any amount from the Trust Account except to the extent such Acquiror Stockholder is exercising an Acquiror Share Redemption. As of the date hereof, assuming the accuracy of the representations and warranties of the Company contained herein and the compliance by the Company with its obligations hereunder, neither Acquiror or Merger Sub have any reason to believe that any of the conditions to the use of funds in the Trust Account will not be satisfied or funds available in the Trust Account will not be available to Acquiror and Merger Sub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Investment Company Act; JOBS Act</w:t>
      </w:r>
      <w:r>
        <w:rPr>
          <w:rFonts w:ascii="Times New Roman;Times;Serif" w:hAnsi="Times New Roman;Times;Serif"/>
          <w:b w:val="false"/>
          <w:i w:val="false"/>
          <w:caps w:val="false"/>
          <w:smallCaps w:val="false"/>
          <w:sz w:val="20"/>
        </w:rPr>
        <w:t>. Acquiror is not an “investment company” or a Person directly or indirectly “controlled” by or acting on behalf of an “investment company,” in each case within the meaning of the Investment Company Act. Acquiror constitutes an “emerging growth company” within the meaning of the JOBS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val="false"/>
          <w:caps w:val="false"/>
          <w:smallCaps w:val="false"/>
          <w:sz w:val="20"/>
          <w:u w:val="single"/>
        </w:rPr>
        <w:t>Absence of Changes</w:t>
      </w:r>
      <w:r>
        <w:rPr>
          <w:rFonts w:ascii="Times New Roman;Times;Serif" w:hAnsi="Times New Roman;Times;Serif"/>
          <w:b w:val="false"/>
          <w:i w:val="false"/>
          <w:caps w:val="false"/>
          <w:smallCaps w:val="false"/>
          <w:sz w:val="20"/>
        </w:rPr>
        <w:t xml:space="preserve">. Since June 30, 2023, (a) there has not been any event or occurrence that has had, or would not reasonably be expected to have, individually or in the aggregate, an Acquiror Material Adverse Effect and (b) except as set forth in </w:t>
      </w:r>
      <w:r>
        <w:rPr>
          <w:rFonts w:ascii="Times New Roman;Times;Serif" w:hAnsi="Times New Roman;Times;Serif"/>
          <w:b w:val="false"/>
          <w:i w:val="false"/>
          <w:caps w:val="false"/>
          <w:smallCaps w:val="false"/>
          <w:sz w:val="20"/>
          <w:u w:val="single"/>
        </w:rPr>
        <w:t xml:space="preserve">Section 5.10 </w:t>
      </w:r>
      <w:r>
        <w:rPr>
          <w:rFonts w:ascii="Times New Roman;Times;Serif" w:hAnsi="Times New Roman;Times;Serif"/>
          <w:b w:val="false"/>
          <w:i w:val="false"/>
          <w:caps w:val="false"/>
          <w:smallCaps w:val="false"/>
          <w:sz w:val="20"/>
        </w:rPr>
        <w:t>of the Acquiror Disclosure Letter, Acquiror and Merger Sub have, in all material respects, conducted their business and operated their properties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Except for any fees and expenses payable by Acquiror or Merger Sub as a result of or in connection with the consummation of the Transactions, there is no liability, debt or obligation of or claim or judgment against Acquiror or Merger Sub (whether direct or indirect, absolute or contingent, accrued or unaccrued, known or unknown, liquidated or unliquidated, or due or to become due), except for liabilities and obligations (i) reflected or reserved for on the financial statements or disclosed in the notes thereto included in Acquiror SEC Filings, (ii) that have arisen since the date of the most recent balance sheet included in the Acquiror SEC Filings in the ordinary course of business of Acquiror and Merger Sub, or (iii) which would not be, or would not reasonably be expected to be, material to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val="false"/>
          <w:caps w:val="false"/>
          <w:smallCaps w:val="false"/>
          <w:sz w:val="20"/>
          <w:u w:val="single"/>
        </w:rPr>
        <w:t>Capitalization of Acquiror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date of this Agreement, the authorized share capital of Acquiror is 301,000,000 consisting of (i) 280,000,000 shares of Acquiror Class A Common Stock, 30,079,500 of which are issued and outstanding as of the date of this Agreement, (ii) 20,000,000 shares of Acquiror Class B Common Stock, of which 9,487,500 shares are issued and outstanding as of the date of this Agreement, and (iii) 1,000,000 preferred shares of par value $0.0001 each, of which no shares are issued and outstanding as of the date of this Agreement ((i), (ii) and (iii) collectively, the “</w:t>
      </w:r>
      <w:r>
        <w:rPr>
          <w:rFonts w:ascii="Times New Roman;Times;Serif" w:hAnsi="Times New Roman;Times;Serif"/>
          <w:b w:val="false"/>
          <w:i w:val="false"/>
          <w:caps w:val="false"/>
          <w:smallCaps w:val="false"/>
          <w:sz w:val="20"/>
          <w:u w:val="single"/>
        </w:rPr>
        <w:t>Acquiror Securities</w:t>
      </w:r>
      <w:r>
        <w:rPr>
          <w:rFonts w:ascii="Times New Roman;Times;Serif" w:hAnsi="Times New Roman;Times;Serif"/>
          <w:b w:val="false"/>
          <w:i w:val="false"/>
          <w:caps w:val="false"/>
          <w:smallCaps w:val="false"/>
          <w:sz w:val="20"/>
        </w:rPr>
        <w:t>”). The foregoing represents all of the issued and outstanding Acquiror Securities as of the date of this Agreement. All issued and outstanding Acquiror Securities (i) have been duly authorized and validly issued and are fully paid and non-assessable;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Acquiror Warrants will be exercisable after giving effect to the Merger for one share of Acquiror Class A Common Stock at an exercise price of eleven Dollars fifty cents ($11.50) per share. As of the date of this Agreement, 28,750,000 Acquiror Public Warrants and 898,250 Acquiror Private Placement Warrants are issued and outstanding. All outstanding Acquiror Warrants (i) have been duly authorized and validly issued and constitute valid and binding obligations of Acquiror, enforceable against Acquiror in accordance with their terms, subject to the Enforceability Exceptions; (ii) have been offered, sold and issued in compliance with applicable Law, including federal and state securities Laws, and all requirements set forth in (1) Acquiror’s Governing Documents and (2) any other applicable Contracts governing the issuance of such securities; and (iii) are not subject to, nor have they been issued in violation of, any purchase option, call option, right of first refusal, preemptive right, subscription right or any similar right under any provision of any applicable Law, Acquiror’s Governing Documents or any Contract to which Acquiror is a party or otherwise bound. Except Acquiror’s Governing Documents and this Agreement, there are no outstanding Contracts of Acquiror to repurchase, redeem or otherwise acquire any Acquiror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this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or as contemplated by this Agreement or the other documents contemplated hereby, and other than in connection with any Private Placement Investment consummated in accordance with this Agreement, Acquiror has not granted any outstanding options, stock appreciation rights, warrants, rights or other securities convertible into or exchangeable or exercisable for Acquiror Securities, or any other commitments or agreements providing for the issuance of additional shares, the sale of treasury shares, for the repurchase or redemption of any Acquiror Securities or the value of which is determined by reference to the Acquiror Securities, and there are no Contracts of any kind which may obligate Acquiror to issue, purchase, redeem or otherwise acquire any of its Acquiror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obtaining the Acquiror Stockholder Approval, the shares of Acquiror Class A Common Stock comprising the Total Merger Consideration, when issued in accordance with the terms hereof, shall be duly authorized and validly issued, fully paid and non-assessable and issued in compliance with all applicable state and federal securities Laws and not subject to, and not issued in violation of, any Lien, purchase, option, call option, right of first refusal, preemptive right, subscription right or any similar right under any provision of applicable Law, Acquiror’s Governing Documents, or any Contract to which Acquiror is a party or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Acquiror has no Subsidiaries apart from Merger Sub, and does not own, directly or indirectly, any equity interests or other interests or investments (whether equity or debt) in any Person, whether incorporated or unincorporated. Acquiror is not party to any Contract that obligates Acquiror to invest money in, loan money to or make any capital contribution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val="false"/>
          <w:caps w:val="false"/>
          <w:smallCaps w:val="false"/>
          <w:sz w:val="20"/>
          <w:u w:val="single"/>
        </w:rPr>
        <w:t>Brokers’ Fees</w:t>
      </w:r>
      <w:r>
        <w:rPr>
          <w:rFonts w:ascii="Times New Roman;Times;Serif" w:hAnsi="Times New Roman;Times;Serif"/>
          <w:b w:val="false"/>
          <w:i w:val="false"/>
          <w:caps w:val="false"/>
          <w:smallCaps w:val="false"/>
          <w:sz w:val="20"/>
        </w:rPr>
        <w:t xml:space="preserve">. Except fees described on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of the Acquiror Disclosure Letter, no broker, finder, investment banker or other Person is entitled to any brokerage fee, finders’ fee or other commission in connection with the Transactions based upon arrangements made by Acquiror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of the Acquiror Disclosure Letter sets forth the principal amount of all of the outstanding Indebtedness, as of December 15, 2023, of Acquiror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and other material Tax Returns required to be filed by Acquiror or Merger Sub have been timely filed (taking into account any applicable extension), all such Tax Returns are true, correct, and complete in all material respects, and the Acquiror and Merger Sub have timely paid all income and other material Taxes due (whether or not shown on such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Acquiror and Merger Sub has deducted and withheld from amounts owing to any employee, former employee, independent contractor, creditor, stockholder, or other third party all material Taxes required to be deducted and withheld, and paid over to the proper Governmental Authority all such Taxes required by applicable Law to be so paid over, and complied in all material respects with all Tax Laws applicable to such deduction and withholding and related reporting requirements (including, without limitation, all information reporting and backup withholding provisions of the applicable Tax Law). Each of Acquiror and Merger Sub has properly classified all service providers as employees or independent contractors for Tax purposes.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for Permitted Liens under clause (ii) of the definition thereof, there are no Liens for Taxes upon any assets of Acquiror or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claim, assessment, deficiency, or proposed adjustment for any Taxes has been asserted or assessed by any Governmental Authority against Acquiror or Merger Sub except for deficiencies that have been satisfied by payment, settled or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Tax audits, examinations or other Actions relating to Taxes of Acquiror or Merger Sub that are presently in progress or threatened in writing, and there are no waivers, extensions, or requests for any waivers or extensions of any statute of limitations currently in effect with respect to any material Taxes of Acquiror or Merger Sub, in each case, other than customary extensions of the due date for filing a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Acquiror nor Merger Sub is a party to any Tax indemnification, sharing, or similar agreement, other than (i) any such agreement solely between Acquiror and Merger Sub and (ii) customary Contracts entered into in the ordinary course of business and not primarily related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Acquiror nor Merger Sub has constituted either a “distributing corporation” or a “controlled corporation” in a distribution of stock intended to be governed in whole or in part under Section 355 of the Code within the past two (2)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Acquiror nor Merger Sub (i) has any liability for Taxes of any other Person (other than Acquiror and Merger Sub) under Treasury Regulations Section 1.1502-6 or any similar provision of state, local, or non-U.S. Tax Law, as a transferee or successor, or by Contract (other than any customary Contract entered into in the ordinary course of business and not primarily related to Taxes) or (ii) has been a member of a group filing income Tax Returns on an affiliated, consolidated, combined, or unitary basis, other than a group the common parent of which was or is Acquiror (and of which only the Acquiror or Merger Sub are or were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Acquiror nor Merger Sub has received any written notice from any Governmental Authority in a jurisdiction where Acquiror or Merger Sub does not file Tax Returns that it is or may be required to file Tax Returns or subject to taxation in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Acquiror nor Merger Sub has a permanent establishment (within the meaning of an applicable Tax treaty) or otherwise has an office or fixed place of business in any country other than the country of its organization, or is, or has ever been, subject to income Tax in a jurisdiction outside the country of its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Acquiror nor Merger Sub has participated in a “reportable transaction” within the meaning of Treasury Regulations Section 1.6011-4(b) (or any corresponding or similar provision of state, local or non-U.S.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Acquiror nor Merger Sub will be required to include any item of income that, individually or in the aggregate with all similar items, is material in, or exclude any item of deduction that, individually or in the aggregate with all similar items, is material from, taxable income, for any taxable period (or portion thereof) ending after the Closing Date, in each case, as a result of any (i) installment sale or open transaction disposition made prior to the Closing outside the ordinary course of business, (ii) prepaid amount received or deferred revenue recognized on or prior to the Closing outside the ordinary course of business, (iii) change in method of accounting or the use of impermissible method of accounting for a taxable period ending on or prior to the Closing Date made before the Closing, (iv) “closing agreement” as described in Section 7121 of the Code (or any similar provision of state, local, or non-U.S. Tax Law) executed prior to the Closing, or (v) intercompany transaction or excess loss account as described in the Treasury Regulations promulgated under Section 1502 of the Code (or any similar provision of state, local, or non-U.S.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Acquiror nor Merger Sub has knowingly taken any action or agreed to take any action, or is aware of any facts or circumstances, that could reasonably be expected to impede or prevent the Merger from qualifying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Section 5.15(n)</w:t>
      </w:r>
      <w:r>
        <w:rPr>
          <w:rFonts w:ascii="Times New Roman;Times;Serif" w:hAnsi="Times New Roman;Times;Serif"/>
          <w:b w:val="false"/>
          <w:i w:val="false"/>
          <w:caps w:val="false"/>
          <w:smallCaps w:val="false"/>
          <w:sz w:val="20"/>
        </w:rPr>
        <w:t xml:space="preserve"> of the Acquiror Disclosure Letter, sets forth the tax classification of Acquiror and Merger Sub for U.S. federal income tax purposes, and except as set forth in </w:t>
      </w:r>
      <w:r>
        <w:rPr>
          <w:rFonts w:ascii="Times New Roman;Times;Serif" w:hAnsi="Times New Roman;Times;Serif"/>
          <w:b w:val="false"/>
          <w:i w:val="false"/>
          <w:caps w:val="false"/>
          <w:smallCaps w:val="false"/>
          <w:sz w:val="20"/>
          <w:u w:val="single"/>
        </w:rPr>
        <w:t>Section 5.15(n)</w:t>
      </w:r>
      <w:r>
        <w:rPr>
          <w:rFonts w:ascii="Times New Roman;Times;Serif" w:hAnsi="Times New Roman;Times;Serif"/>
          <w:b w:val="false"/>
          <w:i w:val="false"/>
          <w:caps w:val="false"/>
          <w:smallCaps w:val="false"/>
          <w:sz w:val="20"/>
        </w:rPr>
        <w:t> of the Acquiror Disclosure Letter, such classification has not changed since the formation of each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Acquiror and Merger Sub are in material compliance with escheat and unclaimed property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Neither the Acquiror nor Merger Sub has made a request for or entered into a closing agreement, private letter ruling, advance tax ruling or similar agreement with any Governmental Authority with respect to Taxes or a request for a change of any method of accounting, which would, individually or in the aggregate with all similar requests, adversely impact the Taxes of Acquiror or Merger Sub after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Neither Acquiror nor Merger Sub has liability for a material amount of unpaid Taxes that has not been adequately accrued for or reserved on Acquiror’s or Merger Sub’s Financial Statements, other than any liability for unpaid Taxes that has been incurred since the date of the most recent Financial Statements in connection with the operation of the business of Acquiror or Merger Sub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5.16           </w:t>
      </w:r>
      <w:r>
        <w:rPr>
          <w:rFonts w:ascii="Times New Roman;Times;Serif" w:hAnsi="Times New Roman;Times;Serif"/>
          <w:b w:val="false"/>
          <w:i w:val="false"/>
          <w:caps w:val="false"/>
          <w:smallCaps w:val="false"/>
          <w:sz w:val="20"/>
          <w:u w:val="single"/>
        </w:rPr>
        <w:t>Business Activities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formation, neither Acquiror nor Merger Sub have conducted any business activities other than activities related to Acquiror’s initial public offering or directed toward the accomplishment of a Business Combination. Except as set forth in Acquiror’s Governing Documents or as otherwise contemplated by this Agreement or the Ancillary Agreements and the Transactions, there is no agreement, commitment, or Governmental Order binding upon Acquiror or Merger Sub or to which Acquiror or Merger Sub is a party which has or would reasonably be expected to have the effect of prohibiting or impairing any business practice of Acquiror or Merger Sub or any acquisition of property by Acquiror or Merger Sub or the conduct of business by Acquiror or Merger Sub as currently conducted or as contemplated to be conducted as of the Closing, other than such effects, individually or in the aggregate, which have not been and would not reasonably be expected to be material to Acquiror or Merger Sub.</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for Merger Sub and the transactions contemplated by this Agreement and the Ancillary Agreements, Acquiror does not own or have a right to acquire, directly or indirectly, any interest or investment (whether equity or debt) in any corporation, partnership, joint venture, business, trust or other entity. Except for this Agreement and the Ancillary Agreements and the Transactions, Acquiror has no material interests, rights, obligations or liabilities with respect to, and is not party to, bound by or has its assets or property subject to, in each case whether directly or indirectly, any Contract or transaction which is, or would reasonably be interpreted as constituting, a Business Combination. Except for the transactions contemplated by this Agreement and the Ancillary Agreements, Merger Sub does not own or have a right to acquire, directly or indirectly, any interest or investment (whether equity or debt) in any corporation, partnership, joint venture, business, trust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Merger Sub was formed solely for the purpose of effecting the transactions contemplated by this Agreement and has not engaged in any business activities or conducted any operations other than incident to the Transactions and has no, and at all times prior to the Effective Time, except as expressly contemplated by this Agreement, the Ancillary Agreements and the other documents and Transactions, will have no, assets, liabilities or obligations of any kind or nature whatsoever other than those incident to its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5.17           </w:t>
      </w:r>
      <w:r>
        <w:rPr>
          <w:rFonts w:ascii="Times New Roman;Times;Serif" w:hAnsi="Times New Roman;Times;Serif"/>
          <w:b w:val="false"/>
          <w:i w:val="false"/>
          <w:caps w:val="false"/>
          <w:smallCaps w:val="false"/>
          <w:sz w:val="20"/>
          <w:u w:val="single"/>
        </w:rPr>
        <w:t>Stock Market Quotation</w:t>
      </w:r>
      <w:r>
        <w:rPr>
          <w:rFonts w:ascii="Times New Roman;Times;Serif" w:hAnsi="Times New Roman;Times;Serif"/>
          <w:b w:val="false"/>
          <w:i w:val="false"/>
          <w:caps w:val="false"/>
          <w:smallCaps w:val="false"/>
          <w:sz w:val="20"/>
        </w:rPr>
        <w:t>. As of the date hereof, the Acquiror Class A Common Stock is registered pursuant to Section 12(b) of the Exchange Act and is listed for trading on Nasdaq under the symbol “BRKH”. As of the date hereof, the Acquiror Public Warrants are registered pursuant to Section 12(b) of the Exchange Act and are listed for trading on Nasdaq under the symbol “BRKHW.” There is no Action or proceeding pending or, to the knowledge of Acquiror, threatened against Acquiror by Nasdaq or the SEC with respect to any intention by such entity to deregister the Acquiror Class A Common Stock or Acquiror Public Warrants or terminate the listing of Acquiror Class A Common Stock or Acquiror Public Warrants on Nasdaq. None of Acquiror, Merger Sub or their respective Affiliates has taken any action in an attempt to terminate the registration of the Acquiror Class A Common Stock or Acquiror Warrants under the Exchange Act except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5.18           </w:t>
      </w:r>
      <w:r>
        <w:rPr>
          <w:rFonts w:ascii="Times New Roman;Times;Serif" w:hAnsi="Times New Roman;Times;Serif"/>
          <w:b w:val="false"/>
          <w:i w:val="false"/>
          <w:caps w:val="false"/>
          <w:smallCaps w:val="false"/>
          <w:sz w:val="20"/>
          <w:u w:val="single"/>
        </w:rPr>
        <w:t>Benefit Plans</w:t>
      </w:r>
      <w:r>
        <w:rPr>
          <w:rFonts w:ascii="Times New Roman;Times;Serif" w:hAnsi="Times New Roman;Times;Serif"/>
          <w:b w:val="false"/>
          <w:i w:val="false"/>
          <w:caps w:val="false"/>
          <w:smallCaps w:val="false"/>
          <w:sz w:val="20"/>
        </w:rPr>
        <w:t>. None of Acquiror, Merger Sub or any of their respective Subsidiaries maintains, sponsors or contributes to, or has any actual or contingent obligation or liability under, any employee benefit plan (as defined in Section 3(3) of ERISA, whether or not subject to ERISA) or any other plan, policy, program, arrangement or agreement that provides compensation and/or benefits to any current or former employee, officer, director or individual independent contractor thereof (each, an “</w:t>
      </w:r>
      <w:r>
        <w:rPr>
          <w:rFonts w:ascii="Times New Roman;Times;Serif" w:hAnsi="Times New Roman;Times;Serif"/>
          <w:b w:val="false"/>
          <w:i w:val="false"/>
          <w:caps w:val="false"/>
          <w:smallCaps w:val="false"/>
          <w:sz w:val="20"/>
          <w:u w:val="single"/>
        </w:rPr>
        <w:t>Acquiror Benefit Plan</w:t>
      </w:r>
      <w:r>
        <w:rPr>
          <w:rFonts w:ascii="Times New Roman;Times;Serif" w:hAnsi="Times New Roman;Times;Serif"/>
          <w:b w:val="false"/>
          <w:i w:val="false"/>
          <w:caps w:val="false"/>
          <w:smallCaps w:val="false"/>
          <w:sz w:val="20"/>
        </w:rPr>
        <w:t>”), nor does Acquiror, Merger Sub or any of their respective Subsidiaries have any obligation or commitment to create or adopt any such Acquiror Benefit Plan (except for the Equity Incentive Plan and ESPP expressly contemplated hereby).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5.19           </w:t>
      </w:r>
      <w:r>
        <w:rPr>
          <w:rFonts w:ascii="Times New Roman;Times;Serif" w:hAnsi="Times New Roman;Times;Serif"/>
          <w:b w:val="false"/>
          <w:i w:val="false"/>
          <w:caps w:val="false"/>
          <w:smallCaps w:val="false"/>
          <w:sz w:val="20"/>
          <w:u w:val="single"/>
        </w:rPr>
        <w:t>No Additional Representation or Warranties</w:t>
      </w:r>
      <w:r>
        <w:rPr>
          <w:rFonts w:ascii="Times New Roman;Times;Serif" w:hAnsi="Times New Roman;Times;Serif"/>
          <w:b w:val="false"/>
          <w:i w:val="false"/>
          <w:caps w:val="false"/>
          <w:smallCaps w:val="false"/>
          <w:sz w:val="20"/>
        </w:rPr>
        <w:t xml:space="preserve">. Except as provided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neither Acquiror nor Merger Sub nor any their respective Affiliates, nor any of their respective directors, managers, officers, employees, stockholders, partners, members or representatives has made, or is making, any representation or warranty whatsoever to the Company or its Affiliates and no such party shall be liable in respect of the accuracy or completeness of any information provided to the Company or its Affiliates. Without limiting the foregoing, the Company acknowledges that the Company and its advisors have made their own investigation of Acquiror, Merger Sub and their respective Subsidiaries and, except as provided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are not relying on any representation or warranty whatsoever as to the condition, merchantability, suitability or fitness for a particular purpose or trade as to any of the assets of Acquiror, Merger Sub or any of their respective Subsidiaries, the prospects (financial or otherwise) or the viability or likelihood of success of the business of Acquiror, Merger Sub and their respective Subsidiaries as conducted after the Closing, as contained in any materials provided by Acquiror, Merger Sub or any of their Affiliates or any of their respective directors, officers, employees, stockholders, partners, members or representatives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xml:space="preserve">. From the date of this Agreement through the earlier of the Closing or valid termination of this Agreement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Interim Period</w:t>
      </w:r>
      <w:r>
        <w:rPr>
          <w:rFonts w:ascii="Times New Roman;Times;Serif" w:hAnsi="Times New Roman;Times;Serif"/>
          <w:b w:val="false"/>
          <w:i w:val="false"/>
          <w:caps w:val="false"/>
          <w:smallCaps w:val="false"/>
          <w:sz w:val="20"/>
        </w:rPr>
        <w:t xml:space="preserve">”), the Company shall, and shall cause its Subsidiaries to, except (i) as otherwise explicitly contemplated by this Agreement or the Ancillary Agreements, (ii) as required by Law or (iii) as consented to by Acquiror in writing (which consent shall not be unreasonably conditioned, withheld, delayed or denied), use commercially reasonable efforts to operate the business of the Company in the ordinary course of business consistent with past practice, including, but not limited to, continuing to maintain its relationship with customers, suppliers and vendors, accrue and collect accounts receivable, accrue and pay accounts payable and other expenses, and establish reserves for uncollectible accounts and doubtful receivables consistent with custom and past practice. Without limiting the generality of the foregoing, except as required by this Agreement or the Ancillary Agreements, as required by Law, as set forth on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the Company Disclosure Letter or as consented to by Acquiror in writing (which consent shall not be unreasonably conditioned, withheld, delayed or denied), the Company shall not, and the Company shall cause its Subsidiaries not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materially change or amend the Governing Documents of the Company or any of the Company’s Subsidiaries or form or cause to be formed any new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or declare any dividend or distribution to the stockholders of the Company or make any other distributions in respect of any of the Company Common Stock or equity interests;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split, combine, reclassify, recapitalize or otherwise amend any terms of any shares or series of the Company’s or any of its Subsidiaries’ capital stock or equity interests, except for any such transaction by a wholly owned Subsidiary of the Company that remains a wholly owned Subsidiary of the Company after consummation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purchase, repurchase, redeem or otherwise acquire any issued and outstanding share capital, outstanding shares of capital stock, membership interests or other equity interests of the Company or its Subsidiaries, except for (i) the acquisition by the Company or any of its Subsidiaries of any shares of capital stock, membership interests or other equity interests of the Company or its Subsidiaries in connection with the forfeiture or cancellation of such interests and (ii) transactions between the Company and any wholly owned Subsidiary of the Company or between wholly owned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in the ordinary course of business consistent with past practice or transactions between the Company and its wholly owned Subsidiaries: (i) enter into, modify in any material respect or terminate (other than expiration in accordance with its terms) any Contract of a type required to be listed on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Company Disclosure Letter or any Real Property Lease, (ii) waive, delay the exercise of, release or assign any material rights or claims under any Contract of a type required to be listed on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of the Company Disclosure Letter or any Real Property Lease or (iii) amend in any respect that certain Note Purchase Agreement, dated as of July 3, 2023, by and among the Company and the lenders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 assign, transfer, convey, lease or otherwise dispose of any material tangible assets or properties of the Company or its Subsidiaries, except for (i) dispositions of obsolete or worthless equipment, (ii) transactions among the Company and its wholly owned Subsidiaries or among its wholly owned Subsidiaries and (iii) transactions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acquire any ownership interest in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required by applicable Law, existing Company Benefit Plans or existing Contracts, (i) grant any severance, retention, change in control or termination or similar pay, except in connection with the promotion, hiring or termination of employment of any employee of the Company or its Subsidiaries in the ordinary course of business consistent with past practice, (ii) make any change in the key management structure of the Company or any of the Company’s Subsidiaries, (iii) (x) hire additional employees with annual compensation in excess of $300,000 or additional officers or (y) terminate existing employees with annual compensation in excess of $300,000 or existing officers, other than terminations for cause or due to death or disability, (iv) terminate, adopt, enter into or materially amend any Company Benefit Plan, (v) increase the annual base salary or bonus opportunity of any employee, officer, director or other individual service provider with annual compensation in excess of $300,000, except in the ordinary course of business consistent with past practice, (vi) establish any trust or take any other action to secure the payment of any compensation payable by the Company or any of the Company’s Subsidiaries or (vii) take any action to amend or waive any performance or vesting criteria or to accelerate the time of payment or vesting of any compensation or benefit payable by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acquire by merger or consolidation with, or merge or consolidate with, or purchase substantially all or a material portion of the assets or equity interests of, any corporation, partnership, association, joint venture or other business organization or 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other than as required by applicable Law, (i) make or change any Tax election other than in the ordinary course of business, (ii) amend, modify, or otherwise change any filed income or other material Tax Return, (iii) change any accounting method in respect of material Taxes, (iv) enter into any “closing agreement” as described in Section 7121 of the Code (or any similar provision of state, local, or non-U.S. Tax Law) in respect of material Taxes or any Tax sharing, indemnification, or similar agreement in respect of Taxes (other than any customary Contract entered into in the ordinary course of business and not primarily related to Taxes), (v) settle any claim or assessment in respect of material Taxes, (vi) knowingly surrender or allow to expire any right to claim a refund of material Taxes, (vii) consent to any extension or waiver of the statute of limitations applicable to any claim or assessment in respect of material Taxes (other than customary extensions of the due date for filing a Tax Return), or (viii) initiate or enter into any voluntary disclosure agreement related to material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permitted under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enter into or amend any agreement with, or pay, distribute or advance any assets or property to, any of its officers, directors, employees, partners, stockholders or other Affiliates, other than (x) payments or distributions relating to obligations in respect of arms-length commercial transactions pursuant to the agreements set forth on Section 6.1(k) of the Company Disclosure Letter as existing on the date of this Agreement or (y) pursuant to any Company Financing up to $5,000,000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knowingly take any action or agree to take any action where such action could reasonably be expected to impede or prevent the Merger from qualifying for the Intended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issue any additional shares of Company Common Stock or securities exercisable for or convertible into Company Common Stock (including, for clarity, Company Awards), other than (i) the issuance of Company Common Stock upon the exercise or settlement of Company Warrants or Company Awards in the ordinary course of business (and, with respect to Company Awards, under the Company Incentive Plan and applicable award agreement), in each case, outstanding on the date of this Agreement in accordance with their terms as in effect as of the date of this Agreement or (ii) pursuant to any Company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adopt a plan of, or otherwise enter into or effect a, complete or partial liquidation, dissolution, restructuring, recapitalization or other reorganization of the Company or its Subsidiaries (other than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waive, release, settle, compromise or otherwise resolve any Action, litigation or other proceedings, except where such waivers, releases, settlements or compromises involve only the payment of monetary damages in an amount less than $250,000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sell, assign, lease, license, sublicense, covenant not to assert, encumber, cancel, dispose of, abandon, fail to maintain, permit to lapse or expire, convey, or otherwise transfer (or agree to do any of the foregoing with respect to), any material Company Intellectual Property, except for (i) the expiration of Company Registered Intellectual Property in accordance with the applicable statutory term or Contract (without the possibility of any further extension or renewal) or where Company, using its reasonable business judgment, determines that such Company Registered Intellectual Property is not material to its business (ii) non-exclusive licenses granted in the ordinary course of business;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disclose or agree to disclose to any Person (other than Acquiror or any of its representatives) any trade secret or any other material confidential or proprietary information, know-how or process of the Company or any of its Subsidiaries, in each case other than in the ordinary course of business and pursuant to customary contractual obligations to maintain the confidentiality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make or commit to make capital expenditures other than in an amount not in excess of the amount set forth on </w:t>
      </w:r>
      <w:r>
        <w:rPr>
          <w:rFonts w:ascii="Times New Roman;Times;Serif" w:hAnsi="Times New Roman;Times;Serif"/>
          <w:b w:val="false"/>
          <w:i w:val="false"/>
          <w:caps w:val="false"/>
          <w:smallCaps w:val="false"/>
          <w:sz w:val="20"/>
          <w:u w:val="single"/>
        </w:rPr>
        <w:t>Section 6.1(r)</w:t>
      </w:r>
      <w:r>
        <w:rPr>
          <w:rFonts w:ascii="Times New Roman;Times;Serif" w:hAnsi="Times New Roman;Times;Serif"/>
          <w:b w:val="false"/>
          <w:i w:val="false"/>
          <w:caps w:val="false"/>
          <w:smallCaps w:val="false"/>
          <w:sz w:val="20"/>
        </w:rPr>
        <w:t> of the Company Disclosure Letter,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other than as required by applicable Law, enter into or extend any collective bargaining agreement or similar labor agreement, or recognize or certify any labor union, labor organization, or group of employees of the Company or its Subsidiaries as the bargaining representative for any employees of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 limit the right of the Company or any of the Company’s Subsidiaries to engage in any line of business or in any geographic area, to develop, market or sell products or services, or to compete with any Person or (ii) grant any exclusive or similar rights to any Person, in each case, except where such limitation or grant does not, and would not be reasonably likely to, individually or in the aggregate, materially and adversely affect, or materially disrupt, the ordinary course operation of the businesses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except as set forth on </w:t>
      </w:r>
      <w:r>
        <w:rPr>
          <w:rFonts w:ascii="Times New Roman;Times;Serif" w:hAnsi="Times New Roman;Times;Serif"/>
          <w:b w:val="false"/>
          <w:i w:val="false"/>
          <w:caps w:val="false"/>
          <w:smallCaps w:val="false"/>
          <w:sz w:val="20"/>
          <w:u w:val="single"/>
        </w:rPr>
        <w:t>Section 6.1(u)</w:t>
      </w:r>
      <w:r>
        <w:rPr>
          <w:rFonts w:ascii="Times New Roman;Times;Serif" w:hAnsi="Times New Roman;Times;Serif"/>
          <w:b w:val="false"/>
          <w:i w:val="false"/>
          <w:caps w:val="false"/>
          <w:smallCaps w:val="false"/>
          <w:sz w:val="20"/>
        </w:rPr>
        <w:t> of the Company Disclosure Letter, terminate without replacement or amend in a manner materially detrimental to the Company and its Subsidiaries, taken as a whole, any insurance policy insuring the business of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incur, guarantee or otherwise become liable for (whether directly, contingently or otherwise) any Indebtedness, issue or sell any debt securities or any rights to acquire debt securities of the Company or any of its Subsidiaries, incur any Liens other than Permitted Liens, or enter into any arrangement having the economic effect of any of the foregoing, other than pursuant to any Company Financing;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enter into any agreement to do any action prohibited under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             </w:t>
      </w:r>
      <w:r>
        <w:rPr>
          <w:rFonts w:ascii="Times New Roman;Times;Serif" w:hAnsi="Times New Roman;Times;Serif"/>
          <w:b w:val="false"/>
          <w:i w:val="false"/>
          <w:caps w:val="false"/>
          <w:smallCaps w:val="false"/>
          <w:sz w:val="20"/>
          <w:u w:val="single"/>
        </w:rPr>
        <w:t>Inspection</w:t>
      </w:r>
      <w:r>
        <w:rPr>
          <w:rFonts w:ascii="Times New Roman;Times;Serif" w:hAnsi="Times New Roman;Times;Serif"/>
          <w:b w:val="false"/>
          <w:i w:val="false"/>
          <w:caps w:val="false"/>
          <w:smallCaps w:val="false"/>
          <w:sz w:val="20"/>
        </w:rPr>
        <w:t>. Subject to confidentiality obligations that may be applicable to information furnished to the Company or any of the Company’s Subsidiaries by third parties that may be in the Company’s or any of its Subsidiaries’ possession from time to time, and except for any information that is subject to attorney-client privilege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possible, the Parties shall cooperate in good faith to permit disclosure of such information in a manner that preserves such privilege or compliance with such confidentiality obligation), and to the extent permitted by applicable Law, during the Interim Period, (a) the Company shall, and shall cause its Subsidiaries to, afford to Acquiror and its accountants, counsel and other representatives reasonable access during the Interim Period (including for the purpose of coordinating transition planning for employees and completing Acquiror’s due diligence review of the Company and its Subsidiaries), during normal business hours and with reasonable advance notice, in such manner as to not materially interfere with the ordinary course of business of the Company and its Subsidiaries, to (x) all of their respective properties, books, Contracts, commitments, Tax Returns, records, and (promptly following the execution of a consent in form and substance reasonably acceptable to such auditors or independent accountants) accounts and work papers of the Company’s and its Subsidiaries’ independent accountants and auditors and (y) appropriate officers and employees of the Company and its Subsidiaries, and shall furnish such representatives with all financial and operating data and other information concerning the affairs of the Company and its Subsidiaries as such representatives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access shall not include any unreasonably invasive or intrusive investigations or other testing, sampling or analysis of any properties, facilities or equipment of the Company or its Subsidiaries without the prior written consent of the Company, and (b) the Company shall, and shall cause its Subsidiaries to, provide to Acquiror and, if applicable, its accountants, counsel or other representatives, (x) such information and such other materials and resources relating to any Action initiated, pending or threatened during the Interim Period, or to the compliance and risk management operations and activities of the Company and its Subsidiaries during the Interim Period, in each case, as Acquiror or such representative may reasonably request, (y) prompt written notice of any material status updates in connection with any such Action or otherwise relating to any compliance and risk management matters or decisions of the Company or its Subsidiaries, and (z) copies of any communications sent or received by the Company or its Subsidiaries in connection with such Action, matters and decisions (and, if any such communications occurred orally, the Company shall, and shall cause its Subsidiaries to, memorialize such communications in writing to Acquiror). To the extent permitted by applicable Law and to the extent not inconsistent with the other limitations in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during the Interim Period, the Company shall, and shall cause its Subsidiaries to, provide promptly to Acquiror and, if applicable, its accountants, counsel or other representatives all information concerning the Company and its Subsidiaries, and their respective business, properties and personnel, in each case, as Acquiror or such representative may reasonably request for the purpose of completing Acquiror’s due diligence. All information obtained by Acquiror, Merger Sub or their respective representatives pursuant to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shall be subject to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Preparation and Delivery of Additional Company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commercially reasonable efforts to deliver to Acquiror, as soon as reasonably practicable following the date hereof, (i) the GAAP, PCAOB-audited consolidated balance sheets and statements of operations, comprehensive loss and stockholders’ deficit and cash flows of the Company and its Subsidiaries as of and for the years ended December 31, 2021 and December 31, 2022, together with the auditor’s reports thereon, and (ii) the auditor-reviewed, unaudited consolidated balance sheets of the Company and its Subsidiaries as of June 30, 2023 or September 30, 2023, as applicable, and the related auditor-reviewed, unaudited consolidated statements of operations, comprehensive loss and stockholders’ deficit and cash flows for the six or nine months then ended, as applicable, in each case, in compliance in all material respects with the applicable accounting requirements and with the rules and regulations of the SEC, the Exchange Act and the Securities Act applicable to such registrant (collectively,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delivery of such Financial Statements, the representations and warranties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be deemed to apply to the Financial Statements with the same force and effect as if made as of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to the extent necessary, use commercially reasonable efforts to deliver to Acquiror as promptly as reasonably practicable following the date hereof, the unaudited condensed consolidated balance sheets and statements of operations and comprehensive loss, stockholders’ deficit, and cash flow of the Company and its Subsidiaries as of and for any additional three (3) month periods that would be reasonably requested or required by Acquiror for inclusion in the Proxy Statement / Registration Statement (the “</w:t>
      </w:r>
      <w:r>
        <w:rPr>
          <w:rFonts w:ascii="Times New Roman;Times;Serif" w:hAnsi="Times New Roman;Times;Serif"/>
          <w:b w:val="false"/>
          <w:i w:val="false"/>
          <w:caps w:val="false"/>
          <w:smallCaps w:val="false"/>
          <w:sz w:val="20"/>
          <w:u w:val="single"/>
        </w:rPr>
        <w:t>Additional Quarterly Financial Statements</w:t>
      </w:r>
      <w:r>
        <w:rPr>
          <w:rFonts w:ascii="Times New Roman;Times;Serif" w:hAnsi="Times New Roman;Times;Serif"/>
          <w:b w:val="false"/>
          <w:i w:val="false"/>
          <w:caps w:val="false"/>
          <w:smallCaps w:val="false"/>
          <w:sz w:val="20"/>
        </w:rPr>
        <w:t xml:space="preserve">”), which shall comply with the applicable accounting requirements and with the rules and regulations of the SEC, the Exchange Act and the Securities Act applicable to a registrant;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delivery of any Additional Quarterly Financial Statements, the representations and warranties set forth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shall be deemed to apply to such Additional Quarterly Financial Statements with the same force and effect as if made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commercially reasonable efforts to provide Acquiror, as promptly as reasonably practicable, with all other information concerning the Company and its management, operations and financial condition of the Company and its Subsidiaries, in each case, as is reasonably requested by Acquiror or required by applicable Law for inclusion in the Proxy Statement /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Affiliate Agreements</w:t>
      </w:r>
      <w:r>
        <w:rPr>
          <w:rFonts w:ascii="Times New Roman;Times;Serif" w:hAnsi="Times New Roman;Times;Serif"/>
          <w:b w:val="false"/>
          <w:i w:val="false"/>
          <w:caps w:val="false"/>
          <w:smallCaps w:val="false"/>
          <w:sz w:val="20"/>
        </w:rPr>
        <w:t xml:space="preserve">. All Affiliate Agreements shall be terminated or settled at or prior to the Closing without further liability to Acquiror, the Company or any of the Company’s Subsidiaries, in each case, except as otherwise set forth on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of the Company Disclosure Letter. With respect to each such Affiliate Agreement, the Company shall deliver to Acquiror evidence of such termination or settlement, as applicable,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Trust Account Proceeds and Related Available Equity</w:t>
      </w:r>
      <w:r>
        <w:rPr>
          <w:rFonts w:ascii="Times New Roman;Times;Serif" w:hAnsi="Times New Roman;Times;Serif"/>
          <w:b w:val="false"/>
          <w:i w:val="false"/>
          <w:caps w:val="false"/>
          <w:smallCaps w:val="false"/>
          <w:sz w:val="20"/>
        </w:rPr>
        <w:t xml:space="preserve">. Upon satisfaction or waiver of the conditions set forth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and provision of notice thereof to the Trustee (which notice Acquiror shall provide to the Trustee in accordance with the terms of the Trust Agreement), (i) in accordance with and pursuant to the Trust Agreement, at the Closing, Acquiror (a) shall cause any documents, opinions and notices required to be delivered to the Trustee pursuant to the Trust Agreement to be so delivered and (b) shall use its reasonable best efforts to cause the Trustee to, and the Trustee shall thereupon be obligated to (1) pay as and when due all amounts payable to Acquiror Stockholders pursuant to the Acquiror Share Redemptions, and (2) pay all remaining amounts then available in the Trust Account to Acquiror for immediate use or otherwise at its direction, subject to this Agreement and the Trust Agreement, and (ii) thereafter, the Trust Account shall terminate, except as otherwise provided in the Trust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Listing</w:t>
      </w:r>
      <w:r>
        <w:rPr>
          <w:rFonts w:ascii="Times New Roman;Times;Serif" w:hAnsi="Times New Roman;Times;Serif"/>
          <w:b w:val="false"/>
          <w:i w:val="false"/>
          <w:caps w:val="false"/>
          <w:smallCaps w:val="false"/>
          <w:sz w:val="20"/>
        </w:rPr>
        <w:t>. During the Interim Period, Acquiror shall use reasonable best efforts to cause Acquiror to remain listed as a public company on Nasdaq, and shall prepare and submit to Nasdaq a listing application, if required under Nasdaq rules, covering the Total Merger Consideration, and shall use reasonable best efforts to obtain approval for the listing of such shares of Acquiror Class A Common Stock and the Company shall reasonably cooperate with Acquiror with respect to such listing.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Acquiror Conduct of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except as set forth on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of the Acquiror Disclosure Letter, Acquiror shall, and shall cause Merger Sub to, except as required by Law, as contemplated by this Agreement, or as consented to by the Company in writing (which consent shall not be unreasonably conditioned, withheld, delayed or denied), operate its business in the ordinary course and consistent with past practice. Without limiting the generality of the foregoing, except as consented to by the Company in writing (which consent shall not be unreasonably conditioned, withheld, delayed or denied), Acquiror shall not, and Acquiror shall cause Merger Sub not to, except as otherwise contemplated by this Agreement or the Ancillary Agreements or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seek any approval from the Acquiror Stockholders to change, modify or amend the Trust Agreement or the Governing Documents of Acquiror or Merger Sub, except as contemplated by the Transaction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(x) make or declare any dividend or distribution to the Acquiror Stockholders or make any other distributions in respect of any of Acquiror’s equity interests or Merger Sub Capital Stock, share capital or equity interests, (y) split, combine, reclassify or otherwise amend any terms of any shares or series of Acquiror’s equity interests or Merger Sub Capital Stock, or (z) purchase, repurchase, redeem or otherwise acquire any issued and outstanding share capital, outstanding shares of capital stock, share capital or membership interests, warrants or other equity interests of Acquiror or Merger Sub, other than a redemption of shares of Acquiror Class A Common Stock made as part of the Acquiror Share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other than as required by applicable Law, (A) make or change any Tax election other than in the ordinary course of business, (B) amend, modify, or otherwise change any filed income or other material Tax Return, (C) change any accounting method in respect of material Taxes, (D) enter into any “closing agreement” as described in Section 7121 of the Code (or any similar provision of state, local, or non-U.S. Tax Law) in respect of material Taxes or any Tax sharing, indemnification, or similar agreement in respect of Taxes (other than any customary Contract entered into in the ordinary course of business and not primarily related to Taxes), (E) settle any claim or assessment in respect of material Taxes, (F) knowingly surrender or allow to expire any right to claim a refund of material Taxes, (G) consent to any extension or waiver of the statute of limitations applicable to any claim or assessment in respect of material Taxes (other than customary extensions of the due date for filing a Tax Return) or (H) initiate or enter into any voluntary disclosure agreement related to material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knowingly take any action or agree to take any action where such action could reasonably be expected to prevent the Merger from qualifying for the Intended Tax Treatment;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enter into, renew or amend in any material respect, any transaction or Contract with an Affiliate of Acquiror or Merger Sub (including, for the avoidance of doubt, (x) the Sponsor and (y) any Person in which the Sponsor has a direct or indirect legal, contractual or beneficial ownership interest of 5% or greater) or (B) amend in any respect that certain letter agreement, dated December 10, 2021, by and among Acquiror, its officers and directors, the Sponsor and certain other stockholders of Acquiror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incur or assume any Indebtedness or guarantee any Indebtedness of another Person, issue or sell any debt securities or warrants or other rights to acquire any debt securities of the Company or any of the Company’s Subsidiaries or guaranty any debt securities of another Person, other than (x) any indebtedness for borrowed money or guarantee from its Affiliates and stockholders in order to meet its reasonable capital requirements, with any such loans to be made only as reasonably required by the operation of Acquiror in due course on a non-interest basis and otherwise on arm’s-length terms and conditions and repayable at the Closing, and in any event in an aggregate amount not to exceed $5,000,000 (which the Parties agree shall include any Indebtedness in respect of any Working Capital Loan) or (y) incurred between Acquiror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other than with respect to the sale of shares of Acquiror Class A Common Stock in connection with the Private Placement Investment, (A) issue or promise to issue any Acquiror Securities or securities exercisable for or convertible into Acquiror Securities, other than the issuance of the shares of Acquiror Class A Common Stock comprising the Total Merger Consideration, (B) grant any options, warrants or other equity-based awards with respect to Acquiror Securities not outstanding on the date hereof, or (C) amend, modify or waive any of the material terms or rights set forth in any Acquiror Warrant or the Warrant Agreement, including any amendment, modification or reduction of the warrant price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except as contemplated by the Equity Incentive Plan and ESPP, (A) enter into, adopt or amend any Acquiror Benefit Plan, or enter into any employment contract or collective bargaining agreement or (B) hire any employee or any other individual to provide services to Acquiror or its Subsidiaries following Closing;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enter into any agreement to do any action prohibited under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Post-Closing Officers of Acquiror</w:t>
      </w:r>
      <w:r>
        <w:rPr>
          <w:rFonts w:ascii="Times New Roman;Times;Serif" w:hAnsi="Times New Roman;Times;Serif"/>
          <w:b w:val="false"/>
          <w:i w:val="false"/>
          <w:caps w:val="false"/>
          <w:smallCaps w:val="false"/>
          <w:sz w:val="20"/>
        </w:rPr>
        <w:t>. Subject to the terms of the Acquiror’s Governing Documents, Acquiror shall take all such action within its power as may be necessary or appropriate such that immediately following the Effective Time, the initial officers of Acquiror shall be as determined by the Company. The Company agrees to consult, in good faith, with the Sponsor regarding the determination of such initial officers. Each of such initial officers of Acquiror shall serve in such capacity in accordance with the terms of Acquiror’s Governing Documents following the Effective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              </w:t>
      </w:r>
      <w:r>
        <w:rPr>
          <w:rFonts w:ascii="Times New Roman;Times;Serif" w:hAnsi="Times New Roman;Times;Serif"/>
          <w:b w:val="false"/>
          <w:i w:val="false"/>
          <w:caps w:val="false"/>
          <w:smallCaps w:val="false"/>
          <w:sz w:val="20"/>
          <w:u w:val="single"/>
        </w:rPr>
        <w:t>Indemnification and Insurance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Effective Time, Acquiror agrees that it shall indemnify and hold harmless each present and former director and officer of (x) the Company and each of its Subsidiaries (in each case, solely to the extent acting in their capacity as such and to the extent such activities are related to the business of the Company being acquired under this Agreement) (the “</w:t>
      </w:r>
      <w:r>
        <w:rPr>
          <w:rFonts w:ascii="Times New Roman;Times;Serif" w:hAnsi="Times New Roman;Times;Serif"/>
          <w:b w:val="false"/>
          <w:i w:val="false"/>
          <w:caps w:val="false"/>
          <w:smallCaps w:val="false"/>
          <w:sz w:val="20"/>
          <w:u w:val="single"/>
        </w:rPr>
        <w:t>Company Indemnified Parties</w:t>
      </w:r>
      <w:r>
        <w:rPr>
          <w:rFonts w:ascii="Times New Roman;Times;Serif" w:hAnsi="Times New Roman;Times;Serif"/>
          <w:b w:val="false"/>
          <w:i w:val="false"/>
          <w:caps w:val="false"/>
          <w:smallCaps w:val="false"/>
          <w:sz w:val="20"/>
        </w:rPr>
        <w:t>”) and (y) Acquiror and each of its Subsidiaries (the “</w:t>
      </w:r>
      <w:r>
        <w:rPr>
          <w:rFonts w:ascii="Times New Roman;Times;Serif" w:hAnsi="Times New Roman;Times;Serif"/>
          <w:b w:val="false"/>
          <w:i w:val="false"/>
          <w:caps w:val="false"/>
          <w:smallCaps w:val="false"/>
          <w:sz w:val="20"/>
          <w:u w:val="single"/>
        </w:rPr>
        <w:t>Acquiror Indemnified Parties</w:t>
      </w:r>
      <w:r>
        <w:rPr>
          <w:rFonts w:ascii="Times New Roman;Times;Serif" w:hAnsi="Times New Roman;Times;Serif"/>
          <w:b w:val="false"/>
          <w:i w:val="false"/>
          <w:caps w:val="false"/>
          <w:smallCaps w:val="false"/>
          <w:sz w:val="20"/>
        </w:rPr>
        <w:t>” together with the Company Indemnified Parties, the “</w:t>
      </w:r>
      <w:r>
        <w:rPr>
          <w:rFonts w:ascii="Times New Roman;Times;Serif" w:hAnsi="Times New Roman;Times;Serif"/>
          <w:b w:val="false"/>
          <w:i w:val="false"/>
          <w:caps w:val="false"/>
          <w:smallCaps w:val="false"/>
          <w:sz w:val="20"/>
          <w:u w:val="single"/>
        </w:rPr>
        <w:t>D&amp;O Indemnified Parties</w:t>
      </w:r>
      <w:r>
        <w:rPr>
          <w:rFonts w:ascii="Times New Roman;Times;Serif" w:hAnsi="Times New Roman;Times;Serif"/>
          <w:b w:val="false"/>
          <w:i w:val="false"/>
          <w:caps w:val="false"/>
          <w:smallCaps w:val="false"/>
          <w:sz w:val="20"/>
        </w:rPr>
        <w:t xml:space="preserve">”)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Acquiror or their respective Subsidiaries, as the case may be, would have been permitted under applicable Law and its respective certificate of incorporation, certificate of formation, bylaws, limited liability company agreement or other organizational documents in effect on the date of this Agreement to indemnify such D&amp;O Indemnified Parties (including the advancing of expenses as incurred to the fullest extent permitted under applicable Law). Without limiting the foregoing, Acquiror shall, and shall cause its Subsidiaries to (i) maintain for a period of not less than six (6) years from the Effective Time provisions in its Governing Documents concerning the indemnification and exoneration (including provisions relating to expense advancement) of Acquiror’s and its Subsidiaries’ former and current officers, directors, employees, and agents that are no less favorable to those Persons than the provisions of the Governing Documents of the Company, Acquiror or their respective Subsidiaries, as applicable, in each case, as of the date of this Agreement, and (ii) not amend, repeal or otherwise modify such provisions in any respect that would adversely affect the rights of those Persons thereunder, in each case, except as required by Law. Acquiror shall assume, and be liable for, each of the covenants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a period of six (6) years from the Effective Time, Acquiror shall maintain in effect directors’ and officers’ liability insurance covering those Persons who are currently covered by Acquiror’s, the Company’s or their respective Subsidiaries’ directors’ and officers’ liability insurance policies (true, correct and complete copies of which have been heretofore made available to Acquiror or its agents or representatives) on terms not less favorable than the terms of such current insurance coverage, except that in no event shall Acquiror be required to pay an annual premium for such insurance in excess of one hundred and fifty percent (150%) of the aggregate annual premium payable by Acquiror or the Company, as applicable, for such insurance policy for the year ending December 31, 2022;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Acquiror may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and (ii) if any claim is asserted or made within such six (6) year period, any insurance required to be maintained under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be continued in respect of such claim until the final disposition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contained in this Agreement to the contrary,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xml:space="preserve"> shall survive the consummation of the Merger indefinitely and shall be binding, jointly and severally, on Acquiror and all successors and assigns of Acquiror. In the event that Acquiror or any of its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shall ensure that proper provision shall be made so that the successors and assigns of Acquiror shall succeed to the obligations set forth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Closing Date, Acquiror shall enter into customary indemnification agreements reasonably satisfactory to each of the Company and Acquiror with the post-Closing directors and officers of Acquiror, which indemnification agreements shall continue to be effective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              </w:t>
      </w:r>
      <w:r>
        <w:rPr>
          <w:rFonts w:ascii="Times New Roman;Times;Serif" w:hAnsi="Times New Roman;Times;Serif"/>
          <w:b w:val="false"/>
          <w:i w:val="false"/>
          <w:caps w:val="false"/>
          <w:smallCaps w:val="false"/>
          <w:sz w:val="20"/>
          <w:u w:val="single"/>
        </w:rPr>
        <w:t>Acquiror SEC Filings</w:t>
      </w:r>
      <w:r>
        <w:rPr>
          <w:rFonts w:ascii="Times New Roman;Times;Serif" w:hAnsi="Times New Roman;Times;Serif"/>
          <w:b w:val="false"/>
          <w:i w:val="false"/>
          <w:caps w:val="false"/>
          <w:smallCaps w:val="false"/>
          <w:sz w:val="20"/>
        </w:rPr>
        <w:t>. During the Interim Period, Acquiror will use reasonable best efforts to keep current and timely file all reports required to be filed or furnished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              </w:t>
      </w:r>
      <w:r>
        <w:rPr>
          <w:rFonts w:ascii="Times New Roman;Times;Serif" w:hAnsi="Times New Roman;Times;Serif"/>
          <w:b w:val="false"/>
          <w:i w:val="false"/>
          <w:caps w:val="false"/>
          <w:smallCaps w:val="false"/>
          <w:sz w:val="20"/>
          <w:u w:val="single"/>
        </w:rPr>
        <w:t>Private Placements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the Merger and the other Transactions, Acquiror shall use commercially reasonable efforts to seek equity financing in the form of a private placement of additional shares of Acquiror Class A Common Stock of up to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otherwise approved in writing by the Company (which approval shall not be unreasonably withheld, conditioned or delayed), and except for any of the following actions that would not increase conditionality or impose any new obligation on the Company or Acquiror, Acquiror shall not agree to reduce or impair the rights of Acquiror or any third-party rights of the Company under any Securities Purchase Agreement, and Acquiror shall not permit any material amendment or material modification to be made to, any material waiver (in whole or in part) of, or provide consent to modify (including consent to terminate), any material provision or material remedy under, or any replacements of, any of the Securities Purchase Agreements, in each case, other than any assignment or transfer contemplated therein or expressly permitted thereby (without any further amendment, modification or waiver to such assignment or transfer provision);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such assignment or transfer, the initial party to such Securities Purchase Agreement remains bound by its obligations with respect thereto in the event that the transferee or assignee, as applicable, does not comply with its obligations to consummate the Private Placement Investment contemplated thereby. Subject to the immediately preceding sentence, Acquiror shall take, or cause to be taken, all actions and do, or cause to be done, all things reasonably necessary, proper or advisable to consummate the Private Placement Investments and the other transactions contemplated by the Securities Purchase Agreements on the terms and conditions described therein, including maintaining in effect the Securities Purchase Agreements and take, or to cause to be taken, all actions required, necessary or that it otherwise deems to be proper or advisable to consummate the transactions contemplated by the Securities Purchase Agreements on the terms described therein, including: (1) satisfying in all material respects on a timely basis all conditions and covenants applicable to Acquiror in the Securities Purchase Agreements and otherwise comply with its obligations thereunder, (2) in the event that all conditions in the applicable Securities Purchase Agreements (other than conditions that Acquiror or any of its Affiliates control the satisfaction of and other than those conditions that by their nature are to be satisfied at the Closing) have been satisfied, consummating the transactions contemplated by such Securities Purchase Agreements at or prior to Closing; (3) reasonably conferring with the Company regarding timing of the consummation of the Private Placement Investments; (4) delivering notices to counterparties to the Securities Purchase Agreements sufficiently in advance of the Closing to cause them to fund their obligations in advance of the Closing; and (5) pursuant to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using its reasonable best efforts to enforce its rights under the Securities Purchase Agreements to cause the applicable Private Placement Investors to pay to (or as directed by) Acquiror the applicable purchase price under the applicable Securities Purchase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generality of the foregoing, Acquiror shall give the Company, prompt (and, in any event within three Business Days) written notice: (i) of any amendment to any Securities Purchase Agreement (together with a copy of such amendment); (ii) of any breach or default (or any event or circumstance that, with or without notice, lapse of time or both, could give rise to any breach or default) by any party to any Securities Purchase Agreement known to Acquiror; and (ii) if Acquiror does not expect to receive all or any portion of the Private Placement Investments on the terms, in the manner or from the sources contemplated by the Securities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following the date of this Agreement, Acquiror shall prepare (with the reasonable cooperation of the Company) and file with the SEC a proxy statement (such proxy statement, together with any amendments or supplements to such proxy statement, the “</w:t>
      </w:r>
      <w:r>
        <w:rPr>
          <w:rFonts w:ascii="Times New Roman;Times;Serif" w:hAnsi="Times New Roman;Times;Serif"/>
          <w:b w:val="false"/>
          <w:i w:val="false"/>
          <w:caps w:val="false"/>
          <w:smallCaps w:val="false"/>
          <w:sz w:val="20"/>
          <w:u w:val="single"/>
        </w:rPr>
        <w:t>Extension Proxy Statement</w:t>
      </w:r>
      <w:r>
        <w:rPr>
          <w:rFonts w:ascii="Times New Roman;Times;Serif" w:hAnsi="Times New Roman;Times;Serif"/>
          <w:b w:val="false"/>
          <w:i w:val="false"/>
          <w:caps w:val="false"/>
          <w:smallCaps w:val="false"/>
          <w:sz w:val="20"/>
        </w:rPr>
        <w:t>”) pursuant to which it shall seek the approval of the Acquiror Stockholders to amend the Governing Documents of Acquiror to extend the deadline by which Acquiror must complete a Business Combination in accordance therewith (such date, the “</w:t>
      </w:r>
      <w:r>
        <w:rPr>
          <w:rFonts w:ascii="Times New Roman;Times;Serif" w:hAnsi="Times New Roman;Times;Serif"/>
          <w:b w:val="false"/>
          <w:i w:val="false"/>
          <w:caps w:val="false"/>
          <w:smallCaps w:val="false"/>
          <w:sz w:val="20"/>
          <w:u w:val="single"/>
        </w:rPr>
        <w:t>Business Combination Deadline</w:t>
      </w:r>
      <w:r>
        <w:rPr>
          <w:rFonts w:ascii="Times New Roman;Times;Serif" w:hAnsi="Times New Roman;Times;Serif"/>
          <w:b w:val="false"/>
          <w:i w:val="false"/>
          <w:caps w:val="false"/>
          <w:smallCaps w:val="false"/>
          <w:sz w:val="20"/>
        </w:rPr>
        <w:t>”) to such date as may be agreed in writing by Acquiror and the Company (such agreement not to be unreasonably withheld, conditioned or delayed) (an “</w:t>
      </w:r>
      <w:r>
        <w:rPr>
          <w:rFonts w:ascii="Times New Roman;Times;Serif" w:hAnsi="Times New Roman;Times;Serif"/>
          <w:b w:val="false"/>
          <w:i w:val="false"/>
          <w:caps w:val="false"/>
          <w:smallCaps w:val="false"/>
          <w:sz w:val="20"/>
          <w:u w:val="single"/>
        </w:rPr>
        <w:t>Extension</w:t>
      </w:r>
      <w:r>
        <w:rPr>
          <w:rFonts w:ascii="Times New Roman;Times;Serif" w:hAnsi="Times New Roman;Times;Serif"/>
          <w:b w:val="false"/>
          <w:i w:val="false"/>
          <w:caps w:val="false"/>
          <w:smallCaps w:val="false"/>
          <w:sz w:val="20"/>
        </w:rPr>
        <w:t>”). Acquiror shall use its reasonable best efforts to cause the Extension Proxy Statement to: (i) comply with the rules and regulations promulgated by the SEC; and (ii) have the Extension Proxy Statement cleared by the SEC as promptly as practicable after such filing. To the extent not prohibited by Law, Acquiror shall provide the Company a reasonable opportunity to review the Extension Proxy Statement prior to its filing with the SEC and will consider in good faith the incorporation of any comments from the Company and its counsel to the Extension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not prohibited by Law, Acquiror will advise the Company, reasonably promptly after Acquiror receives notice, of: (A) the time when any supplement or amendment to the Extension Proxy Statement has been filed; or (B) any request by the SEC for the amendment or supplement of the Extension Proxy Statement or for additional information. To the extent not prohibited by Law, Acquiror shall provide the Company and its counsel with (x) any comments or other communications, whether written or oral, that Acquiror or its counsel may receive from time to time from the SEC or its staff with respect to the Extension Proxy Statement (including any notification (orally or in writing) from the SEC that the Extension Proxy Statement will not be “reviewed” or will not be subject to further review) promptly after receipt of those comments or other communications and (y) a reasonable opportunity to participate in the response of Acquiror to those comments and to provide comments on that response (to which reasonable and good faith consideration shall be given).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Acquiror and the Company agrees to, as promptly as reasonably practicable, furnish the other party with such information as shall be reasonably requested concerning itself, its Subsidiaries, officers, directors, managers, stockholders, shareholders and other equityholders and information regarding such other matters as may be reasonably necessary or advisable or as may be reasonably requested for inclusion in (including to be incorporated by reference in) or attachment to the Extension Proxy Statement. Each of Acquiror and the Company shall ensure that: (i) all of the information supplied by it or on its behalf for inclusion in (including to be incorporated by reference in) or attachment to the Extension Proxy Statement, at the earlier of the date it is filed with the SEC or first mailed to the Acquiror Stockholders, shall be accurate in all material respects and shall not omit to state any material fact required to be stated in the Extension Proxy Statement or necessary in order to make the statements in the Extension Proxy Statement, in light of the circumstances under which they are made, not misleading; (ii) the Extension Proxy Statement shall comply as to form in all material respects with the requirements of the Exchange Act and the rules and regulations promulgated under the Exchange Act; and (iii) the Extension Proxy Statement shall contain substantially the same financial and other information about the Company and its equityholders as is required under Regulation 14A of the Exchange Act regulating the solicitation of proxies. If, at any time prior to the Closing, Acquiror or the Company becomes aware of: (x) the Extension Proxy Statement containing any untrue statement of a material fact or omitting to state a material fact necessary in order to make the statements made, in light of the circumstances under which they were made, not misleading; or (y) any other information which is required to be set forth in an amendment or supplement to the Extension Proxy Statement so that it would not include any untrue statement of a material fact or omit to state a material fact necessary in order to make the statements made, in light of the circumstances under which they were made, not misleading, the Company or Acquiror (as applicable) shall promptly inform Acquiror or the Company (as applicable). Thereafter, each of the Company and Acquiror shall cooperate with the other in filing with the SEC or mailing to the Acquiror Stockholders an amendment or supplement to the Extension Proxy Statement. Each of the Company and Acquiror shall use its reasonable best efforts to cause their and their Subsidiaries’ managers, directors, officers and employees to be reasonably available to Acquiror, the Company and their respective counsel in connection with the drafting of such filings and mailings and responding in a timely manner to comments from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Acquiror shall: (i) as promptly as practicable after the Extension Proxy Statement is cleared by the SEC, (A) cause the Extension Proxy Statement to be disseminated to the Acquiror Stockholders in compliance with applicable Law, (B) duly (x) give notice of and (y) convene and hold a meeting of the Acquiror Stockholders (the “</w:t>
      </w:r>
      <w:r>
        <w:rPr>
          <w:rFonts w:ascii="Times New Roman;Times;Serif" w:hAnsi="Times New Roman;Times;Serif"/>
          <w:b w:val="false"/>
          <w:i w:val="false"/>
          <w:caps w:val="false"/>
          <w:smallCaps w:val="false"/>
          <w:sz w:val="20"/>
          <w:u w:val="single"/>
        </w:rPr>
        <w:t>Acquiror Extension Meeting</w:t>
      </w:r>
      <w:r>
        <w:rPr>
          <w:rFonts w:ascii="Times New Roman;Times;Serif" w:hAnsi="Times New Roman;Times;Serif"/>
          <w:b w:val="false"/>
          <w:i w:val="false"/>
          <w:caps w:val="false"/>
          <w:smallCaps w:val="false"/>
          <w:sz w:val="20"/>
        </w:rPr>
        <w:t xml:space="preserve">”) in accordance with the Acquiror’s Governing Documents and the applicable rules of Nasdaq for a date no later than three (3) Business Days prior to the Business Combination Deadline then in effect (or such later date as the Company and Acquiror shall agree),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Acquiror Extension Meeting shall be scheduled for a date and time such that, after the conclusion of such meeting, Acquiror shall have sufficient time to effectuate the amendment of the Acquiror’s Organizational Documents, and (C) solicit proxies from the Acquiror Stockholders to vote in favor of the Extension; and (ii) provide the Acquiror Stockholders with the opportunity to elect to effect an Acquiror Share Redemption. Notwithstanding anything to the contrary set forth in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to the extent (1) the Acquiror Stockholder Approval is obtained at any time before the Acquiror Extension Meeting is held and (2) the Closing has occurred prior to the Business Combination Deadline then in effect, all obligations under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shall terminate and be of no further force or effect. Acquiror shall, through its Board of Directors, recommend to the Acquiror Stockholders the approval of the Extension, and include such recommendation in the Extension Proxy Statement. Subject to the Modification in Recommendation in response to an Acquiror Intervening Event as set forth in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the board of directors of Acquiror shall not effect a Modification in Recommendation to the Acquiror Stockholders with respect to the approval of the Extension.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fullest extent permitted by applicable Law, Acquiror shall promptly continue to take all such necessary actions, including the actions required by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and hold additional Acquiror Extension Meetings in order to obtain the requisite approval of the Acquiror Stockholders to the Extension, in each case, if such approval shall not have been obtained at any such Acquiror Extension Meeting. Acquiror may only adjourn the Acquiror Extension Meeting: (i) to solicit additional proxies for the purpose of obtaining the requisite approval of the Acquiror Stockholders to the Extension; (ii) for the absence of a quorum;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the Acquiror Stockholders prior to the Acquiror Extension Meeting; (iv) to allow reasonable additional time to reduce the number of shares of Acquiror’s common stock as to which the holders thereof have elected to effect a redemption thereof; or (v) with the prior written consent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following the adjournment, the rescheduled Acquiror Extension Meeting shall be scheduled for a date and time such that, after the conclusion of such meeting, Acquiror shall have sufficient time to effectuate the amendment of the Acquiror’s Organizational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               </w:t>
      </w:r>
      <w:r>
        <w:rPr>
          <w:rFonts w:ascii="Times New Roman;Times;Serif" w:hAnsi="Times New Roman;Times;Serif"/>
          <w:b w:val="false"/>
          <w:i w:val="false"/>
          <w:caps w:val="false"/>
          <w:smallCaps w:val="false"/>
          <w:sz w:val="20"/>
          <w:u w:val="single"/>
        </w:rPr>
        <w:t>Equity Incentive Plan; ESPP</w:t>
      </w:r>
      <w:r>
        <w:rPr>
          <w:rFonts w:ascii="Times New Roman;Times;Serif" w:hAnsi="Times New Roman;Times;Serif"/>
          <w:b w:val="false"/>
          <w:i w:val="false"/>
          <w:caps w:val="false"/>
          <w:smallCaps w:val="false"/>
          <w:sz w:val="20"/>
        </w:rPr>
        <w:t>. Prior to the Closing Date, Acquiror shall approve and adopt an equity incentive plan in form and substance mutually agreed upon between the Company and Acquiror (the “</w:t>
      </w:r>
      <w:r>
        <w:rPr>
          <w:rFonts w:ascii="Times New Roman;Times;Serif" w:hAnsi="Times New Roman;Times;Serif"/>
          <w:b w:val="false"/>
          <w:i w:val="false"/>
          <w:caps w:val="false"/>
          <w:smallCaps w:val="false"/>
          <w:sz w:val="20"/>
          <w:u w:val="single"/>
        </w:rPr>
        <w:t>Equity Incentive Plan</w:t>
      </w:r>
      <w:r>
        <w:rPr>
          <w:rFonts w:ascii="Times New Roman;Times;Serif" w:hAnsi="Times New Roman;Times;Serif"/>
          <w:b w:val="false"/>
          <w:i w:val="false"/>
          <w:caps w:val="false"/>
          <w:smallCaps w:val="false"/>
          <w:sz w:val="20"/>
        </w:rPr>
        <w:t>”) that provides for grants of awards to eligible service providers and an employee stock purchase plan in form and substance mutually agreed upon between the Company and Acquiror (the “</w:t>
      </w:r>
      <w:r>
        <w:rPr>
          <w:rFonts w:ascii="Times New Roman;Times;Serif" w:hAnsi="Times New Roman;Times;Serif"/>
          <w:b w:val="false"/>
          <w:i w:val="false"/>
          <w:caps w:val="false"/>
          <w:smallCaps w:val="false"/>
          <w:sz w:val="20"/>
          <w:u w:val="single"/>
        </w:rPr>
        <w:t>ESPP</w:t>
      </w:r>
      <w:r>
        <w:rPr>
          <w:rFonts w:ascii="Times New Roman;Times;Serif" w:hAnsi="Times New Roman;Times;Serif"/>
          <w:b w:val="false"/>
          <w:i w:val="false"/>
          <w:caps w:val="false"/>
          <w:smallCaps w:val="false"/>
          <w:sz w:val="20"/>
        </w:rPr>
        <w:t>”) pursuant to which eligible participants may purchase shares of Acquiror Common Stock. The initial aggregate share reserves under the Equity Incentive Plan and ESPP will represent fifteen percent (15%) of the aggregate number of shares of Acquiror Common Stock issued and outstanding immediately after the Closing. In addition, (a) the Equity Incentive Plan will provide for an annual increase to the initial share reserve thereof on the first day of each calendar year during the term of the Equity Incentive Plan equal to 4% of the aggregate number of shares of Acquiror Common Stock issued and outstanding on the last day of the immediately preceding calendar year, and (b) the ESPP will provide for an annual increase to the initial share reserve thereof on the first day of each calendar year during the term of the ESPP equal to 1% of the aggregate number of shares of Acquiror Common Stock issued and outstanding on the last day of the immediately preceding calendar year.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JOINT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HSR Act; Other Filings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connection with the Transactions, each of the Company and Acquiror shall (and, to the extent required, shall cause its Affiliates to) comply promptly, but in no event later than ten (10) Business Days after the filing with the SEC of the Proxy Statement / Registration Statement pursuant to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with the notification and reporting requirements of the HSR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Acquiror shall promptly and within ten (10) Business Days after the date hereof (or as soon as reasonably practicable thereafter) give notice of the Transactions to the Secretary of State under section 14 of the NSI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Acquiror shall comply as promptly as practicable with any Antitrust or FDI Information or Document Requests.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Acquiror shall (and, to the extent required, shall cause its Affiliates to) request, if available, early termination of any waiting period under the HSR Act and exercise its reasonable best efforts to (i) obtain termination or expiration of any applicable waiting periods under the HSR Act and (ii) prevent the entry, in any Action brought by an Antitrust Authority, an FDI Authority or any other Person, of any Governmental Order which would prohibit, make unlawful or delay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the Company and Acquiror shall (and, to the extent required, shall cause its Affiliates to) cooperate in good faith with Governmental Authorities and use their respective reasonable best efforts to undertake promptly any and all action required to complete lawfully the Transactions as soon as practicable, but in any event prior to the Agreement End Date, and avoid, prevent, eliminate or remove the actual or threatened commencement of any proceeding in any forum by or on behalf of any Governmental Authority or the issuance of any Governmental Order that would delay, enjoin, prevent, restrain or otherwise prohibit the consummation of the Merger, including, with the prior written consent of the other Parties, (i) proffering and consenting and/or agreeing to a Governmental Order or other agreement providing for (A) the sale, licensing or other disposition, or the holding separate, of particular assets, categories of assets or lines of business of the Company or Acquiror or (B) the termination, amendment or assignment of existing relationships and contractual rights and obligations of the Company or Acquiror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on or prior to the Agreement End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Acquiror nor the Company shall be required to undertake any action under this paragraph that (x) would materially impact Acquiror’s or the Company’s expected benefits resulting from the Transactions or (y) is not conditioned upon the consummation of the Transactions.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 respect to each of the above filings, and any other requests, inquiries, Actions or other proceedings by or from Governmental Authorities in connection with the Transactions, each of the Company and Acquiror shall (and, to the extent required, shall cause its controlled Affiliates to) (i) diligently and expeditiously defend and use reasonable best efforts to obtain any necessary clearance, approval, consent, or Governmental Authorization under Laws prescribed or enforceable by any Governmental Authority for the Transactions and to resolve any objections as may be asserted by any Governmental Authority with respect to the Transactions; and (ii) cooperate fully with each other in the defense of such matters. To the extent not prohibited by Law and reasonably necessary, the Company shall promptly furnish to Acquiror, and Acquiror shall promptly furnish to the Company, copies of any notices or written communications received by such party or any of its Affiliates from any third party or any Governmental Authority with respect to the Transactions, and each Party shall permit counsel to the other Parties an opportunity to review in advance, and each Party shall consider in good faith the views of such counsel in connection with, any proposed written communications by such Party and/or its Affiliates to any Governmental Authority concerning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none of the Parties shall extend any waiting period or comparable period under the HSR Act, or enter into any agreement with any Governmental Authority, without the prior written consent of the other Parties. Materials required to be provided pursuant to this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may be restricted to outside counsel and may be redacted (i) to remove references concerning the valuation of the Company; (ii) as necessary to comply with contractual arrangements; and (iii) to remove references to privileged information. To the extent not prohibited by Law, the Company agrees to provide Acquiror and its counsel, and Acquiror agrees to provide the Company and its counsel, the opportunity, on reasonable advance notice, to participate in any substantive meetings or discussions, either in person or by telephone, between such party and/or any of its Affiliates, agents or advisors, on the one hand, and any Governmental Authority, on the other hand, concerning or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Acquiror shall not merge with or acquire, or agree to merge with or acquire, any other person, or acquire or agree to acquire a substantial portion of the assets of or equity in any other person, before consummating the Merger, if such action would reasonably be expected to adversely affect or materially delay the approval by any Governmental Authority, or the expiration or termination of any waiting period under antitrust Laws,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Preparation of Proxy Statement / Registration Statement; Stockholders’ Meeting and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Statement / Registration Statement and Prospectus.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promptly as practicable after the execution of this Agreement, Acquiror and the Company shall jointly prepare (with the Company’s reasonable cooperation (including causing its Subsidiaries and representatives to cooperate)), and Acquiror shall file with the SEC a registration statement on Form S-4 (as amended or supplemented, the “</w:t>
      </w:r>
      <w:r>
        <w:rPr>
          <w:rFonts w:ascii="Times New Roman;Times;Serif" w:hAnsi="Times New Roman;Times;Serif"/>
          <w:b w:val="false"/>
          <w:i w:val="false"/>
          <w:caps w:val="false"/>
          <w:smallCaps w:val="false"/>
          <w:sz w:val="20"/>
          <w:u w:val="single"/>
        </w:rPr>
        <w:t>Proxy Statement / Registration Statement</w:t>
      </w:r>
      <w:r>
        <w:rPr>
          <w:rFonts w:ascii="Times New Roman;Times;Serif" w:hAnsi="Times New Roman;Times;Serif"/>
          <w:b w:val="false"/>
          <w:i w:val="false"/>
          <w:caps w:val="false"/>
          <w:smallCaps w:val="false"/>
          <w:sz w:val="20"/>
        </w:rPr>
        <w:t xml:space="preserve">”), as mutually agreed upon by Acquiror and the Company, which shall include a proxy statement / prospectus, in connection with the registration under the Securities Act of the shares of Acquiror Class A Common Stock that constitute the Total Merger Consideration to be paid in respect of shares of Company Common Stock in accordance with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Each of Acquiror and the Company shall use its reasonable best efforts to cause the Proxy Statement / Registration Statement to (x) comply with the rules and regulations promulgated by the SEC and (y) be declared effective under the Securities Act as promptly as practicable after such filing and to keep the Proxy Statement / Registration Statement effective as long as is necessary to consummate the Transactions. The Company shall use commercially reasonable efforts to cooperate with the Acquiror to ensure the Company’s readiness for operation as a public company, including with respect to the Company’s accounting and financial reporting, finance effectiveness, financial planning and analysis, tax, internal controls and internal audit, human resources and compensation, treasury, enterprise risk management, technology and cybersecurity functions. Acquiror also agrees to use its reasonable best efforts to obtain all necessary state securities law or “Blue Sky” permits and approvals required to carry out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Acquiror nor the Company will be required to (A) qualify generally to do business in any jurisdiction where it would not otherwise be required to qualify but for this paragraph, (B) consent to general service of process in any such jurisdiction or (C) subject itself to taxation in any such jurisdiction), and the Company shall furnish all information concerning the Company, its Subsidiaries and any of their respective members or stockholders as may be reasonably requested in connection with any such action. Each of Acquiror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preparation and filing of the Proxy Statement / Registration Statement, a Current Report on Form 8-K pursuant to the Exchange Act in connection with the transactions contemplated by this Agreement, or any other statement, filing, notice or application made by or on behalf of Acquiror, the Company or their respective Subsidiaries to any regulatory authority (including Nasdaq) in connection with the Merger and the other Transactions (the “</w:t>
      </w:r>
      <w:r>
        <w:rPr>
          <w:rFonts w:ascii="Times New Roman;Times;Serif" w:hAnsi="Times New Roman;Times;Serif"/>
          <w:b w:val="false"/>
          <w:i w:val="false"/>
          <w:caps w:val="false"/>
          <w:smallCaps w:val="false"/>
          <w:sz w:val="20"/>
          <w:u w:val="single"/>
        </w:rPr>
        <w:t>Offer Documents</w:t>
      </w:r>
      <w:r>
        <w:rPr>
          <w:rFonts w:ascii="Times New Roman;Times;Serif" w:hAnsi="Times New Roman;Times;Serif"/>
          <w:b w:val="false"/>
          <w:i w:val="false"/>
          <w:caps w:val="false"/>
          <w:smallCaps w:val="false"/>
          <w:sz w:val="20"/>
        </w:rPr>
        <w:t>”). Acquiror will cause the Proxy Statement / Registration Statement to be mailed to the Acquiror Stockholders promptly after the Proxy Statement / Registration Statement is declared effective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not prohibited by Law, Acquiror will advise the Company, reasonably promptly after Acquiror receives notice thereof, of the time when the Proxy Statement / Registration Statement has become effective or any supplement or amendment has been filed, of the issuance of any stop order or the suspension of the qualification of the Acquiror Common Stock for offering or sale in any jurisdiction, of the initiation or written threat of any proceeding for any such purpose, or of any request by the SEC for the amendment or supplement of the Proxy Statement / Registration Statement or for additional information. To the extent not prohibited by Law, the Company and its counsel shall be given a reasonable opportunity to review and comment on the Proxy Statement / Registration Statement and any Offer Document each time before any such document is filed with the SEC, and Acquiror shall give reasonable and good faith consideration to any comments made by the Company and its counsel. To the extent not prohibited by Law, Acquiror shall provide the Company and their counsel with (A) any written comments or other communications that Acquiror or its counsel may receive from time to time from the SEC or its staff with respect to the Proxy Statement / Registration Statement or Offer Documents promptly after receipt of those comments or other communications and (B) a reasonable opportunity to participate in the response of Acquiror to those comments and to provide comments on that response (to which reasonable and good faith consideration shall be given), including by participating with the Company or its counsel in any discussions or meetings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Acquiror and the Company shall ensure that none of the information supplied by or on its behalf for inclusion or incorporation by reference in the Proxy Statement / Registration Statement will (A) at the time of the Proxy Statement / Registration Statement is filed with the SEC, at each time at which it is amended, or at the time it becomes effective under the Securities Act or (B) at the date it is first mailed to the Acquiror Stockholders and at the time of the Acquiror Stockholders’ Meeting,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any time prior to the Effective Time, any information relating to the Company, Acquiror or any of their respective Subsidiaries, Affiliates, directors or officers that is required to be set forth in an amendment or supplement to the Proxy Statement / Registration Statement, so that neither of such documents would include any misstatement of a material fact or omit to state any material fact necessary to make the statements therein, in light of the circumstances under which they were made, not misleading, is discovered by the Company or Acquiror, the party which discovers such information shall promptly notify the other Parties and an appropriate amendment or supplement describing such information shall be promptly filed with the SEC and, to the extent required by Law, disseminated to the Acquiror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Acquiror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Acquiror shall (A) as promptly as practicable after the Proxy Statement / Registration Statement is declared effective under the Securities Act, (x) cause the Proxy Statement / Registration Statement to be disseminated to Acquiror Stockholders in compliance with applicable Law, (y) solely with respect to the following clause (1), duly (1) give notice of and (2) convene and hold a meeting of its stockholders (the “</w:t>
      </w:r>
      <w:r>
        <w:rPr>
          <w:rFonts w:ascii="Times New Roman;Times;Serif" w:hAnsi="Times New Roman;Times;Serif"/>
          <w:b w:val="false"/>
          <w:i w:val="false"/>
          <w:caps w:val="false"/>
          <w:smallCaps w:val="false"/>
          <w:sz w:val="20"/>
          <w:u w:val="single"/>
        </w:rPr>
        <w:t>Acquiror Stockholders’ Meeting</w:t>
      </w:r>
      <w:r>
        <w:rPr>
          <w:rFonts w:ascii="Times New Roman;Times;Serif" w:hAnsi="Times New Roman;Times;Serif"/>
          <w:b w:val="false"/>
          <w:i w:val="false"/>
          <w:caps w:val="false"/>
          <w:smallCaps w:val="false"/>
          <w:sz w:val="20"/>
        </w:rPr>
        <w:t>”) in accordance with Acquiror’s Governing Documents and Nasdaq requirements for a date no later than thirty (30) Business Days following the date the Proxy Statement / Registration Statement is declared effective, and (z) solicit proxies from the holders of Acquiror Common Stock to vote in favor of each of the Transaction Proposals, and (B) provide its stockholders with the opportunity to elect to effect an Acquiror Share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Acquiror shall, through Acquiror Board, recommend to its stockholders the (A) approval of the change of Acquiror’s name to “Blaize Holdings, Inc.”, (B) amendment and restatement of Acquiror’s Governing Documents, substantially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(with such changes as may be agreed in writing by Acquiror and the Company) (as may be subsequently amended by mutual written agreement of the Company and Acquiror at any time before the effectiveness of the Proxy Statement / Registration Statement), including any separate or unbundled proposals as are required to implement the foregoing, (C) adoption and approval of this Agreement in accordance with applicable Law and exchange rules and regulations, (D) approval of the issuance of shares of Acquiror Class A Common Stock in connection with the Merger, (E) election of directors effective as of the Closing as contemplated by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(F) adoption and approval of any other proposals as the SEC (or staff member thereof) may indicate are necessary in its comments to the Proxy Statement / Registration Statement or correspondence related thereto, (G) adoption and approval of the Equity Incentive Plan and ESPP, (H) adoption and approval of any other proposals as reasonably agreed by Acquiror and the Company to be necessary or appropriate in connection with the Transactions and (I) adjournment of the Acquiror Stockholders’ Meeting, if necessary, to permit further solicitation of proxies because there are not sufficient votes to approve and adopt any of the foregoing (such proposals in (A) through (I), together, the “</w:t>
      </w:r>
      <w:r>
        <w:rPr>
          <w:rFonts w:ascii="Times New Roman;Times;Serif" w:hAnsi="Times New Roman;Times;Serif"/>
          <w:b w:val="false"/>
          <w:i w:val="false"/>
          <w:caps w:val="false"/>
          <w:smallCaps w:val="false"/>
          <w:sz w:val="20"/>
          <w:u w:val="single"/>
        </w:rPr>
        <w:t>Transaction Proposals</w:t>
      </w:r>
      <w:r>
        <w:rPr>
          <w:rFonts w:ascii="Times New Roman;Times;Serif" w:hAnsi="Times New Roman;Times;Serif"/>
          <w:b w:val="false"/>
          <w:i w:val="false"/>
          <w:caps w:val="false"/>
          <w:smallCaps w:val="false"/>
          <w:sz w:val="20"/>
        </w:rPr>
        <w:t>”, and proposals (A) through (G), the “</w:t>
      </w:r>
      <w:r>
        <w:rPr>
          <w:rFonts w:ascii="Times New Roman;Times;Serif" w:hAnsi="Times New Roman;Times;Serif"/>
          <w:b w:val="false"/>
          <w:i w:val="false"/>
          <w:caps w:val="false"/>
          <w:smallCaps w:val="false"/>
          <w:sz w:val="20"/>
          <w:u w:val="single"/>
        </w:rPr>
        <w:t>Required Transaction Proposals</w:t>
      </w:r>
      <w:r>
        <w:rPr>
          <w:rFonts w:ascii="Times New Roman;Times;Serif" w:hAnsi="Times New Roman;Times;Serif"/>
          <w:b w:val="false"/>
          <w:i w:val="false"/>
          <w:caps w:val="false"/>
          <w:smallCaps w:val="false"/>
          <w:sz w:val="20"/>
        </w:rPr>
        <w:t>”), and include such recommendation in the Proxy Statement / Registration Statement.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Modification in Recommendation</w:t>
      </w:r>
      <w:r>
        <w:rPr>
          <w:rFonts w:ascii="Times New Roman;Times;Serif" w:hAnsi="Times New Roman;Times;Serif"/>
          <w:b w:val="false"/>
          <w:i w:val="false"/>
          <w:caps w:val="false"/>
          <w:smallCaps w:val="false"/>
          <w:sz w:val="20"/>
        </w:rPr>
        <w:t>. The Acquiror Board shall not withdraw, amend, qualify or modify its recommendation to the Acquiror Stockholders that they vote in favor of the Transaction Proposals (together with any withdrawal, amendment, qualification or modification of its recommendation to the Acquiror Stockholders described in the recitals hereto, a “</w:t>
      </w:r>
      <w:r>
        <w:rPr>
          <w:rFonts w:ascii="Times New Roman;Times;Serif" w:hAnsi="Times New Roman;Times;Serif"/>
          <w:b w:val="false"/>
          <w:i w:val="false"/>
          <w:caps w:val="false"/>
          <w:smallCaps w:val="false"/>
          <w:sz w:val="20"/>
          <w:u w:val="single"/>
        </w:rPr>
        <w:t>Modification in Recommendation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Acquiror Board may make a Modification in Recommendation if as a result of an Acquiror Intervening Event, the Acquiror Board determines in good faith, after consultation with its outside legal counsel, that a failure to make a Modification in Recommendation would reasonably be expected to be a breach of, or be inconsistent with, its fiduciary obligations to the Acquiror Stockholders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 Acquiror shall have delivered written notice to the Company advising the Company that the Acquiror Board proposes to take such action in response to an Acquiror Intervening Event and containing the material facts underlying the Acquiror Board’s determination that an Acquiror Intervening Event has occurred and of its intention to make a Modification in Recommendation as a result of an Acquiror Intervening Event at least five (5) Business Days prior to the taking of such action by Acquiror (in each case, it being acknowledged that such notice shall not itself constitute a breach of this Agreement), (ii) during such period and prior to making a Modification in Recommendation, if requested by the Company, Acquiror shall have negotiated in good faith with the Company regarding any revisions or adjustments proposed by the Company to the terms and conditions of this Agreement as would enable the Acquiror Board to reaffirm its recommendation and not make such Modification in Recommendation and (iii) if the Company requested negotiations in accordance with clause (ii), Acquiror may make a Modification in Recommendation only if the Acquiror Board, after considering in good faith any revisions or adjustments to the terms and conditions of this Agreement that the Company shall have, prior to the expiration of the five (5) Business Day period (it being understood that any material development with respect to an Acquiror Intervening Event, in each case, shall require a new notice but with an additional two (2) Business Day (instead of five (5) Business Day) period from the date of such notice), offered in writing to Acquiror, continues to determine in good faith that failure to make a Modification in Recommendation would be a breach of, or inconsistent with, its fiduciary duties to the Acquiror Stockholders under applicable Law. Notwithstanding anything to the contrary in this </w:t>
      </w:r>
      <w:r>
        <w:rPr>
          <w:rFonts w:ascii="Times New Roman;Times;Serif" w:hAnsi="Times New Roman;Times;Serif"/>
          <w:b w:val="false"/>
          <w:i w:val="false"/>
          <w:caps w:val="false"/>
          <w:smallCaps w:val="false"/>
          <w:sz w:val="20"/>
          <w:u w:val="single"/>
        </w:rPr>
        <w:t>Section 8.2(c)</w:t>
      </w:r>
      <w:r>
        <w:rPr>
          <w:rFonts w:ascii="Times New Roman;Times;Serif" w:hAnsi="Times New Roman;Times;Serif"/>
          <w:b w:val="false"/>
          <w:i w:val="false"/>
          <w:caps w:val="false"/>
          <w:smallCaps w:val="false"/>
          <w:sz w:val="20"/>
        </w:rPr>
        <w:t>, in no event shall any of the following (or the effect of any of the following), alone or in combination, permit or justify, or be taken into account in determining whether to make, a Modification in Recommendation: (A) meeting, failing to meet or exceeding projections of the Company and its Subsidiaries (in and of itself, but without preventing a determination of a Modification in Recommendation as to the Events underlying such change); (B) any actions required to be taken pursuant to this Agreement; and (C) any changes in the price of Acquiror Common Stock (in and of itself, but without preventing a determination of a Modification in Recommendation as to the Events underlying such change). To the fullest extent permitted by applicable Law, (x) Acquiror’s obligations to establish a record date for, duly call, give notice of, convene and hold the Acquiror Stockholders’ Meeting shall not be affected by any Modification in Recommendation and (y) Acquiror agrees to establish a record date for, duly call, give notice of, convene and hold the Acquiror Stockholders’ Meeting and submit for approval the Transaction Proposals and (z)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has been no Modification in Recommendation, Acquiror shall use its reasonable best efforts to take all actions necessary to obtain the Acquiror Stockholder Approval at the Acquiror Stockholders’ Meeting, including as such Acquiror Stockholders’ Meeting may be adjourned or postponed in accordance with this Agreement, including by soliciting proxies in accordance with applicable Law for the purpose of seeking the Acquiror Stockholder Approval. Acquiror may only adjourn the Acquiror Stockholders’ Meeting (I) to solicit additional proxies for the purpose of obtaining the Acquiror Stockholder Approval, (II) for the absence of a quorum and (III) to allow reasonable additional time for the filing or mailing of any supplemental or amended disclosure that Acquiror has determined in good faith after consultation with outside legal counsel is required under applicable Law and for such supplemental or amended disclosure to be disseminated and reviewed by Acquiror Stockholders prior to the Acquiror Stockholders’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Acquiror Stockholders’ Meeting (1) may not be adjourned to a date that is more than fifteen (15) days after the date for which the Acquiror Stockholders’ Meeting was originally scheduled (excluding any adjournments required by applicable Law) and (2) shall not be held later than three (3) Business Days prior to the Agreement End Date.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Stockholder Approvals</w:t>
      </w:r>
      <w:r>
        <w:rPr>
          <w:rFonts w:ascii="Times New Roman;Times;Serif" w:hAnsi="Times New Roman;Times;Serif"/>
          <w:b w:val="false"/>
          <w:i w:val="false"/>
          <w:caps w:val="false"/>
          <w:smallCaps w:val="false"/>
          <w:sz w:val="20"/>
        </w:rPr>
        <w:t>. Upon the terms set forth in this Agreement, the Company shall use its reasonable best efforts to solicit and obtain the Company Stockholder Approvals in the form of an irrevocable written consent (the “</w:t>
      </w:r>
      <w:r>
        <w:rPr>
          <w:rFonts w:ascii="Times New Roman;Times;Serif" w:hAnsi="Times New Roman;Times;Serif"/>
          <w:b w:val="false"/>
          <w:i w:val="false"/>
          <w:caps w:val="false"/>
          <w:smallCaps w:val="false"/>
          <w:sz w:val="20"/>
          <w:u w:val="single"/>
        </w:rPr>
        <w:t>Company Stockholder Written Consent</w:t>
      </w:r>
      <w:r>
        <w:rPr>
          <w:rFonts w:ascii="Times New Roman;Times;Serif" w:hAnsi="Times New Roman;Times;Serif"/>
          <w:b w:val="false"/>
          <w:i w:val="false"/>
          <w:caps w:val="false"/>
          <w:smallCaps w:val="false"/>
          <w:sz w:val="20"/>
        </w:rPr>
        <w:t>”), from the Requisite Company Stockholders as soon as reasonably practicable after the Proxy Statement / Registration Statement is declared effective by the SEC. Promptly following the receipt of the Company Stockholder Approvals via the executed Company Stockholder Written Consent from the Requisite Company Stockholders, the Company will prepare (subject to the reasonable approval of Acquiror) and deliver, to the holders of Company Common Stock who have not executed and delivered a Company Stockholder Written Consent, the notice required by Section 228(e) of the DGCL, which shall include a description of the appraisal rights of such holders available under Section 262 of the DGCL, along with such other information as is required thereunder and pursuant to applicable Law. In the event the Company is not able to obtain the Company Stockholder Approvals in such manner and Acquiror does not elect to exercise its right to terminate this Agreement, the Company shall duly convene a meeting of the stockholders of the Company for the purpose of voting solely upon the adoption of this Agreement and the Transactions, including the Merger, as soon as reasonably practicable, in which case the Company shall obtain the Company Stockholder Approvals at such meeting of the stockholders of the Company and shall take all other action necessary or advisable to secure the Company Stockholder Approvals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Acquiror Board</w:t>
      </w:r>
      <w:r>
        <w:rPr>
          <w:rFonts w:ascii="Times New Roman;Times;Serif" w:hAnsi="Times New Roman;Times;Serif"/>
          <w:b w:val="false"/>
          <w:i w:val="false"/>
          <w:caps w:val="false"/>
          <w:smallCaps w:val="false"/>
          <w:sz w:val="20"/>
        </w:rPr>
        <w:t>. Acquiror and the Company shall take all necessary action to cause the board of directors of Acquiror as of immediately following the Closing (the “</w:t>
      </w:r>
      <w:r>
        <w:rPr>
          <w:rFonts w:ascii="Times New Roman;Times;Serif" w:hAnsi="Times New Roman;Times;Serif"/>
          <w:b w:val="false"/>
          <w:i w:val="false"/>
          <w:caps w:val="false"/>
          <w:smallCaps w:val="false"/>
          <w:sz w:val="20"/>
          <w:u w:val="single"/>
        </w:rPr>
        <w:t>New Acquiror Board</w:t>
      </w:r>
      <w:r>
        <w:rPr>
          <w:rFonts w:ascii="Times New Roman;Times;Serif" w:hAnsi="Times New Roman;Times;Serif"/>
          <w:b w:val="false"/>
          <w:i w:val="false"/>
          <w:caps w:val="false"/>
          <w:smallCaps w:val="false"/>
          <w:sz w:val="20"/>
        </w:rPr>
        <w:t>”) to consist of nine (9) directors. The initial composition of the New Acquiror Board shall be comprised of (a) two (2) individuals to be designated by the Company, (b) two (2) individuals to be designated by the Sponsor and (c) five (5) individuals will be independent directors, designated by the Company (the “</w:t>
      </w:r>
      <w:r>
        <w:rPr>
          <w:rFonts w:ascii="Times New Roman;Times;Serif" w:hAnsi="Times New Roman;Times;Serif"/>
          <w:b w:val="false"/>
          <w:i w:val="false"/>
          <w:caps w:val="false"/>
          <w:smallCaps w:val="false"/>
          <w:sz w:val="20"/>
          <w:u w:val="single"/>
        </w:rPr>
        <w:t>Independent Directors</w:t>
      </w:r>
      <w:r>
        <w:rPr>
          <w:rFonts w:ascii="Times New Roman;Times;Serif" w:hAnsi="Times New Roman;Times;Serif"/>
          <w:b w:val="false"/>
          <w:i w:val="false"/>
          <w:caps w:val="false"/>
          <w:smallCaps w:val="false"/>
          <w:sz w:val="20"/>
        </w:rPr>
        <w:t xml:space="preserve">”). The Company agrees to consult, in good faith, with Acquiror regarding the determination of the Independent Directors. The Parties shall use reasonable best efforts to ensure that the Persons designated for election to the New Acquiror Board pursuant to this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are nominated and elected as directors of Acquiror effective as of the Closing, and the identities of such individuals shall be made publicly available prior to the date on which the Proxy Statement / Registration Statement is filed with the SEC in definitive form.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Support of Transaction</w:t>
      </w:r>
      <w:r>
        <w:rPr>
          <w:rFonts w:ascii="Times New Roman;Times;Serif" w:hAnsi="Times New Roman;Times;Serif"/>
          <w:b w:val="false"/>
          <w:i w:val="false"/>
          <w:caps w:val="false"/>
          <w:smallCaps w:val="false"/>
          <w:sz w:val="20"/>
        </w:rPr>
        <w:t xml:space="preserve">. Without limiting any covenant contained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during the Interim Period, Acquiror and the Company shall each, and each shall cause its Subsidiaries to (a) use reasonable best efforts to obtain all material consents and approvals of, and send all notices to, third parties that any of Acquiror or the Company or their respective Affiliates are required to obtain or send, as applicable, in order to consummate the Merger (including, in the case of the Company, the Contracts and Licenses set forth on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of the Company Disclosure Letter), (b) use reasonable best efforts to deliver the Ancillary Agreements, to the extent not delivered on or prior to the date hereof, and (c) take such other action as may be reasonably necessary or as another party hereto may reasonably request to satisfy the conditions of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or otherwise to comply with this Agreement and to consummate the Transactions as soon as practicable. The Company shall use reasonable best efforts to procure the execution of Ancillary Agreements by the applicable Company Stockholders, to the extent not so executed on or prior to the date hereof. Notwithstanding anything to the contrary contained herein, no action taken by the Company or Acquiror under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will constitute a breach of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All transfer, documentary, sales, use, real property, stamp, registration, value added and other similar Taxes incurred as a result of the Merger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xml:space="preserve">”) shall be timely paid in accordance with this Agreement when due. The Company shall file all necessary Tax Returns and other documentation with respect to all such Transfer Taxes and shall timely pay (or cause to be timely paid) to the applicable Governmental Authority such Transfer Taxes. The Parties shall cooperate in good faith to prepare and file (or cause to be prepared and filed) all Tax Returns in respect of any such Transfer Taxes. For the avoidance of doubt, Transfer Taxes referred to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shall exclude Taxes imposed on income, profit or gain, including Taxes under the IT Act, and shall exclude any Excise Taxes payable in connection with any Acquiror Share Redemption (for the avoidance of doubt, Acquiror shall bear sole responsibility for timely paying any Excise Taxes payable in connection with any Acquiror Share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During the Interim Period, each of the Company and Acquiror shall take all such steps as may be required (to the extent permitted under applicable Law) to cause any dispositions of shares of the Company Common Stock or acquisitions of shares of Acquiror Class A Common Stock (including, in each case, securities deliverable upon exercise, vesting or settlement of any derivative securities) resulting from the Transactions by each individual who may become subject to the reporting requirements of Section 16(a) of the Exchange Act in connection with the Transactions to be exempt under Rule 16b-3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8.6              </w:t>
      </w:r>
      <w:r>
        <w:rPr>
          <w:rFonts w:ascii="Times New Roman;Times;Serif" w:hAnsi="Times New Roman;Times;Serif"/>
          <w:b w:val="false"/>
          <w:i w:val="false"/>
          <w:caps w:val="false"/>
          <w:smallCaps w:val="false"/>
          <w:sz w:val="20"/>
          <w:u w:val="single"/>
        </w:rPr>
        <w:t>Cooperation; Consultation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Interim Period, each of the Company and Acquiror shall, and each of them shall cause its respective Subsidiaries (as applicable) and its and their officers, directors, managers, employees, consultants, counsel, accounts, agents and other representatives to, reasonably cooperate in a timely manner in connection with any financing arrangement the Parties mutually agree to seek in connection with the transactions contemplated by this Agreement (it being understood and agreed that, other than the Private Placement Investment, the consummation of any such financing by the Company or Acquiror shall be subject to the Parties’ mutual agreement), including (if mutually agreed by the Parties) (i) by providing such information and assistance as the other party may reasonably request, (ii) granting such access to the other party and its representatives as may be reasonably necessary for their due diligence, and (iii) participating in a reasonable number of meetings, presentations, road shows, drafting sessions, due diligence sessions with respect to such financing efforts (including direct contact between senior management and other representatives of the Company and its Subsidiaries at reasonable times and locations). All such cooperation, assistance and access shall be granted during normal business hours and shall be granted under conditions that shall not unreasonably interfere with the business and operations of the Company, Acquiror, or their respective auditors.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During the Interim Period, subject to any applicable public communication made in compliance with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Acquiror shall use its reasonable best efforts to, and shall instruct its financial advisors to, keep the Company and its financial advisors reasonably informed with respect to the Private Placement Investment, including by (i) providing regular updates and (ii) consulting and cooperating with, and considering in good faith any feedback from, the Company or its financial advisors with respect to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Interim Period and in connection with the filing of the Proxy Statement / Registration Statement, the Company shall, and shall cause its Subsidiaries and its and their applicable officers, directors, managers, employees, consultants, counsel, accountants, agents and other representatives to, promptly provide Acquiror and its counsel, accountants, agents and other representatives, as applicable, with documents required to be filed with the Proxy Statement / Registration Statement under the applicable SEC requirements, including but not limited to, those pursuant to Item 601 of Regulation S-K under the Securities Act as if the Company was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8.7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(x) Acquiror shall not, shall cause each of its Affiliates and Subsidiaries and their respective representatives not to, directly or indirectly, (i) encourage, solicit, initiate, facilitate or continue inquiries regarding a Business Combination Proposal; (ii) enter into discussions or negotiations with, or provide any information to, any Person concerning a possible Business Combination Proposal; or (iii) enter into any agreements or other instruments (whether or not binding) regarding a Business Combination Proposal, and (y) Acquiror shall immediately cease and cause to be terminated, and shall direct its Affiliates and all of its and their representatives to immediately cease and cause to be terminated, all existing discussions or negotiations with any Persons (other than the other party hereto and its representatives) conducted heretofore with respect to, or that could lead to, any Business Combination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foregoing shall not restrict Acquiror from responding to unsolicited inbound inquiries to the extent required for the Acquiror Board to comply with its fiduciary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Interim Period, the Company shall not, shall cause each of its Affiliates and Subsidiaries and their respective representatives not to, directly or indirectly, (i) encourage, solicit, initiate, facilitate or continue inquiries regarding a Company Acquisition Proposal; (ii) enter into discussions or negotiations with, or provide any information to, any Person concerning a possible Company Acquisition Proposal; or (iii) enter into any agreements or other instruments (whether or not binding) regarding a Company Acquisition Proposal. The Company shall immediately cease and cause to be terminated, and shall direct its Affiliates and all of its and their representatives to immediately cease and cause to be terminated, all existing discussions or negotiations with any Persons (other than the other party hereto and its representatives) conducted heretofore with respect to, or that could lead to, any Company Acquisition Proposal. For purposes hereof, “</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inquiry, proposal or offer concerning a merger, consolidation, liquidation, recapitalization, share exchange or other transaction involving the sale, lease, exchange or other disposition of more than fifteen percent (15%) of the properties or assets or equity interests of the Company or any of its Subsidiaries (other than any Company Financing).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addition to the other obligations under this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each Party shall promptly (and in any event within twenty-four (24) hours after receipt thereof by such party) advise the other party hereto orally and in writing of any Business Combination Proposal (with respect to Acquiror or Merger Sub) or Company Acquisition Proposal (with respect to the Company) received by the applicable party, or any inquiry with respect to or which could reasonably be expected to result in any Business Combination Proposal (with respect to Acquiror or Merger Sub) or Company Acquisition Proposal (with respect to the Company), the material terms and conditions of such any Business Combination Proposal (with respect to Acquiror or Merger Sub) or Company Acquisition Proposal (with respect to the Company) or inquiry, and the identity of the Person making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hereto agrees that the rights and remedies for noncompliance with this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may cause irreparable injury to the other party hereto and that money damages will not provide an adequate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Each of Acquiror and the Company acknowledges and agrees that, for purposes of determining whether a breach of this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has occurred, the actions of such party’s directors, officers, employees, Affiliates and representatives shall be deemed to be the actions of such party, and such party shall be responsible for any breach of this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by such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8.8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In the event that any litigation related to this Agreement, any Ancillary Agreement or the Transactions is brought, or, to the knowledge of Acquiror or the Company, threatened in writing, against such Party, any of its Subsidiaries or any of its directors or officers by any of the Acquiror Stockholders or the Company Stockholders prior to the Closing, the occurrence of which has caused or is reasonably likely to cause any condition to the obligations of any Party to effect the Transactions not to be satisfied or is reasonably likely to have a material adverse effect on the ability of the Parties to consummate the Transactions or to materially delay the timing thereof (any such Action,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val="false"/>
          <w:caps w:val="false"/>
          <w:smallCaps w:val="false"/>
          <w:sz w:val="20"/>
        </w:rPr>
        <w:t>”), such Party shall promptly notify the other Party of any such litigation and keep the other Party reasonably informed with respect to the status thereof. Other than with respect to any Stockholder Litigation where the interests of Acquiror and the Company may be adverse to the other Party or in the context of any Stockholder Litigation related to or arising out of a Company Acquisition Proposal or Business Combination Proposal, the Company and Acquiror, as the case may be, shall provide the other Party the opportunity to participate in (subject to a customary joint defense agreement), but not control, the defense of any such litigation, shall give due consideration to the other Party’s advice with respect to such litigation and shall not settle any such litigation without prior written consent of the other Party,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8.9              </w:t>
      </w:r>
      <w:r>
        <w:rPr>
          <w:rFonts w:ascii="Times New Roman;Times;Serif" w:hAnsi="Times New Roman;Times;Serif"/>
          <w:b w:val="false"/>
          <w:i w:val="false"/>
          <w:caps w:val="false"/>
          <w:smallCaps w:val="false"/>
          <w:sz w:val="20"/>
          <w:u w:val="single"/>
        </w:rPr>
        <w:t>Fairness Opinion</w:t>
      </w:r>
      <w:r>
        <w:rPr>
          <w:rFonts w:ascii="Times New Roman;Times;Serif" w:hAnsi="Times New Roman;Times;Serif"/>
          <w:b w:val="false"/>
          <w:i w:val="false"/>
          <w:caps w:val="false"/>
          <w:smallCaps w:val="false"/>
          <w:sz w:val="20"/>
        </w:rPr>
        <w:t>. The Company shall reasonably cooperate with and support Acquiror in connection with Acquiror obtaining from a reputable independent investment banking firm or other independent financial advisory firm, in form and substance satisfactory to the Acquiror Board in its reasonable discretion, an opinion to the effect that, as of the date of such opinion and based upon and subject to the various qualifications and assumptions set forth therein, the Total Merger Consideration to be paid by Acquiror pursuant to this Agreement is fair from a financial point of view to the public stockholders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TO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Conditions to Obligations of Acquiror, Merger Sub, and the Company</w:t>
      </w:r>
      <w:r>
        <w:rPr>
          <w:rFonts w:ascii="Times New Roman;Times;Serif" w:hAnsi="Times New Roman;Times;Serif"/>
          <w:b w:val="false"/>
          <w:i w:val="false"/>
          <w:caps w:val="false"/>
          <w:smallCaps w:val="false"/>
          <w:sz w:val="20"/>
        </w:rPr>
        <w:t>. The obligations of Acquiror, Merger Sub, and the Company to consummate, or cause to be consummated, the Merger is subject to the satisfaction of the following conditions, any one or more of which may, to the extent permitted by law, be waived in writing by all of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Acquiror Stockholder Approval shall have been obtained with respect to the Required Transaction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Stockholder Approvals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Proxy Statement / Registration Statement shall have become effective under the Securities Act and no stop order suspending the effectiveness of the Proxy Statement / Registration Statement shall have been issued by the SEC and shall remain in effect and no proceedings seeking such a stop order shall have been initiated or threatened by the SEC and not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waiting periods under the HSR Act (and any extensions thereof, including any agreement with any Governmental Authority to delay consummation of the Transactions) applicable to the Transactions shall have expired or been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Secretary of State shall have approved the Transactions as provided for by section 13 of the NSI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There shall not be in force any Governmental Order or other Law enjoining, prohibiting or making illegal the consummation of the Merger;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Governmental Authority issuing, enacting or promulgating such Governmental Order or other Law has jurisdiction over the Parties with respect to the Transactions;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shares of Acquiror Class A Common Stock to be issued in connection with the Merger shall have been approved for listing on Nasdaq, subject only to official notice of issuance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Conditions to Obligations of Acquiror and Merger Sub</w:t>
      </w:r>
      <w:r>
        <w:rPr>
          <w:rFonts w:ascii="Times New Roman;Times;Serif" w:hAnsi="Times New Roman;Times;Serif"/>
          <w:b w:val="false"/>
          <w:i w:val="false"/>
          <w:caps w:val="false"/>
          <w:smallCaps w:val="false"/>
          <w:sz w:val="20"/>
        </w:rPr>
        <w:t>. The obligations of Acquiror and Merger Sub to consummate, or cause to be consummated, the Merger are subject to the satisfaction of the following additional conditions, any one or more of which may be waived in writing by Acquiror and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Company Fundamental Representations each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of the Company contained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xml:space="preserve"> shall be true and correct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as of the Closing Date, except with respect to such representations and warranties which speak as to an earlier date, which representations and warranties shall be true and correct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at and as of such date, except for changes after the date of this Agreement which are contemplated or expressly permitted by this Agreement or the Ancillary Agreements, and (iii) each of the representations and warranties of the Company contained in this Agreement other than the Company Fundamental Representations and the representations and warranties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 (disregarding any qualifications and exceptions contained therein relating to materiality and Company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or omissions that would not, individually or in the aggregate,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covenants of the Company to be performed as of or prior to the Closing shall have been performed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a covenant of the Company shall only be deemed to have not been performed if the Company has materially breached such covenant and failed to cure within thirty (30) days’ after notice (or if earlier, the Agreement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Material Adverse Effect shall have occurred between the date of this Agreement and the Closing Date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effectuated the Company Security Conversion, the Warrant Event and the Burkhan Conversion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Conditions to the Obligations of the Company</w:t>
      </w:r>
      <w:r>
        <w:rPr>
          <w:rFonts w:ascii="Times New Roman;Times;Serif" w:hAnsi="Times New Roman;Times;Serif"/>
          <w:b w:val="false"/>
          <w:i w:val="false"/>
          <w:caps w:val="false"/>
          <w:smallCaps w:val="false"/>
          <w:sz w:val="20"/>
        </w:rPr>
        <w:t>. The obligation of the Company to consummate, or cause to be consummated, the Merger is subject to the satisfaction of the following additional conditions, any one or more of which may be waived in writing by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Acquiror Fundamental Representations shall be true and correct in all material respects, in each case as of the Closing Date, except with respect to such representations and warranties which speak as to an earlier date, which representations and warranties shall be true and correct in all material respects at and as of such date, except for changes after the date of this Agreement which are contemplated or expressly permitted by this Agreement or the Ancillary Agreements, (ii) the representations and warranties of Acquiror contained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shall be true and correct other than </w:t>
      </w:r>
      <w:r>
        <w:rPr>
          <w:rFonts w:ascii="Times New Roman;Times;Serif" w:hAnsi="Times New Roman;Times;Serif"/>
          <w:b w:val="false"/>
          <w:i/>
          <w:caps w:val="false"/>
          <w:smallCaps w:val="false"/>
          <w:sz w:val="20"/>
        </w:rPr>
        <w:t xml:space="preserve">de minimis </w:t>
      </w:r>
      <w:r>
        <w:rPr>
          <w:rFonts w:ascii="Times New Roman;Times;Serif" w:hAnsi="Times New Roman;Times;Serif"/>
          <w:b w:val="false"/>
          <w:i w:val="false"/>
          <w:caps w:val="false"/>
          <w:smallCaps w:val="false"/>
          <w:sz w:val="20"/>
        </w:rPr>
        <w:t xml:space="preserve">inaccuracies as of the Closing Date, except with respect to such representations and warranties which speak as to an earlier date, which representations and warranties shall be true and correct other than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inaccuracies at and as of such date, except for changes after the date of this Agreement which are contemplated or expressly permitted by this Agreement or the Ancillary Agreements, and (iii) each of the representations and warranties of Acquiror contained in this Agreement other than the Acquiror Fundamental Representations and the representations and warranties of Acquiror set forth in clause (ii) above (disregarding any qualifications and exceptions contained therein relating to materiality and material adverse effect or any similar qualification or exception) shall be true and correct as of the Closing Date, except with respect to such representations and warranties which speak as to an earlier date, which representations and warranties shall be true and correct at and as of such date, except for, in each case, inaccuracies or omissions that would not, individually or in the aggregate, reasonably be expected to have an Acquiror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covenants of Acquiror to be performed as of or prior to the Closing shall have been performed in all material respects;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a covenant of Acquiror shall only be deemed to have not been performed if the Acquiror has materially breached such covenant and failed to cure within thirty (30) days’ after notice (or if earlier, the Agreement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Acquiror Material Adverse Effect shall have occurred between the date of this Agreement and the Closing Date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Available Acquiror Cash shall be no less than the Minimum Cash Amount;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Other than those persons designated by the Parties as persons to be nominated for election to the New Acquiror Board in accordance with </w:t>
      </w:r>
      <w:r>
        <w:rPr>
          <w:rFonts w:ascii="Times New Roman;Times;Serif" w:hAnsi="Times New Roman;Times;Serif"/>
          <w:b w:val="false"/>
          <w:i w:val="false"/>
          <w:caps w:val="false"/>
          <w:smallCaps w:val="false"/>
          <w:sz w:val="20"/>
          <w:u w:val="single"/>
        </w:rPr>
        <w:t>Section 8.2(e)</w:t>
      </w:r>
      <w:r>
        <w:rPr>
          <w:rFonts w:ascii="Times New Roman;Times;Serif" w:hAnsi="Times New Roman;Times;Serif"/>
          <w:b w:val="false"/>
          <w:i w:val="false"/>
          <w:caps w:val="false"/>
          <w:smallCaps w:val="false"/>
          <w:sz w:val="20"/>
        </w:rPr>
        <w:t>, all members of the Acquiror Board and all executive officers of Acquiror shall have executed written resignations effective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w:t>
      </w:r>
      <w:r>
        <w:rPr>
          <w:rFonts w:ascii="Times New Roman;Times;Serif" w:hAnsi="Times New Roman;Times;Serif"/>
          <w:b w:val="false"/>
          <w:i w:val="false"/>
          <w:caps w:val="false"/>
          <w:smallCaps w:val="false"/>
          <w:sz w:val="20"/>
          <w:u w:val="single"/>
        </w:rPr>
        <w:t>Frustration of Conditions</w:t>
      </w:r>
      <w:r>
        <w:rPr>
          <w:rFonts w:ascii="Times New Roman;Times;Serif" w:hAnsi="Times New Roman;Times;Serif"/>
          <w:b w:val="false"/>
          <w:i w:val="false"/>
          <w:caps w:val="false"/>
          <w:smallCaps w:val="false"/>
          <w:sz w:val="20"/>
        </w:rPr>
        <w:t xml:space="preserve">. None of the Acquiror, Merger Sub or the Company may rely on the failure of any condition set forth in this </w:t>
      </w:r>
      <w:r>
        <w:rPr>
          <w:rFonts w:ascii="Times New Roman;Times;Serif" w:hAnsi="Times New Roman;Times;Serif"/>
          <w:b w:val="false"/>
          <w:i w:val="false"/>
          <w:caps w:val="false"/>
          <w:smallCaps w:val="false"/>
          <w:sz w:val="20"/>
          <w:u w:val="single"/>
        </w:rPr>
        <w:t xml:space="preserve">Article IX </w:t>
      </w:r>
      <w:r>
        <w:rPr>
          <w:rFonts w:ascii="Times New Roman;Times;Serif" w:hAnsi="Times New Roman;Times;Serif"/>
          <w:b w:val="false"/>
          <w:i w:val="false"/>
          <w:caps w:val="false"/>
          <w:smallCaps w:val="false"/>
          <w:sz w:val="20"/>
        </w:rPr>
        <w:t xml:space="preserve">to be satisfied if such failure was caused by such party’s failure to act in good faith or to take such actions as may be necessary to cause the conditions of the other party hereto to be satisfied, as required by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TERMINATION/EFFECTIVENESS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Transactions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written consent of the Company and Acquiror;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the Company or Acquiror if any Governmental Authority shall have enacted, issued, promulgated, enforced or entered any Governmental Order or other Law which has become final and non-appealable and has the effect of permanently making consummation of the Merger illegal or otherwise permanently preventing or prohibiting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the Company or Acquiror if the condition set forth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shall not have been obtained by reason of the failure to obtain the required vote at the Acquiror Stockholders’ Meeting duly convened therefor or at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Company if there has been a Modification in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written notice to the Company from Acquiror if (i) there is any breach of any representation, warranty, covenant or agreement on the part of the Company set forth in this Agreement, such that the conditions specified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would not be satisfied at the Closing (a “</w:t>
      </w:r>
      <w:r>
        <w:rPr>
          <w:rFonts w:ascii="Times New Roman;Times;Serif" w:hAnsi="Times New Roman;Times;Serif"/>
          <w:b w:val="false"/>
          <w:i w:val="false"/>
          <w:caps w:val="false"/>
          <w:smallCaps w:val="false"/>
          <w:sz w:val="20"/>
          <w:u w:val="single"/>
        </w:rPr>
        <w:t>Terminating Company Breach</w:t>
      </w:r>
      <w:r>
        <w:rPr>
          <w:rFonts w:ascii="Times New Roman;Times;Serif" w:hAnsi="Times New Roman;Times;Serif"/>
          <w:b w:val="false"/>
          <w:i w:val="false"/>
          <w:caps w:val="false"/>
          <w:smallCaps w:val="false"/>
          <w:sz w:val="20"/>
        </w:rPr>
        <w:t>”), except that, if such Terminating Company Breach is curable by the Company through the exercise of its reasonable best efforts, then, until the earlier of (x) thirty (30) days after receipt by the Company of notice from Acquiror of such breach and (y) the Agreement End Date, but only as long as the Company continues to use its respective reasonable best efforts to cure such Terminating Company Breach (the “</w:t>
      </w:r>
      <w:r>
        <w:rPr>
          <w:rFonts w:ascii="Times New Roman;Times;Serif" w:hAnsi="Times New Roman;Times;Serif"/>
          <w:b w:val="false"/>
          <w:i w:val="false"/>
          <w:caps w:val="false"/>
          <w:smallCaps w:val="false"/>
          <w:sz w:val="20"/>
          <w:u w:val="single"/>
        </w:rPr>
        <w:t>Company Cure Period</w:t>
      </w:r>
      <w:r>
        <w:rPr>
          <w:rFonts w:ascii="Times New Roman;Times;Serif" w:hAnsi="Times New Roman;Times;Serif"/>
          <w:b w:val="false"/>
          <w:i w:val="false"/>
          <w:caps w:val="false"/>
          <w:smallCaps w:val="false"/>
          <w:sz w:val="20"/>
        </w:rPr>
        <w:t>”), such termination shall not be effective, and such termination shall become effective only if the Terminating Company Breach is not cured within the Company Cure Period, or (ii) the Closing has not occurred on or before December 31, 2024 (the “</w:t>
      </w:r>
      <w:r>
        <w:rPr>
          <w:rFonts w:ascii="Times New Roman;Times;Serif" w:hAnsi="Times New Roman;Times;Serif"/>
          <w:b w:val="false"/>
          <w:i w:val="false"/>
          <w:caps w:val="false"/>
          <w:smallCaps w:val="false"/>
          <w:sz w:val="20"/>
          <w:u w:val="single"/>
        </w:rPr>
        <w:t>Agreement End Date</w:t>
      </w:r>
      <w:r>
        <w:rPr>
          <w:rFonts w:ascii="Times New Roman;Times;Serif" w:hAnsi="Times New Roman;Times;Serif"/>
          <w:b w:val="false"/>
          <w:i w:val="false"/>
          <w:caps w:val="false"/>
          <w:smallCaps w:val="false"/>
          <w:sz w:val="20"/>
        </w:rPr>
        <w:t xml:space="preserve">”), unless Acquiror is in material breach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Acquiror shall not have the right to terminate this Agreement pursuant to clause (i) of this </w:t>
      </w:r>
      <w:r>
        <w:rPr>
          <w:rFonts w:ascii="Times New Roman;Times;Serif" w:hAnsi="Times New Roman;Times;Serif"/>
          <w:b w:val="false"/>
          <w:i w:val="false"/>
          <w:caps w:val="false"/>
          <w:smallCaps w:val="false"/>
          <w:sz w:val="20"/>
          <w:u w:val="single"/>
        </w:rPr>
        <w:t>Section 10.1(e)</w:t>
      </w:r>
      <w:r>
        <w:rPr>
          <w:rFonts w:ascii="Times New Roman;Times;Serif" w:hAnsi="Times New Roman;Times;Serif"/>
          <w:b w:val="false"/>
          <w:i w:val="false"/>
          <w:caps w:val="false"/>
          <w:smallCaps w:val="false"/>
          <w:sz w:val="20"/>
        </w:rPr>
        <w:t xml:space="preserve"> if Acquiror is then in breach of any of its covenants, agreements, representations or warranties contained in this Agreement, which breach would cause any condition set forth in </w:t>
      </w:r>
      <w:r>
        <w:rPr>
          <w:rFonts w:ascii="Times New Roman;Times;Serif" w:hAnsi="Times New Roman;Times;Serif"/>
          <w:b w:val="false"/>
          <w:i w:val="false"/>
          <w:caps w:val="false"/>
          <w:smallCaps w:val="false"/>
          <w:sz w:val="20"/>
          <w:u w:val="single"/>
        </w:rPr>
        <w:t>Section 9.2(a)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9.2(b)</w:t>
      </w:r>
      <w:r>
        <w:rPr>
          <w:rFonts w:ascii="Times New Roman;Times;Serif" w:hAnsi="Times New Roman;Times;Serif"/>
          <w:b w:val="false"/>
          <w:i w:val="false"/>
          <w:caps w:val="false"/>
          <w:smallCaps w:val="false"/>
          <w:sz w:val="20"/>
        </w:rPr>
        <w:t xml:space="preserve">, as applicable, not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10.1(e)</w:t>
      </w:r>
      <w:r>
        <w:rPr>
          <w:rFonts w:ascii="Times New Roman;Times;Serif" w:hAnsi="Times New Roman;Times;Serif"/>
          <w:b w:val="false"/>
          <w:i w:val="false"/>
          <w:caps w:val="false"/>
          <w:smallCaps w:val="false"/>
          <w:sz w:val="20"/>
        </w:rPr>
        <w:t> shall not be available to Acquiror in the event that the breach of or failure to perform any provision of this Agreement by Acquiror is the proximate cause of the failure of the Closing to be consummated by the Agreement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by the Company or Acquiror if the Company Stockholder Approvals shall not have been obtained in accordance with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10.1(f)</w:t>
      </w:r>
      <w:r>
        <w:rPr>
          <w:rFonts w:ascii="Times New Roman;Times;Serif" w:hAnsi="Times New Roman;Times;Serif"/>
          <w:b w:val="false"/>
          <w:i w:val="false"/>
          <w:caps w:val="false"/>
          <w:smallCaps w:val="false"/>
          <w:sz w:val="20"/>
        </w:rPr>
        <w:t xml:space="preserve"> shall not be available to the Company unless the Company has complied in all material respects with its obligations to solicit the Company Stockholder Approvals under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the Company or Acquiror if an Extension is not effected in accordance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and Acquiror must liquidate in accordance with its Governing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as of January 8, 2024, at least $9,863,333.34 principal amount of the Burkhan Convertible Notes has not been funded by Burkhan and/or its Affiliates and/or nominees following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10.1(h)</w:t>
      </w:r>
      <w:r>
        <w:rPr>
          <w:rFonts w:ascii="Times New Roman;Times;Serif" w:hAnsi="Times New Roman;Times;Serif"/>
          <w:b w:val="false"/>
          <w:i w:val="false"/>
          <w:caps w:val="false"/>
          <w:smallCaps w:val="false"/>
          <w:sz w:val="20"/>
        </w:rPr>
        <w:t> shall not be available to the Company in the event the $9,863,333.34 principal amount of the Burkhan Convertibles Notes is funded prior to the Company’s termination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Company if as of January 21, 2024, at least $24,863,333.34 principal amount of the Burkhan Convertible Notes have not been funded by Burkhan and/or its Affiliates and/or nominees following the date of this Agreement (it being understood that the aggregate principal amount of all outstanding Burkhan Convertible Notes funded up to such date shall be taken into account for the purpose of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including, for the avoidance of doubt, any amount counted for the purpose of </w:t>
      </w:r>
      <w:r>
        <w:rPr>
          <w:rFonts w:ascii="Times New Roman;Times;Serif" w:hAnsi="Times New Roman;Times;Serif"/>
          <w:b w:val="false"/>
          <w:i w:val="false"/>
          <w:caps w:val="false"/>
          <w:smallCaps w:val="false"/>
          <w:sz w:val="20"/>
          <w:u w:val="single"/>
        </w:rPr>
        <w:t>Section 10.1(h)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shall not be available to the Company in the event the $24,863,333.34 principal amount of the Burkhan Convertibles Notes is funded prior to the Company’s termination of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by written notice to Acquiror from the Company if (i) there is any breach of any representation, warranty, covenant or agreement on the part of Acquiror or Merger Sub set forth in this Agreement, such that the conditions specified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would not be satisfied at the Closing (a “</w:t>
      </w:r>
      <w:r>
        <w:rPr>
          <w:rFonts w:ascii="Times New Roman;Times;Serif" w:hAnsi="Times New Roman;Times;Serif"/>
          <w:b w:val="false"/>
          <w:i w:val="false"/>
          <w:caps w:val="false"/>
          <w:smallCaps w:val="false"/>
          <w:sz w:val="20"/>
          <w:u w:val="single"/>
        </w:rPr>
        <w:t>Terminating Acquiror Breach</w:t>
      </w:r>
      <w:r>
        <w:rPr>
          <w:rFonts w:ascii="Times New Roman;Times;Serif" w:hAnsi="Times New Roman;Times;Serif"/>
          <w:b w:val="false"/>
          <w:i w:val="false"/>
          <w:caps w:val="false"/>
          <w:smallCaps w:val="false"/>
          <w:sz w:val="20"/>
        </w:rPr>
        <w:t>”), except that, if any such Terminating Acquiror Breach is curable by Acquiror through the exercise of its commercially reasonable efforts, then, for a period until the earlier of (x) thirty (30) days after receipt by Acquiror of notice from the Company of such breach and (y) the Agreement End Date, but only as long as Acquiror continues to exercise such commercially reasonable efforts to cure such Terminating Acquiror Breach (the “</w:t>
      </w:r>
      <w:r>
        <w:rPr>
          <w:rFonts w:ascii="Times New Roman;Times;Serif" w:hAnsi="Times New Roman;Times;Serif"/>
          <w:b w:val="false"/>
          <w:i w:val="false"/>
          <w:caps w:val="false"/>
          <w:smallCaps w:val="false"/>
          <w:sz w:val="20"/>
          <w:u w:val="single"/>
        </w:rPr>
        <w:t>Acquiror Cure Period</w:t>
      </w:r>
      <w:r>
        <w:rPr>
          <w:rFonts w:ascii="Times New Roman;Times;Serif" w:hAnsi="Times New Roman;Times;Serif"/>
          <w:b w:val="false"/>
          <w:i w:val="false"/>
          <w:caps w:val="false"/>
          <w:smallCaps w:val="false"/>
          <w:sz w:val="20"/>
        </w:rPr>
        <w:t xml:space="preserve">”), such termination shall not be effective, and such termination shall become effective only if the Terminating Acquiror Breach is not cured within the Acquiror Cure Period or (ii) the Closing has not occurred on or before the Agreement End Date, unless the Company is in material breach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have the right to terminate this Agreement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xml:space="preserve"> if the Company is then in breach of any of its covenants, agreements, representations or warranties contained in this Agreement, which breach would cause any condition set forth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as applicable, not to be satisfied;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right to terminate this Agreement pursuant to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10.1(j)</w:t>
      </w:r>
      <w:r>
        <w:rPr>
          <w:rFonts w:ascii="Times New Roman;Times;Serif" w:hAnsi="Times New Roman;Times;Serif"/>
          <w:b w:val="false"/>
          <w:i w:val="false"/>
          <w:caps w:val="false"/>
          <w:smallCaps w:val="false"/>
          <w:sz w:val="20"/>
        </w:rPr>
        <w:t> shall not be available to the Company in the event that the breach of or failure to perform any provision of this Agreement by the Company is the proximate cause of the failure of the Closing to be consummated by the Agreement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this Agreement shall forthwith become void and have no effect, without any liability on the part of any party hereto or its respective Affiliates, officers, directors or stockholders, except that the provisions of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the Confidentiality Agreement shall survive any termination of this Agreement. Nothing herein shall relieve any Party from liability for any willful and material breach of this Agreement or actual fraud occurring prior to such termination.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Trust Account Waiver</w:t>
      </w:r>
      <w:r>
        <w:rPr>
          <w:rFonts w:ascii="Times New Roman;Times;Serif" w:hAnsi="Times New Roman;Times;Serif"/>
          <w:b w:val="false"/>
          <w:i w:val="false"/>
          <w:caps w:val="false"/>
          <w:smallCaps w:val="false"/>
          <w:sz w:val="20"/>
        </w:rPr>
        <w:t>. The Company acknowledges that Acquiror is a blank check company with the powers and privileges to effect a Business Combination. The Company further acknowledges that, as described in the prospectus dated December 10, 2021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available at www.sec.gov, substantially all of Acquiror assets consist of the cash proceeds of Acquiror’s initial public offering and private placements of its securities and substantially all of those proceeds have been deposited in a trust account for the benefit of Acquiror, certain of its public stockholders and the underwriters of Acquiror’s initial public offering (the “</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xml:space="preserve">”). The Company acknowledges that, except with respect to interest earned on the funds held in the Trust Account that may be released to Acquiror to pay its franchise Tax, income Tax and similar obligations, the Trust Agreement provides that cash in the Trust Account may be disbursed only: (i) upon the completion of the initial Business Combination; (ii) upon the redemption of 100% of the shares of Acquiror Common Stock included in the units issued in Acquiror’s initial public offering if Acquiror is unable to complete its initial Business Combination within twenty-four (24) months from the closing of Acquiror’s initial public offering (subject to any Extension); or (iii) the redemption of shares in connection with a stockholder vote to amend any provisions of the Second Amended and Restated Certificate of Incorporation of Acquiror, as amended, (a) to modify the substance or timing of Acquiror’s obligation to provide for the redemption of the shares of Acquiror Common Stock included in the units issued in Acquiror’s initial public offering in connection with an initial Business Combination to redeem 100% of such shares if Acquiror has not consummated an initial Business Combination within twenty-four (24) months from the closing of Acquiror’s initial public offering (subject to any Extension) or (b) with respect to any other provision relating to stockholders’ rights or pre-initial Business Combination activity as described therein. For and in consideration of Acquiror entering into this Agreement, the receipt and sufficiency of which are hereby acknowledged, the Company hereby irrevocably waives any right, title, interest or claim of any kind they have or may have in the future in or to any monies in the Trust Account (including any distributions therefrom) and agrees not to seek recourse against the Trust Account or any funds distributed therefrom as a result of, or arising out of, this Agreement and any negotiations, Contracts or agreements with Acquiror;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herein shall serve to limit or prohibit the Company’s right to pursue a claim against Acquiror for legal relief against monies or other assets held outside the Trust Account, for specific performance or other equitable relief in connection with the consummation of the transactions (including a claim for Acquiror to specifically perform its obligations under this Agreement and cause the disbursement of the balance of the cash remaining in the Trust Account (after giving effect to the Acquiror Share Redemptions) to Acquiror in accordance with the terms of this Agreement and the Trust Agreement) so long as such claim would not affect Acquiror’s ability to fulfill its obligation to effectuate the Acquiror Share Redemptions, or for actual fraud. The Company agrees and acknowledges that such irrevocable waiver is material to this Agreement and specifically relied upon by Acquiror to induce it to enter in this Agreement, and the Company further intends and understands such waiver to be valid, binding and enforceable under applicable Law. To the extent the Company commences any action or proceeding based upon, in connection with, relating to or arising out of any matter relating to Acquiror, which proceeding seeks, in whole or in part, monetary relief against Acquiror, the Company hereby acknowledges and agrees that its sole remedy shall be against funds held outside of the Trust Account and that such claim shall not permit the Company (or any party claiming on the Company’s behalf or in lieu of the Company) to have any claim against the Trust Account (including any distributions therefrom) or any amounts contained therein. In the event that the Company commences any action or proceeding based upon, in connection with, relating to or arising out of any matter relating to Acquiror, which proceeding seeks, in whole or in part, relief against the Trust Account (including any distributions therefrom) or the holders of Acquiror Common Stock, whether in the form of money damages or injunctive relief, Acquiror shall be entitled to recover from the Company the associated legal fees and costs in connection with any such action, in the event Acquiror prevails in such action or proceeding.</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party to this Agreement may, at any time prior to the Closing, by action taken by its board of directors, board of managers, managing member or other officers or Persons thereunto duly authorized, to the extent permitted by Law, (a) extend the time for the performance of the obligations or acts of the other Parties, (b) waive any inaccuracies in the representations and warranties (of another party hereto) that are contained in this Agreement or (c) waive compliance by the other Parties with any of the agreements or conditions contained in this Agreement, but such extension or waiver shall be valid only if set forth in an instrument in writing signed by the party granting such extension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Acquiror or Merger Sub prior to the Closing, or to Acquiror after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BurTech Acquisition Corp.</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1300 Pennsylvania Ave NW, Suite 700</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Washington, DC 20004</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Shahal Khan</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Norton Rose Fulbright US LLP</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1301 Avenue of the Americas</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New York, New York 10019-6022</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Rajiv Khanna</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prior to the Closing, or to the Surviving Corporation after the Effective Time,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Blaize, Inc.</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4659 Golden Foothill Parkway, Suite 206</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El Dorado Hills, CA 95762</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Harminder Sehmi</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 harminder.sehmi@blaize.com</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Latham &amp; Watkins LLP</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811 Main Street, Suite 3700</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Houston, TX 77002</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Ryan J. Maierson; Ryan J. Lynch</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tab/>
        <w:t>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to Burkhan,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Burkhan Capital LLC</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1300 Pennsylvania Ave NW, Suite 700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Washington, DC 20004</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Shahal Khan</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Norton Rose Fulbright US LLP</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1301 Avenue of the Americas</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New York, New York 10019-6022</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Attention: Rajiv Khanna</w:t>
      </w:r>
    </w:p>
    <w:p>
      <w:pPr>
        <w:pStyle w:val="TextBody"/>
        <w:bidi w:val="0"/>
        <w:spacing w:before="0" w:after="0"/>
        <w:ind w:left="216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No party hereto shall assign this Agreement or any part hereof without the prior written consent of the other Parties and any such transfer without prior written consent shall be void. Subject to the foregoing, this Agreement shall be binding upon and inure to the benefit of the Parties and their respective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11.5            </w:t>
      </w:r>
      <w:r>
        <w:rPr>
          <w:rFonts w:ascii="Times New Roman;Times;Serif" w:hAnsi="Times New Roman;Times;Serif"/>
          <w:b w:val="false"/>
          <w:i w:val="false"/>
          <w:caps w:val="false"/>
          <w:smallCaps w:val="false"/>
          <w:sz w:val="20"/>
          <w:u w:val="single"/>
        </w:rPr>
        <w:t>Rights of Third Parties</w:t>
      </w:r>
      <w:r>
        <w:rPr>
          <w:rFonts w:ascii="Times New Roman;Times;Serif" w:hAnsi="Times New Roman;Times;Serif"/>
          <w:b w:val="false"/>
          <w:i w:val="false"/>
          <w:caps w:val="false"/>
          <w:smallCaps w:val="false"/>
          <w:sz w:val="20"/>
        </w:rPr>
        <w:t xml:space="preserve">. Nothing expressed or implied in this Agreement is intended or shall be construed to confer upon or give any Person, other than the Parties, any right or remedies under or by reason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D&amp;O Indemnified Parties and the past, present and future directors, managers,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w:t>
      </w:r>
      <w:r>
        <w:rPr>
          <w:rFonts w:ascii="Times New Roman;Times;Serif" w:hAnsi="Times New Roman;Times;Serif"/>
          <w:b w:val="false"/>
          <w:i w:val="false"/>
          <w:caps w:val="false"/>
          <w:smallCaps w:val="false"/>
          <w:sz w:val="20"/>
          <w:u w:val="single"/>
        </w:rPr>
        <w:t>Section 11.16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11.6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Except as otherwise set forth in this Agreement, each party hereto shall be responsible for and pay its own expenses incurred in connection with this Agreement and the Transactions, including all fees of its legal counsel, financial advisors and accountants;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Closing shall occur, Acquiror shall pay the Acquiror Transaction Expenses and the Company Transaction Expenses, in accordance with </w:t>
      </w:r>
      <w:r>
        <w:rPr>
          <w:rFonts w:ascii="Times New Roman;Times;Serif" w:hAnsi="Times New Roman;Times;Serif"/>
          <w:b w:val="false"/>
          <w:i w:val="false"/>
          <w:caps w:val="false"/>
          <w:smallCaps w:val="false"/>
          <w:sz w:val="20"/>
          <w:u w:val="single"/>
        </w:rPr>
        <w:t>Section 2.4(c)</w:t>
      </w:r>
      <w:r>
        <w:rPr>
          <w:rFonts w:ascii="Times New Roman;Times;Serif" w:hAnsi="Times New Roman;Times;Serif"/>
          <w:b w:val="false"/>
          <w:i w:val="false"/>
          <w:caps w:val="false"/>
          <w:smallCaps w:val="false"/>
          <w:sz w:val="20"/>
        </w:rPr>
        <w:t xml:space="preserve">. For the avoidance of doubt, any payments to be made (or to cause to be made) by Acquiror pursuant to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shall be paid upon consummation of the Merger and release of proceeds from the Trust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11.8            </w:t>
      </w:r>
      <w:r>
        <w:rPr>
          <w:rFonts w:ascii="Times New Roman;Times;Serif" w:hAnsi="Times New Roman;Times;Serif"/>
          <w:b w:val="false"/>
          <w:i w:val="false"/>
          <w:caps w:val="false"/>
          <w:smallCaps w:val="false"/>
          <w:sz w:val="20"/>
          <w:u w:val="single"/>
        </w:rPr>
        <w:t>Headings; Counterparts</w:t>
      </w:r>
      <w:r>
        <w:rPr>
          <w:rFonts w:ascii="Times New Roman;Times;Serif" w:hAnsi="Times New Roman;Times;Serif"/>
          <w:b w:val="false"/>
          <w:i w:val="false"/>
          <w:caps w:val="false"/>
          <w:smallCaps w:val="false"/>
          <w:sz w:val="20"/>
        </w:rPr>
        <w:t>. The headings in this Agreement are for convenience only and shall not be considered a part of or affect the construction or interpretation of any provision of this Agreement. This Agreement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11.9            </w:t>
      </w:r>
      <w:r>
        <w:rPr>
          <w:rFonts w:ascii="Times New Roman;Times;Serif" w:hAnsi="Times New Roman;Times;Serif"/>
          <w:b w:val="false"/>
          <w:i w:val="false"/>
          <w:caps w:val="false"/>
          <w:smallCaps w:val="false"/>
          <w:sz w:val="20"/>
          <w:u w:val="single"/>
        </w:rPr>
        <w:t>Company and Acquiror Disclosure Letters</w:t>
      </w:r>
      <w:r>
        <w:rPr>
          <w:rFonts w:ascii="Times New Roman;Times;Serif" w:hAnsi="Times New Roman;Times;Serif"/>
          <w:b w:val="false"/>
          <w:i w:val="false"/>
          <w:caps w:val="false"/>
          <w:smallCaps w:val="false"/>
          <w:sz w:val="20"/>
        </w:rPr>
        <w:t>. The Company Disclosure Letter and the Acquiror Disclosure Letter (including, in each case, any section thereof) referenced herein are a part of this Agreement as if fully set forth herein. All references herein to the Company Disclosure Letter and/or the Acquiror Disclosure Letter (including, in each case, any section thereof) shall be deemed references to such parts of this Agreement, unless the context shall otherwise require. Any disclosure made by a party in the applicable Disclosure Letter, or any section thereof, with reference to any section of this Agreement or section of the applicable Disclosure Letter shall be deemed to be a disclosure with respect to such other applicable sections of this Agreement or sections of applicable Disclosure Letter if it is reasonably apparent on the face of such disclosure that such disclosure is responsive to such other section of this Agreement or section of the applicable Disclosure Letter. Certain information set forth in the Disclosure Letters is included solely for informational purposes and may not be required to be disclosed pursuant to this Agreement. The disclosure of any information shall not be deemed to constitute an acknowledgment that such information is required to be disclosed in connection with the representations and warranties made in this Agreement, nor shall such information be deemed to establish a standard of materiality.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(a) This Agreement (together with the Company Disclosure Letter and the Acquiror Disclosure Letter), (b) the Ancillary Agreements and (c) the Confidentiality Agreement, dated as of June 9, 2023, between Acquiror and the Company or its Affiliate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constitute the entire agreement among the Parties relating to the Transactions and supersede any other agreements, whether written or oral, that may have been made or entered into by or among any of the Parties or any of their respective Subsidiaries relating to the Transactions. No representations, warranties, covenants, understandings, agreements, oral or otherwise, relating to the Transactions exist between such Parties except as expressly set forth in this Agreement, the Ancillary Agreements and the Confidentiality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be amended or modified in whole or in part, only by a duly authorized agreement in writing executed in the same manner as this Agreement and which makes reference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val="false"/>
          <w:caps w:val="false"/>
          <w:smallCaps w:val="false"/>
          <w:sz w:val="20"/>
          <w:u w:val="single"/>
        </w:rPr>
        <w:t>Publicity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press releases or other public communications relating to the Transactions, and the method of the release for publication thereof, shall prior to the Closing be subject to the prior mutual approval of Acquiror and the Company, which approval shall not be unreasonably withheld, conditioned or delayed by any such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Party shall be required to obtain consent pursuant to this </w:t>
      </w:r>
      <w:r>
        <w:rPr>
          <w:rFonts w:ascii="Times New Roman;Times;Serif" w:hAnsi="Times New Roman;Times;Serif"/>
          <w:b w:val="false"/>
          <w:i w:val="false"/>
          <w:caps w:val="false"/>
          <w:smallCaps w:val="false"/>
          <w:sz w:val="20"/>
          <w:u w:val="single"/>
        </w:rPr>
        <w:t>Section 11.12(a)</w:t>
      </w:r>
      <w:r>
        <w:rPr>
          <w:rFonts w:ascii="Times New Roman;Times;Serif" w:hAnsi="Times New Roman;Times;Serif"/>
          <w:b w:val="false"/>
          <w:i w:val="false"/>
          <w:caps w:val="false"/>
          <w:smallCaps w:val="false"/>
          <w:sz w:val="20"/>
        </w:rPr>
        <w:t xml:space="preserve"> to the extent any proposed release or statement is substantially equivalent to the information that has previously been made public without breach of the obligation under this </w:t>
      </w:r>
      <w:r>
        <w:rPr>
          <w:rFonts w:ascii="Times New Roman;Times;Serif" w:hAnsi="Times New Roman;Times;Serif"/>
          <w:b w:val="false"/>
          <w:i w:val="false"/>
          <w:caps w:val="false"/>
          <w:smallCaps w:val="false"/>
          <w:sz w:val="20"/>
          <w:u w:val="single"/>
        </w:rPr>
        <w:t>Section 11.12(a)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restriction in </w:t>
      </w:r>
      <w:r>
        <w:rPr>
          <w:rFonts w:ascii="Times New Roman;Times;Serif" w:hAnsi="Times New Roman;Times;Serif"/>
          <w:b w:val="false"/>
          <w:i w:val="false"/>
          <w:caps w:val="false"/>
          <w:smallCaps w:val="false"/>
          <w:sz w:val="20"/>
          <w:u w:val="single"/>
        </w:rPr>
        <w:t>Section 11.12(a)</w:t>
      </w:r>
      <w:r>
        <w:rPr>
          <w:rFonts w:ascii="Times New Roman;Times;Serif" w:hAnsi="Times New Roman;Times;Serif"/>
          <w:b w:val="false"/>
          <w:i w:val="false"/>
          <w:caps w:val="false"/>
          <w:smallCaps w:val="false"/>
          <w:sz w:val="20"/>
        </w:rPr>
        <w:t xml:space="preserve"> shall not apply to the extent the public announcement is required by applicable securities Laws, any Governmental Authority or stock exchange rule;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such an event, the party making the announcement shall use its commercially reasonable efforts to consult with the other party in advance as to the form, content and timing of such announcement. Disclosures resulting from the Parties’ efforts to obtain approval or early termination under the HSR Act and to make any relating filing shall be deemed not to violate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11.14          </w:t>
      </w:r>
      <w:r>
        <w:rPr>
          <w:rFonts w:ascii="Times New Roman;Times;Serif" w:hAnsi="Times New Roman;Times;Serif"/>
          <w:b w:val="false"/>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specifically set forth in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any proceeding or Action based upon, arising out of or related to this Agreement or the Transactions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Times;Serif" w:hAnsi="Times New Roman;Times;Serif"/>
          <w:b w:val="false"/>
          <w:i w:val="false"/>
          <w:caps w:val="false"/>
          <w:smallCaps w:val="false"/>
          <w:sz w:val="20"/>
          <w:u w:val="single"/>
        </w:rPr>
        <w:t>Section 11.14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11.15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shall not be required to provide any bond or other security in connection with any such injunction or specific performance. Each of the Parties to this Agreement consents to personal jurisdiction for any equitable action sought in the Delaware Court of Chancery or any state or federal court in any part of the world having competent jurisdiction. In any Action arising out of or related to this Agreement, any Ancillary Agreement or any of the exhibits or schedules hereto or thereto, or the Transactions, including the Merger, the prevailing party in such Action shall be entitled to recover all reasonable costs, fees and expenses relating thereto (including reasonable attorneys’ fees and expenses and court costs) from the other party, in addition to any other relief to which such prevailing party may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11.16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Except in the case of claims against a Person in respect of such Person’s actual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with respect to the Company, Acquiror and Merger Sub, this Agreement may only be enforced against, and any claim or cause of action based upon, arising out of, or related to this Agreement or the Transactions may only be brought against, the Company, Acquiror and Merger Sub as named parties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Acquiror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or Merger Sub under this Agreement for any claim based on, arising out of, or related to this Agreement or the Transactions.</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11.17          </w:t>
      </w:r>
      <w:r>
        <w:rPr>
          <w:rFonts w:ascii="Times New Roman;Times;Serif" w:hAnsi="Times New Roman;Times;Serif"/>
          <w:b w:val="false"/>
          <w:i w:val="false"/>
          <w:caps w:val="false"/>
          <w:smallCaps w:val="false"/>
          <w:sz w:val="20"/>
          <w:u w:val="single"/>
        </w:rPr>
        <w:t>Non-Survival of Representations, Warranties and Covenants</w:t>
      </w:r>
      <w:r>
        <w:rPr>
          <w:rFonts w:ascii="Times New Roman;Times;Serif" w:hAnsi="Times New Roman;Times;Serif"/>
          <w:b w:val="false"/>
          <w:i w:val="false"/>
          <w:caps w:val="false"/>
          <w:smallCaps w:val="false"/>
          <w:sz w:val="20"/>
        </w:rPr>
        <w:t xml:space="preserve">. Except (x) as otherwise contemplated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(y) in the case of claims against a Person in respect of such Person’s actual fraud,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each of the foregoing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11.18          </w:t>
      </w:r>
      <w:r>
        <w:rPr>
          <w:rFonts w:ascii="Times New Roman;Times;Serif" w:hAnsi="Times New Roman;Times;Serif"/>
          <w:b w:val="false"/>
          <w:i w:val="false"/>
          <w:caps w:val="false"/>
          <w:smallCaps w:val="false"/>
          <w:sz w:val="20"/>
          <w:u w:val="single"/>
        </w:rPr>
        <w:t>Conflicts and Privilege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Acquiror and the Company, on behalf of their respective successors and assigns (including, after the Closing, the Surviving Corporation), hereby agree that, in the event a dispute with respect to this Agreement or the Transactions arises after the Closing between or among (x) the Sponsor, the stockholders or holders of other equity interests of Acquiror or the Sponsor and/or any of their respective directors, members, partners, officers, employees or Affiliates (other than the Surviving Corporation) (collectively, the “</w:t>
      </w:r>
      <w:r>
        <w:rPr>
          <w:rFonts w:ascii="Times New Roman;Times;Serif" w:hAnsi="Times New Roman;Times;Serif"/>
          <w:b w:val="false"/>
          <w:i w:val="false"/>
          <w:caps w:val="false"/>
          <w:smallCaps w:val="false"/>
          <w:sz w:val="20"/>
          <w:u w:val="single"/>
        </w:rPr>
        <w:t>BAC Group</w:t>
      </w:r>
      <w:r>
        <w:rPr>
          <w:rFonts w:ascii="Times New Roman;Times;Serif" w:hAnsi="Times New Roman;Times;Serif"/>
          <w:b w:val="false"/>
          <w:i w:val="false"/>
          <w:caps w:val="false"/>
          <w:smallCaps w:val="false"/>
          <w:sz w:val="20"/>
        </w:rPr>
        <w:t>”), on the one hand, and (y) the Surviving Corporation and/or any member of the Blaize Group, on the other hand, any legal counsel, including Norton Rose Fulbright US LLP (“</w:t>
      </w:r>
      <w:r>
        <w:rPr>
          <w:rFonts w:ascii="Times New Roman;Times;Serif" w:hAnsi="Times New Roman;Times;Serif"/>
          <w:b w:val="false"/>
          <w:i w:val="false"/>
          <w:caps w:val="false"/>
          <w:smallCaps w:val="false"/>
          <w:sz w:val="20"/>
          <w:u w:val="single"/>
        </w:rPr>
        <w:t>Norton Rose</w:t>
      </w:r>
      <w:r>
        <w:rPr>
          <w:rFonts w:ascii="Times New Roman;Times;Serif" w:hAnsi="Times New Roman;Times;Serif"/>
          <w:b w:val="false"/>
          <w:i w:val="false"/>
          <w:caps w:val="false"/>
          <w:smallCaps w:val="false"/>
          <w:sz w:val="20"/>
        </w:rPr>
        <w:t>”), that represented Acquiror and/or the Sponsor prior to the Closing may represent the Sponsor and/or any other member of the BAC Group, in such dispute even though the interests of such Persons may be directly adverse to the Surviving Corporation, and even though such counsel may have represented Acquiror in a matter substantially related to such dispute, or may be handling ongoing matters for the Surviving Corporation and/or the Sponsor. Acquiror and the Company, on behalf of their respective successors and assigns (including, after the Closing,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or thereby) between or among Acquiror, the Sponsor and/or any other member of the BAC Group, on the one hand, and Norton Rose, on the other hand, the attorney/client privilege and the expectation of client confidence shall survive the Merger and belong to the BAC Group after the Closing, and shall not pass to or be claimed or controlled by the Surviving Corporation. Notwithstanding the foregoing, any privileged communications or information shared by the Company prior to the Closing with Acquiror or the Sponsor under a common interest agreement shall remain the privileged communications or information of the Surviving Corporation.</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Acquiror and the Company, on behalf of their respective successors and assigns (including, after the Closing, the Surviving Corporation), hereby agree that, in the event a dispute with respect to this Agreement or the Transactions arises after the Closing between or among (x) the stockholders or holders of other equity interests of the Company and any of their respective directors, members, partners, officers, employees or Affiliates (other than the Surviving Corporation) (collectively, the “</w:t>
      </w:r>
      <w:r>
        <w:rPr>
          <w:rFonts w:ascii="Times New Roman;Times;Serif" w:hAnsi="Times New Roman;Times;Serif"/>
          <w:b w:val="false"/>
          <w:i w:val="false"/>
          <w:caps w:val="false"/>
          <w:smallCaps w:val="false"/>
          <w:sz w:val="20"/>
          <w:u w:val="single"/>
        </w:rPr>
        <w:t>Blaize Group</w:t>
      </w:r>
      <w:r>
        <w:rPr>
          <w:rFonts w:ascii="Times New Roman;Times;Serif" w:hAnsi="Times New Roman;Times;Serif"/>
          <w:b w:val="false"/>
          <w:i w:val="false"/>
          <w:caps w:val="false"/>
          <w:smallCaps w:val="false"/>
          <w:sz w:val="20"/>
        </w:rPr>
        <w:t>”), on the one hand, and (y) the Surviving Corporation and/or any member of the BAC Group, on the other hand, any legal counsel, including Latham &amp; Watkins LLP (“</w:t>
      </w:r>
      <w:r>
        <w:rPr>
          <w:rFonts w:ascii="Times New Roman;Times;Serif" w:hAnsi="Times New Roman;Times;Serif"/>
          <w:b w:val="false"/>
          <w:i w:val="false"/>
          <w:caps w:val="false"/>
          <w:smallCaps w:val="false"/>
          <w:sz w:val="20"/>
          <w:u w:val="single"/>
        </w:rPr>
        <w:t>Latham</w:t>
      </w:r>
      <w:r>
        <w:rPr>
          <w:rFonts w:ascii="Times New Roman;Times;Serif" w:hAnsi="Times New Roman;Times;Serif"/>
          <w:b w:val="false"/>
          <w:i w:val="false"/>
          <w:caps w:val="false"/>
          <w:smallCaps w:val="false"/>
          <w:sz w:val="20"/>
        </w:rPr>
        <w:t>”) that represented the Company prior to the Closing may represent any member of the Blaize Group in such dispute even though the interests of such Persons may be directly adverse to the Surviving Corporation, and even though such counsel may have represented Acquiror and/or the Company in a matter substantially related to such dispute, or may be handling ongoing matters for the Surviving Corporation, further agree that, as to all legally privileged communications prior to the Closing (made in connection with the negotiation, preparation, execution, delivery and performance under, or any dispute or Action arising out of or relating to, this Agreement, any Ancillary Agreements or the Transactions or thereby) between or among the Company and/or any member of the Blaize Group, on the one hand, and Latham, on the other hand, the attorney/client privilege and the expectation of client confidence shall survive the Merger and belong to the Blaize Group after the Closing, and shall not pass to or be claimed or controlled by the Surviving Corporation. Notwithstanding the foregoing, any privileged communications or information shared by Acquiror prior to the Closing with the Company under a common interest agreement shall remain the privileged communications or information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107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hereunto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1316"/>
        <w:gridCol w:w="2459"/>
        <w:gridCol w:w="384"/>
      </w:tblGrid>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BURTECH ACQUISITION CORP.</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843"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BURTECH MERGER SUB INC.</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BLAIZE, INC.</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BURKHAN CAPITAL LLC</w:t>
            </w:r>
          </w:p>
        </w:tc>
      </w:tr>
      <w:tr>
        <w:trPr/>
        <w:tc>
          <w:tcPr>
            <w:tcW w:w="75" w:type="dxa"/>
            <w:tcBorders/>
            <w:vAlign w:val="center"/>
          </w:tcPr>
          <w:p>
            <w:pPr>
              <w:pStyle w:val="TableContents"/>
              <w:bidi w:val="0"/>
              <w:spacing w:before="0" w:after="283"/>
              <w:jc w:val="left"/>
              <w:rPr/>
            </w:pPr>
            <w:r>
              <w:rPr/>
              <w:t> </w:t>
            </w:r>
          </w:p>
        </w:tc>
        <w:tc>
          <w:tcPr>
            <w:tcW w:w="4159" w:type="dxa"/>
            <w:gridSpan w:val="3"/>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 xml:space="preserve">solely for purposes of </w:t>
            </w:r>
            <w:r>
              <w:rPr>
                <w:sz w:val="20"/>
                <w:u w:val="single"/>
              </w:rPr>
              <w:t>Section 3.1</w:t>
            </w:r>
            <w:r>
              <w:rPr>
                <w:sz w:val="20"/>
              </w:rPr>
              <w:t xml:space="preserve"> and </w:t>
            </w:r>
            <w:r>
              <w:rPr>
                <w:sz w:val="20"/>
                <w:u w:val="single"/>
              </w:rPr>
              <w:t>Section 3.5</w:t>
            </w:r>
            <w:r>
              <w:rPr>
                <w:sz w:val="20"/>
              </w:rPr>
              <w:t>)</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3"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AMENDED AND RESTATED</w:t>
        <w:b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AMENDED AND RESTATED 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Company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D-1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G-1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BURKHAN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H-1</w:t>
      </w:r>
    </w:p>
    <w:p>
      <w:pPr>
        <w:pStyle w:val="TextBody"/>
        <w:bidi w:val="0"/>
        <w:ind w:left="0" w:right="0" w:hanging="0"/>
        <w:jc w:val="right"/>
        <w:rPr/>
      </w:pPr>
      <w:bookmarkStart w:id="32" w:name="tm2333322d3_ex10-1.htm"/>
      <w:bookmarkStart w:id="33" w:name="kstm2333322d3_ex101"/>
      <w:bookmarkEnd w:id="32"/>
      <w:bookmarkEnd w:id="3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December 22, 2023, by and among BurTech Acquisition Corp., a Delaware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xml:space="preserve">”), the Persons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(each, a “</w:t>
      </w:r>
      <w:r>
        <w:rPr>
          <w:rFonts w:ascii="Times New Roman;Times;Serif" w:hAnsi="Times New Roman;Times;Serif"/>
          <w:b w:val="false"/>
          <w:i w:val="false"/>
          <w:caps w:val="false"/>
          <w:smallCaps w:val="false"/>
          <w:sz w:val="20"/>
          <w:u w:val="single"/>
        </w:rPr>
        <w:t>Company 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Company Stockholders</w:t>
      </w:r>
      <w:r>
        <w:rPr>
          <w:rFonts w:ascii="Times New Roman;Times;Serif" w:hAnsi="Times New Roman;Times;Serif"/>
          <w:b w:val="false"/>
          <w:i w:val="false"/>
          <w:caps w:val="false"/>
          <w:smallCaps w:val="false"/>
          <w:sz w:val="20"/>
        </w:rPr>
        <w:t>”), which include all Company Stockholders holding shares of the Company Common Stock, and any other Company Securities having the right to vote generally in any election of directors of the Company Board, collectively representing at least five percent (5%) of the outstanding shares of Company Common Stock on an as-converted basis, and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respective meanings ascribed to such terms in the Merger Agreement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Company Stockholders are the holders of record and the “beneficial owners” (within the meaning of Rule 13d-3 under the Exchange Act) of such number of shares of Company Common Stock and Company Preferred Stock (collectively, the “</w:t>
      </w:r>
      <w:r>
        <w:rPr>
          <w:rFonts w:ascii="Times New Roman;Times;Serif" w:hAnsi="Times New Roman;Times;Serif"/>
          <w:b w:val="false"/>
          <w:i w:val="false"/>
          <w:caps w:val="false"/>
          <w:smallCaps w:val="false"/>
          <w:sz w:val="20"/>
          <w:u w:val="single"/>
        </w:rPr>
        <w:t>Company Capital Stock</w:t>
      </w:r>
      <w:r>
        <w:rPr>
          <w:rFonts w:ascii="Times New Roman;Times;Serif" w:hAnsi="Times New Roman;Times;Serif"/>
          <w:b w:val="false"/>
          <w:i w:val="false"/>
          <w:caps w:val="false"/>
          <w:smallCaps w:val="false"/>
          <w:sz w:val="20"/>
        </w:rPr>
        <w:t xml:space="preserve">”) as are indicated opposite each of their names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(all such shares of Company Capital Stock, together with any shares of Company Capital Stock or any other equity securities of the Company of which ownership of record or the power to vote (including, without limitation, by proxy or power of attorney) is hereafter acquired by any such Company Stockholder during the period from the date hereof through the Expiration Time (as defined below) applicable to such Company Stockholder, including by purchase, as a result of a share dividend, share split, recapitalization, combination, reclassification, exchange or change of such shares, or upon the grant, vesting or exercise of any outstanding equity award, or upon exercise or conversion of any other securities, are referred to herein as the “</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contemporaneously with the execution and delivery of this Agreement, Acquiror, BurTech Merger Sub Inc., a Delaware corporation and a direct wholly owned subsidiary of Acquiror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the Company, and, solely for limited purposes set forth therein, Burkhan Capital LLC, a Delaware limited liability company, entered into an Agreement and Plan of Merger (as amended or modified from time to time, the “</w:t>
      </w:r>
      <w:r>
        <w:rPr>
          <w:rFonts w:ascii="Times New Roman;Times;Serif" w:hAnsi="Times New Roman;Times;Serif"/>
          <w:b w:val="false"/>
          <w:i w:val="false"/>
          <w:caps w:val="false"/>
          <w:smallCaps w:val="false"/>
          <w:sz w:val="20"/>
          <w:u w:val="single"/>
        </w:rPr>
        <w:t>Merger Agreemen</w:t>
      </w:r>
      <w:r>
        <w:rPr>
          <w:rFonts w:ascii="Times New Roman;Times;Serif" w:hAnsi="Times New Roman;Times;Serif"/>
          <w:b w:val="false"/>
          <w:i w:val="false"/>
          <w:caps w:val="false"/>
          <w:smallCaps w:val="false"/>
          <w:sz w:val="20"/>
        </w:rPr>
        <w:t>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with the Company surviving the Merger as a wholly owned subsidiary of Acquiror;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to Acquiror and the Company to enter into the Merger Agreement and to consummate the transactions contemplated therein, the parties hereto desire to agree to certain matters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agreements contained herein, and intending to be legally bound hereby,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stockholder SUPPORT AGREEMENT;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Binding Effect of Merger Agreement</w:t>
      </w:r>
      <w:r>
        <w:rPr>
          <w:rFonts w:ascii="Times New Roman;Times;Serif" w:hAnsi="Times New Roman;Times;Serif"/>
          <w:b w:val="false"/>
          <w:i w:val="false"/>
          <w:caps w:val="false"/>
          <w:smallCaps w:val="false"/>
          <w:sz w:val="20"/>
        </w:rPr>
        <w:t>. Each Company Stockholder hereby acknowledges that it has read the Merger Agreement and this Agreement and has had the opportunity to consult with its tax and legal advisors. Each Company Stockholder shall be bound by and comply with Sections 8.7 (</w:t>
      </w:r>
      <w:r>
        <w:rPr>
          <w:rFonts w:ascii="Times New Roman;Times;Serif" w:hAnsi="Times New Roman;Times;Serif"/>
          <w:b w:val="false"/>
          <w:i/>
          <w:caps w:val="false"/>
          <w:smallCaps w:val="false"/>
          <w:sz w:val="20"/>
        </w:rPr>
        <w:t>Exclusivity</w:t>
      </w:r>
      <w:r>
        <w:rPr>
          <w:rFonts w:ascii="Times New Roman;Times;Serif" w:hAnsi="Times New Roman;Times;Serif"/>
          <w:b w:val="false"/>
          <w:i w:val="false"/>
          <w:caps w:val="false"/>
          <w:smallCaps w:val="false"/>
          <w:sz w:val="20"/>
        </w:rPr>
        <w:t>) in respect of Company Acquisition Proposals, 11.12 (</w:t>
      </w:r>
      <w:r>
        <w:rPr>
          <w:rFonts w:ascii="Times New Roman;Times;Serif" w:hAnsi="Times New Roman;Times;Serif"/>
          <w:b w:val="false"/>
          <w:i/>
          <w:caps w:val="false"/>
          <w:smallCaps w:val="false"/>
          <w:sz w:val="20"/>
        </w:rPr>
        <w:t>Publicity</w:t>
      </w:r>
      <w:r>
        <w:rPr>
          <w:rFonts w:ascii="Times New Roman;Times;Serif" w:hAnsi="Times New Roman;Times;Serif"/>
          <w:b w:val="false"/>
          <w:i w:val="false"/>
          <w:caps w:val="false"/>
          <w:smallCaps w:val="false"/>
          <w:sz w:val="20"/>
        </w:rPr>
        <w:t>) of the Merger Agreement, Section 8.3 (</w:t>
      </w:r>
      <w:r>
        <w:rPr>
          <w:rFonts w:ascii="Times New Roman;Times;Serif" w:hAnsi="Times New Roman;Times;Serif"/>
          <w:b w:val="false"/>
          <w:i/>
          <w:caps w:val="false"/>
          <w:smallCaps w:val="false"/>
          <w:sz w:val="20"/>
        </w:rPr>
        <w:t>Support of Transaction</w:t>
      </w:r>
      <w:r>
        <w:rPr>
          <w:rFonts w:ascii="Times New Roman;Times;Serif" w:hAnsi="Times New Roman;Times;Serif"/>
          <w:b w:val="false"/>
          <w:i w:val="false"/>
          <w:caps w:val="false"/>
          <w:smallCaps w:val="false"/>
          <w:sz w:val="20"/>
        </w:rPr>
        <w:t>) of the Merger Agreement and Section 11.1 (</w:t>
      </w:r>
      <w:r>
        <w:rPr>
          <w:rFonts w:ascii="Times New Roman;Times;Serif" w:hAnsi="Times New Roman;Times;Serif"/>
          <w:b w:val="false"/>
          <w:i/>
          <w:caps w:val="false"/>
          <w:smallCaps w:val="false"/>
          <w:sz w:val="20"/>
        </w:rPr>
        <w:t>Trust Account Waiver</w:t>
      </w:r>
      <w:r>
        <w:rPr>
          <w:rFonts w:ascii="Times New Roman;Times;Serif" w:hAnsi="Times New Roman;Times;Serif"/>
          <w:b w:val="false"/>
          <w:i w:val="false"/>
          <w:caps w:val="false"/>
          <w:smallCaps w:val="false"/>
          <w:sz w:val="20"/>
        </w:rPr>
        <w:t>) of the Merger Agreement (and any relevant definitions contained in any such Sections) as if (x) such Company Stockholder was an original signatory to the Merger Agreement with respect to such provisions, and (y) each reference to the “Company” contained in such provisions (other than for purposes of the definition of Company Acquisition Proposals) also referred to each such Company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No Transfer</w:t>
      </w:r>
      <w:r>
        <w:rPr>
          <w:rFonts w:ascii="Times New Roman;Times;Serif" w:hAnsi="Times New Roman;Times;Serif"/>
          <w:b w:val="false"/>
          <w:i w:val="false"/>
          <w:caps w:val="false"/>
          <w:smallCaps w:val="false"/>
          <w:sz w:val="20"/>
        </w:rPr>
        <w:t>. Except with the prior written consent of Acquiror (such consent to be given or withheld in its sole discretion), during the period commencing on the date hereof and ending on the Expiration Time, each Company Stockholder shall not (i) sell, offer to sell, contract or agree to sell, hypothecate, pledge, grant any option, right or warrant to purchase, or otherwise transfer (including by operation of Law), encumbrance, dispose of, or agree to transfer, encumbrance or dispose of, directly or indirectly, file (or participate in the filing of) a registration statement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(other than the Proxy Statement / Registration Statement) or establish or increase a put equivalent position or liquidate or decrease a call equivalent position within the meaning of Section 16 of the Exchange Act, with respect to any Subject Shares, (ii) enter into any swap or other arrangement that transfers to another, in whole or in part, any of the economic consequences of ownership of any Subject Shares or (iii) publicly announce any intention to effect any transaction specified in clause (i) or (ii) (clauses (i)-(ii) collectively,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prohibit a Transfer to an Affiliate of a Company Stockholder (a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Permitted Transfer shall be permitted only if, as a precondition to such Transfer, the transferee also agrees in a writing, reasonably satisfactory in form and substance to Acquiror, to assume all of the obligations of such Company Stockholder under, and be bound by all of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Transfer permitted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relieve a Company Stockholder of its obligations under this Agreement. Any Transfer in violation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with respect to a Company Stockholder’s Subject Shares shall be null and void. Nothing in this Agreement shall prohibit direct or indirect transfers of equity or other interests in a Company Stockholder, so long as after such transfer the Company Stockholder or the surviving entity thereof remains to be bound by all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New Shares</w:t>
      </w:r>
      <w:r>
        <w:rPr>
          <w:rFonts w:ascii="Times New Roman;Times;Serif" w:hAnsi="Times New Roman;Times;Serif"/>
          <w:b w:val="false"/>
          <w:i w:val="false"/>
          <w:caps w:val="false"/>
          <w:smallCaps w:val="false"/>
          <w:sz w:val="20"/>
        </w:rPr>
        <w:t>. In the event that, during the period commencing on the date hereof and ending at the Expiration Time, (a) any Subject Shares are issued to a Company Stockholder after the date of this Agreement pursuant to any stock dividend, stock split, recapitalization, reclassification, combination or exchange of Subject Shares or otherwise, (b) a Company Stockholder purchases or otherwise acquires beneficial ownership of any Subject Shares or (c) a Company Stockholder acquires the right to vote or share in the voting of any Subject Shares (collectively the “</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then such New Securities acquired or purchased by such Company Stockholder shall be subject to the terms of this Agreement to the same extent as if they constituted the Subject Shares owned by such Company Stockholder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Hereafter until the Expiration Time, each Company Stockholder hereby unconditionally and irrevocably agrees that, at any meeting of the stockholders of the Company (or any adjournment or postponement thereof), and in any action by written consent of the stockholders of the Company requested by the Company Board or otherwise undertaken in connection with the Transactions (which written consent shall be delivered as promptly as reasonably practicable, and in any event within two (2) Business Days, after the Proxy Statement / Registration Statement is declared effective by the SEC), such Company Stockholder shall, if a meeting is held, appear at the meeting, in person or by proxy, or otherwise cause its Subject Shares (to the extent such Subject Shares are entitled to vote or provide consent with respect to such matter) to be counted as present thereat for purposes of establishing a quorum, and such Company Stockholder shall vote or provide consent (or cause to be voted or consented), in person or by proxy, all of its Subject Shares (to the extent such Subject Shares are entitled to vote or provide consent with respect to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approve and adopt the Merger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convert each issued and outstanding share of Company Preferred Stock into one share of Company Common Stock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other circumstances upon which a consent, waiver or other approval is required under the Company’s Governing Documents or the Company Stockholder Agreements (as defined below) or otherwise sought with respect to the Merger Agreement or the Transactions, to vote, consent, waive or approve (or cause to be voted, consented, waived or approved) all of such Company Stockholder’s Subject Shares held at such time in favor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against and withhold consent with respect to any Company Acquisition Proposal or other business combination transaction (other than the Merger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against any proposal, action or agreement that would reasonably be expected to (A) impede, frustrate, prevent or nullify any provision of this Agreement, the Merger Agreement or the timely consummation of the Merger, (B) result in a breach in any respect of any covenant, representation, warranty or any other obligation or agreement of the Company under the Merger Agreement, (C) result in any of the conditions set forth in Article IX of the Merger Agreement not being fulfilled or (D) result in a breach of any covenant, representation or warranty or other obligation or agreement of such Company Stockholder contained in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approve or authorize (or to vote against or withhold consent for, as applicable) any other matters necessary or reasonably requested by the Company or Acquiror for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Company Stockholder hereby agrees that it shall not commit or agree to take any action inconsistent with the foregoing. The obligations of the Company Stockholders specified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apply whether or not the Merger or any action described above is recommended by the Company Board or the Company Board has previously recommended the Merger but changed such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No Challenges</w:t>
      </w:r>
      <w:r>
        <w:rPr>
          <w:rFonts w:ascii="Times New Roman;Times;Serif" w:hAnsi="Times New Roman;Times;Serif"/>
          <w:b w:val="false"/>
          <w:i w:val="false"/>
          <w:caps w:val="false"/>
          <w:smallCaps w:val="false"/>
          <w:sz w:val="20"/>
        </w:rPr>
        <w:t>. Each Company Stockholder agrees not to commence, join in, facilitate, assist or encourage, and agrees to take all actions necessary to opt out of any class in any class action with respect to, any claim, derivative or otherwise, against Acquiror, Merger Sub, the Company or any of their respective successors or directors (a) challenging the validity of, or seeking to enjoin or delay the operation of, any provision of this Agreement or the Merger Agreement (b) alleging a breach of any fiduciary duty of any person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Closing Date Deliverables</w:t>
      </w:r>
      <w:r>
        <w:rPr>
          <w:rFonts w:ascii="Times New Roman;Times;Serif" w:hAnsi="Times New Roman;Times;Serif"/>
          <w:b w:val="false"/>
          <w:i w:val="false"/>
          <w:caps w:val="false"/>
          <w:smallCaps w:val="false"/>
          <w:sz w:val="20"/>
        </w:rPr>
        <w:t>. Each Company Stockholder will deliver, substantially simultaneously with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extent such Company Stockholder is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a duly-executed copy of that certain Amended and Restated Registration Rights Agreement, by and among Acquiror, the Company and the other parties thereto, in substantially the form attached as Exhibit E to the Merger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such Company Stockholder will “beneficially own” (as defined in the meaning in Rule 13d-3 promulgated under the Exchange Act) equal to or greater than 5.0% of the issued and outstanding shares of Acquiror Class A Common Stock immediately following the Closing, a duly executed copy of that certain Lock-Up Agreement, by and among Acquiror, the Company and the other parties thereto, substantially in the form attached as Exhibit F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Waiver of Appraisal Rights</w:t>
      </w:r>
      <w:r>
        <w:rPr>
          <w:rFonts w:ascii="Times New Roman;Times;Serif" w:hAnsi="Times New Roman;Times;Serif"/>
          <w:b w:val="false"/>
          <w:i w:val="false"/>
          <w:caps w:val="false"/>
          <w:smallCaps w:val="false"/>
          <w:sz w:val="20"/>
        </w:rPr>
        <w:t>. Each Company Stockholder hereby agrees not to assert, exercise or perfect, directly or indirectly, and irrevocably and unconditionally waives, any appraisal rights (including under Section 262 of the Delaware General Corporation Law) with respect to the Merger and any rights to dissent with respect to the Transactions, including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Company Stockholder shall execute and deliver, or cause to be delivered, such additional documents, and take, or cause to be taken, all such further actions and do, or cause to be done, all things reasonably necessary (including under applicable Laws), or reasonably requested by Acquiror or the Company, to effect the actions and consummate the Merger and the other transactions contemplated by this Agreement and the Merger Agreement, in each case, on the terms and subject to the conditions set forth therein and herein,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No Inconsistent Agreement</w:t>
      </w:r>
      <w:r>
        <w:rPr>
          <w:rFonts w:ascii="Times New Roman;Times;Serif" w:hAnsi="Times New Roman;Times;Serif"/>
          <w:b w:val="false"/>
          <w:i w:val="false"/>
          <w:caps w:val="false"/>
          <w:smallCaps w:val="false"/>
          <w:sz w:val="20"/>
        </w:rPr>
        <w:t xml:space="preserve">. Except for the Company Stockholder Agreements or any other letter or agreement to be terminated in accordance with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each Company Stockholder hereby represents and covenants that such Company Stockholder (i) has full voting power, full power of disposition and full power to issue instructions with respect to the matters set forth herein whether by ownership or by proxy, in each case, with respect to such Stockholder’s Subject Shares, (ii) has not entered into, and shall not enter into, any voting agreement, voting trust or other agreement, and has no knowledge and is not aware of any such voting agreement or voting trust in effect, with respect to any of such Company Stockholder’s Subject Shares that is inconsistent with such Company Stockholder’s obligations pursuant to this Agreement or any agreement or amendment of an existing agreement that would, or would reasonably be expected to, restrict, limit or interfere with the performance of such Company Stockholder’s obligations hereunder, and (iii) has not granted, and shall not grant, a proxy, power of attorney or similar right with respect to any of such Company Stockholder’s Subject Shares that is inconsistent with such Company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    </w:t>
      </w:r>
      <w:r>
        <w:rPr>
          <w:rFonts w:ascii="Times New Roman;Times;Serif" w:hAnsi="Times New Roman;Times;Serif"/>
          <w:b w:val="false"/>
          <w:i w:val="false"/>
          <w:caps w:val="false"/>
          <w:smallCaps w:val="false"/>
          <w:sz w:val="20"/>
          <w:u w:val="single"/>
        </w:rPr>
        <w:t>Consent to Disclosure</w:t>
      </w:r>
      <w:r>
        <w:rPr>
          <w:rFonts w:ascii="Times New Roman;Times;Serif" w:hAnsi="Times New Roman;Times;Serif"/>
          <w:b w:val="false"/>
          <w:i w:val="false"/>
          <w:caps w:val="false"/>
          <w:smallCaps w:val="false"/>
          <w:sz w:val="20"/>
        </w:rPr>
        <w:t>. Each Company Stockholder hereby consents to the publication and disclosure in the Proxy Statement / Registration Statement (and, as and to the extent otherwise required by applicable securities Laws or the SEC or any other securities authorities, any other documents or communications provided by Acquiror or the Company to any Governmental Authority or to securityholders of Acquiror) of such Company Stockholder’s identity and beneficial ownership of Subject Shares and the nature of such Company Stockholder’s commitments, arrangements and understandings under and relating to this Agreement and, if deemed appropriate by Acquiror or the Company, a copy of this Agreement, in all cases only to the extent required by applicable law or order from the SEC or any other securities authorities, and after providing the relevant Company Stockholder reasonable opportunity to defend any requirement to disclose information which would cause such Company Stockholder to be in breach of any confidentiality obligations applicable to it. Each Company Stockholder will promptly provide any information reasonably requested by Acquiror or the Company for any regulatory application or filing made or approval sought in connection with the Transactions (including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    </w:t>
      </w:r>
      <w:r>
        <w:rPr>
          <w:rFonts w:ascii="Times New Roman;Times;Serif" w:hAnsi="Times New Roman;Times;Serif"/>
          <w:b w:val="false"/>
          <w:i w:val="false"/>
          <w:caps w:val="false"/>
          <w:smallCaps w:val="false"/>
          <w:sz w:val="20"/>
          <w:u w:val="single"/>
        </w:rPr>
        <w:t>Termination of Company Stockholder Agreements, Related Agreements</w:t>
      </w:r>
      <w:r>
        <w:rPr>
          <w:rFonts w:ascii="Times New Roman;Times;Serif" w:hAnsi="Times New Roman;Times;Serif"/>
          <w:b w:val="false"/>
          <w:i w:val="false"/>
          <w:caps w:val="false"/>
          <w:smallCaps w:val="false"/>
          <w:sz w:val="20"/>
        </w:rPr>
        <w:t xml:space="preserve">. Each of the Company Stockholders, by this Agreement with respect to its Subject Shares, severally and not jointly, and the Company hereby agrees that, subject to the Closing and effective immediately prior to the Effective Time, (a) all Affiliate Agreements to which such Company Stockholder is party that are set forth on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attached hereto (each, as amended, restated, supplemented or otherwise modified from time to time, the “</w:t>
      </w:r>
      <w:r>
        <w:rPr>
          <w:rFonts w:ascii="Times New Roman;Times;Serif" w:hAnsi="Times New Roman;Times;Serif"/>
          <w:b w:val="false"/>
          <w:i w:val="false"/>
          <w:caps w:val="false"/>
          <w:smallCaps w:val="false"/>
          <w:sz w:val="20"/>
          <w:u w:val="single"/>
        </w:rPr>
        <w:t>Company Stockholder Agreements</w:t>
      </w:r>
      <w:r>
        <w:rPr>
          <w:rFonts w:ascii="Times New Roman;Times;Serif" w:hAnsi="Times New Roman;Times;Serif"/>
          <w:b w:val="false"/>
          <w:i w:val="false"/>
          <w:caps w:val="false"/>
          <w:smallCaps w:val="false"/>
          <w:sz w:val="20"/>
        </w:rPr>
        <w:t>”); and (b) any rights under any letter or agreement providing for redemption rights, put rights, purchase rights, rights of first refusal, preemptive rights, subscription rights, registration rights, information rights, rights to consult with and advise management, inspection rights, Company Board observer rights or rights to receive information delivered to the Company Board or other similar rights (other than such rights set forth in (x) the Company’s Governing Documents and (y) the Company Stockholder Agreements) (clauses (a) and (b), collectively, the “</w:t>
      </w:r>
      <w:r>
        <w:rPr>
          <w:rFonts w:ascii="Times New Roman;Times;Serif" w:hAnsi="Times New Roman;Times;Serif"/>
          <w:b w:val="false"/>
          <w:i w:val="false"/>
          <w:caps w:val="false"/>
          <w:smallCaps w:val="false"/>
          <w:sz w:val="20"/>
          <w:u w:val="single"/>
        </w:rPr>
        <w:t>Terminating Rights</w:t>
      </w:r>
      <w:r>
        <w:rPr>
          <w:rFonts w:ascii="Times New Roman;Times;Serif" w:hAnsi="Times New Roman;Times;Serif"/>
          <w:b w:val="false"/>
          <w:i w:val="false"/>
          <w:caps w:val="false"/>
          <w:smallCaps w:val="false"/>
          <w:sz w:val="20"/>
        </w:rPr>
        <w:t xml:space="preserve">”) between such Company Stockholder and the Company or any Subsidiary thereof (but excluding, (i) for the avoidance of doubt, any rights such Company Stockholder may have that relate to any commercial or employment agreements or arrangements between such Company Stockholder and the Company or any Subsidiary thereof, which shall survive the Closing in accordance with their terms, and (ii) any indemnification, advancement of expenses and exculpation rights of any Company Stockholder or any of its Affiliates set forth in the foregoing documents, which shall survive the Closing in accordance with their terms) are terminated;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all Terminating Rights between the Company and any other holder of Company Capital Stock shall also terminate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sz w:val="20"/>
          <w:u w:val="single"/>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Representations and Warranties of the Company Stockholders</w:t>
      </w:r>
      <w:r>
        <w:rPr>
          <w:rFonts w:ascii="Times New Roman;Times;Serif" w:hAnsi="Times New Roman;Times;Serif"/>
          <w:b w:val="false"/>
          <w:i w:val="false"/>
          <w:caps w:val="false"/>
          <w:smallCaps w:val="false"/>
          <w:sz w:val="20"/>
        </w:rPr>
        <w:t>. Each Company Stockholder represents and warrants as of the date hereof to Acquiror and the Company (solely with respect to itself, himself or herself and not with respect to any other Company Stockholder)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Due Authorization</w:t>
      </w:r>
      <w:r>
        <w:rPr>
          <w:rFonts w:ascii="Times New Roman;Times;Serif" w:hAnsi="Times New Roman;Times;Serif"/>
          <w:b w:val="false"/>
          <w:i w:val="false"/>
          <w:caps w:val="false"/>
          <w:smallCaps w:val="false"/>
          <w:sz w:val="20"/>
        </w:rPr>
        <w:t>. If such Company Stockholder is not an individual, it is duly organized, validly existing and in good standing (or the equivalent thereof) under the Laws of the jurisdiction in which it is incorporated, formed, organized or constituted, and the execution, delivery and performance of this Agreement and the consummation of the transactions contemplated hereby are within such Company Stockholder’s corporate, limited liability company or organizational powers and have been duly authorized by all necessary corporate, limited liability company or organizational actions on the part of such Company Stockholder. If such Company Stockholder is an individual, such Company Stockholder has full legal capacity, right and authority to execute and deliver this Agreement and to perform his or her obligations hereunder. This Agreement has been duly executed and delivered by such Company Stockholder and, assuming due authorization, execution and delivery by the other parties to this Agreement, this Agreement constitutes a legally valid and binding obligation of such Company Stockholder, enforceable against such Company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Company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Such Company Stockholder is the record and beneficial owner (as defined in the Securities Act) of, and has good, valid and marketable title to, all of such Company Stockholder’s Subject Shares, and there exist no Liens or any other limitation or restriction (including any restriction on the right to vote, sell or otherwise dispose of such Subject Shares (other than transfer restrictions under the Securities Act)) affecting any such Subject Shares, other than Liens pursuant to (i) this Agreement, (ii) the Company’s Governing Documents, (iii) the Merger Agreement, (iv) the Company Stockholder Agreements or (v) any applicable securities Laws. Such Company Stockholder’s Subject Shares are the only equity securities in the Company owned of record or beneficially by such Company Stockholder on the date of this Agreement, and none of such Company Stockholder’s Subject Shares are subject to any proxy, voting trust or other agreement or arrangement with respect to the voting of such Subject Shares, except as provided hereunder and under the Company Stockholder Agreements. Other than the Company Warrants and any Company Options set forth opposite such Company Stockholder’s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such Company Stockholder does not hold or own any rights to acquire (directly or indirectly) any equity securities of the Company or any securities convertible into, or which can be exchanged for, equity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Consent</w:t>
      </w:r>
      <w:r>
        <w:rPr>
          <w:rFonts w:ascii="Times New Roman;Times;Serif" w:hAnsi="Times New Roman;Times;Serif"/>
          <w:b w:val="false"/>
          <w:i w:val="false"/>
          <w:caps w:val="false"/>
          <w:smallCaps w:val="false"/>
          <w:sz w:val="20"/>
        </w:rPr>
        <w:t>. No consent, approval or authorization of, or designation, declaration or filing with, any Governmental Authority is required on the part of the Company Stockholder with respect to the Company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the Company Stockholder to perform, or otherwise comply with, any of its covenants, agreements or obligations hereunder in any material respect, or which have already been obtained in advance of the Company Stockholder’s entry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and delivery of this Agreement by such Company Stockholder does not, and the performance by such Company Stockholder of his, her or its obligations hereunder will not, (i) if such Company Stockholder is not an individual, conflict with or result in a violation of the organizational documents of such Company Stockholder, (ii) with or without notice, lapse of time or both, a breach or violation of, a termination (or right of termination) of or a default under, the loss of any benefit under, the creation, modification or acceleration of any obligations under any Contract binding upon such Company Stockholder or, assuming (solely with respect to performance of this Agreement and the transactions contemplated hereby) compliance with the matters referred to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under any applicable Law to which such Company Stockholder or any of its properties or assets is subject, (iii) any change in the rights or obligations of any party under any Contract legally binding upon such Company Stockholder, or (iv) other than the restrictions contemplated by this Agreement, result in the creation of any Lien upon the Subject Shares, except, in the case of clause (ii) or (iii) directly above, for any such breach, violation, termination, default, creation, acceleration or change that would not, individually or in the aggregate, reasonably be expected to prevent or materially delay or impair such Company Stockholder’s ability to perform, or otherwise comply with, any of its covenants, agreements or obligations hereunder or to consummate the transactions contemplated hereby, the consummation of the Merger or the other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pending against such Company Stockholder, or to the knowledge of such Company Stockholder threatened against such Company Stockholder, before (or, in the case of threatened Actions, that would be before) any arbitrator or any Governmental Authority, which in any manner challenges or seeks to prevent, enjoin or materially delay the performance by such Company Stockholder of its, his or her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Adequate Information</w:t>
      </w:r>
      <w:r>
        <w:rPr>
          <w:rFonts w:ascii="Times New Roman;Times;Serif" w:hAnsi="Times New Roman;Times;Serif"/>
          <w:b w:val="false"/>
          <w:i w:val="false"/>
          <w:caps w:val="false"/>
          <w:smallCaps w:val="false"/>
          <w:sz w:val="20"/>
        </w:rPr>
        <w:t>. Such Company Stockholder is a sophisticated stockholder and has adequate information concerning the business and financial condition of Acquiror and the Company to make an informed decision regarding this Agreement and the Transactions and has independently and without reliance upon Acquiror or the Company and based on such information as such Company Stockholder has deemed appropriate, made its own analysis and decision to enter into this Agreement. Such Company Stockholder acknowledges that Acquiror and the Company have not made and do not make any representation or warranty, whether express or implied, of any kind or character except as expressly set forth in this Agreement and the Merger Agreement. Such Company Stockholder acknowledges that the agreements contained herein with respect to the Subject Shares held by such Company Stockholder are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Brokerage Fees</w:t>
      </w:r>
      <w:r>
        <w:rPr>
          <w:rFonts w:ascii="Times New Roman;Times;Serif" w:hAnsi="Times New Roman;Times;Serif"/>
          <w:b w:val="false"/>
          <w:i w:val="false"/>
          <w:caps w:val="false"/>
          <w:smallCaps w:val="false"/>
          <w:sz w:val="20"/>
        </w:rPr>
        <w:t>. No broker, finder, investment banker or other Person is entitled to any brokerage fee, finders’ fee or other commission in connection with the transactions contemplated by the Merger Agreement based upon arrangements made by such Company Stockholder in his, her or its capacity as a stockholder or, to the knowledge of such Company Stockholder, on behalf of such Company Stockholder in his, her or its capacity as a stockholder, for which the Company or any of its Affiliates may become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Such Company Stockholder understands and acknowledges that each of Acquiror and the Company is entering into the Merger Agreement in reliance upon such Company Stockholder’s execution and delivery of this Agreement, and the representations, warranties, covenants and other agreements of such Company Stockholder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all of its provisions shall terminate and be of no further force or effect upon the earliest to occur of (a) the Effective Time, (b) such date and time as the Merger Agreement shall be terminated in accordance with Section 10.1 thereof (the earlier of (a) and (b), the “</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xml:space="preserve">”) and (c) as to each Company Stockholder, upon the written agreement of Acquiror, the Company and such Company Stockholder;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termination of this Agreement shall not be interpreted or construed as the termination of, or otherwise limit the effect of, any lock-up provision such Company Stockholders agrees to in connection with the Transactions.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termination of this Agreement shall not relieve any party hereto from liability arising in respect of any breach of this Agreement prior to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specifically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any proceeding or Action based upon, arising out of or related to this Agreement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ACKNOWLEDGES AND AGREES THAT ANY CONTROVERSY WHICH MAY ARISE UNDER THIS AGREEMENT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to this Agreement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 any court of competent jurisdiction,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not be required to provide any bond or other security in connection with any such injunction or specific performance or have the burden of proving actual damages. Each of the parties to this Agreement consents to personal jurisdiction for any equitable action sought in the Delaware Court of Chancery or any state or federal court in any part of the world having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This Agreement may not be amended, changed, supplemented, waived or otherwise modified or terminated, except upon the execution and delivery of a written agreement executed by Acquiror, the Company and the Company Stockholders.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The parties to this Agreement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Acquiror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br/>
        <w:t>1300 Pennsylvania Ave NW, Suite 700</w:t>
        <w:br/>
        <w:t>Washington, DC 20004</w:t>
        <w:br/>
        <w:t>Attention: Shahal Khan</w:t>
        <w:b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br/>
        <w:t>1301 Avenue of the Americas</w:t>
        <w:br/>
        <w:t>New York, New York 10019-6022</w:t>
        <w:br/>
        <w:t>Attention: Rajiv Khanna</w:t>
        <w:b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br/>
        <w:t>4659 Golden Foothill Parkway, Suite 206</w:t>
        <w:br/>
        <w:t>El Dorado Hills, CA 95762</w:t>
        <w:br/>
        <w:t>Attention: Harminder Sehmi</w:t>
        <w:br/>
        <w:t>Email: harminder.sehmi@blaize.com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br/>
        <w:t>811 Main Street, Suite 3700</w:t>
        <w:br/>
        <w:t>Houston, TX 77002</w:t>
        <w:br/>
        <w:t>Attention: Ryan J. Maierson; Ryan J. Lynch</w:t>
        <w:br/>
        <w:t>Email:      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a Company Stockholder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Company Stockholder’s address (including email) set forth in the Company’s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Interpretation and Construction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hereto, and no presumption or burden of proof will arise favoring or disfavoring any party by virtue of the authorship of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REMAINDER OF THIS PAGE IS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Stockholders, Acquiror, and the Company have each caused this Stockholder Support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1162"/>
        <w:gridCol w:w="2307"/>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b/>
              </w:rPr>
            </w:pPr>
            <w:r>
              <w:rPr>
                <w:b/>
              </w:rPr>
              <w:t>COMPANY STOCKHOLDERS:</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b/>
              </w:rPr>
            </w:pPr>
            <w:r>
              <w:rPr>
                <w:b/>
              </w:rPr>
              <w:t>[●]</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By:</w:t>
            </w:r>
          </w:p>
        </w:tc>
        <w:tc>
          <w:tcPr>
            <w:tcW w:w="23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 xml:space="preserve">Title: </w:t>
            </w:r>
          </w:p>
        </w:tc>
      </w:tr>
    </w:tbl>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365"/>
        <w:gridCol w:w="725"/>
      </w:tblGrid>
      <w:tr>
        <w:trPr/>
        <w:tc>
          <w:tcPr>
            <w:tcW w:w="75"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b/>
              </w:rPr>
            </w:pPr>
            <w:r>
              <w:rPr>
                <w:b/>
              </w:rPr>
              <w:t>[●]</w:t>
            </w:r>
          </w:p>
        </w:tc>
      </w:tr>
      <w:tr>
        <w:trPr/>
        <w:tc>
          <w:tcPr>
            <w:tcW w:w="75"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xml:space="preserve">Title: </w:t>
            </w:r>
          </w:p>
        </w:tc>
      </w:tr>
    </w:tbl>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365"/>
        <w:gridCol w:w="725"/>
      </w:tblGrid>
      <w:tr>
        <w:trPr/>
        <w:tc>
          <w:tcPr>
            <w:tcW w:w="75"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b/>
              </w:rPr>
            </w:pPr>
            <w:r>
              <w:rPr>
                <w:b/>
              </w:rPr>
              <w:t>[●]</w:t>
            </w:r>
          </w:p>
        </w:tc>
      </w:tr>
      <w:tr>
        <w:trPr/>
        <w:tc>
          <w:tcPr>
            <w:tcW w:w="75"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72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xml:space="preserve">Title: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75"/>
        <w:gridCol w:w="1201"/>
        <w:gridCol w:w="2388"/>
      </w:tblGrid>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b/>
              </w:rPr>
            </w:pPr>
            <w:r>
              <w:rPr>
                <w:b/>
              </w:rPr>
              <w:t>ACQUIROR:</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caps/>
              </w:rPr>
            </w:pPr>
            <w:r>
              <w:rPr>
                <w:caps/>
              </w:rPr>
              <w:t>BURTECH ACQUISITION CORP.</w:t>
            </w:r>
          </w:p>
        </w:tc>
      </w:tr>
      <w:tr>
        <w:trPr/>
        <w:tc>
          <w:tcPr>
            <w:tcW w:w="75"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By:</w:t>
            </w:r>
          </w:p>
        </w:tc>
        <w:tc>
          <w:tcPr>
            <w:tcW w:w="238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79" w:type="dxa"/>
        <w:jc w:val="left"/>
        <w:tblInd w:w="0" w:type="dxa"/>
        <w:tblLayout w:type="fixed"/>
        <w:tblCellMar>
          <w:top w:w="0" w:type="dxa"/>
          <w:left w:w="0" w:type="dxa"/>
          <w:bottom w:w="0" w:type="dxa"/>
          <w:right w:w="0" w:type="dxa"/>
        </w:tblCellMar>
      </w:tblPr>
      <w:tblGrid>
        <w:gridCol w:w="75"/>
        <w:gridCol w:w="504"/>
        <w:gridCol w:w="1000"/>
      </w:tblGrid>
      <w:tr>
        <w:trPr/>
        <w:tc>
          <w:tcPr>
            <w:tcW w:w="75"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b/>
              </w:rPr>
            </w:pPr>
            <w:r>
              <w:rPr>
                <w:b/>
              </w:rPr>
              <w:t>COMPANY:</w:t>
            </w:r>
          </w:p>
        </w:tc>
      </w:tr>
      <w:tr>
        <w:trPr/>
        <w:tc>
          <w:tcPr>
            <w:tcW w:w="75"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caps/>
              </w:rPr>
            </w:pPr>
            <w:r>
              <w:rPr>
                <w:caps/>
              </w:rPr>
              <w:t>BLAIZE, INC.</w:t>
            </w:r>
          </w:p>
        </w:tc>
      </w:tr>
      <w:tr>
        <w:trPr/>
        <w:tc>
          <w:tcPr>
            <w:tcW w:w="75"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By:</w:t>
            </w:r>
          </w:p>
        </w:tc>
        <w:tc>
          <w:tcPr>
            <w:tcW w:w="10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pPr>
            <w:r>
              <w:rPr/>
              <w:t xml:space="preserve">Name: </w:t>
            </w:r>
          </w:p>
        </w:tc>
      </w:tr>
      <w:tr>
        <w:trPr/>
        <w:tc>
          <w:tcPr>
            <w:tcW w:w="75"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Stockholder Subject Shares</w:t>
      </w:r>
    </w:p>
    <w:tbl>
      <w:tblPr>
        <w:tblW w:w="12180" w:type="dxa"/>
        <w:jc w:val="left"/>
        <w:tblInd w:w="0" w:type="dxa"/>
        <w:tblLayout w:type="fixed"/>
        <w:tblCellMar>
          <w:top w:w="0" w:type="dxa"/>
          <w:left w:w="0" w:type="dxa"/>
          <w:bottom w:w="28" w:type="dxa"/>
          <w:right w:w="0" w:type="dxa"/>
        </w:tblCellMar>
      </w:tblPr>
      <w:tblGrid>
        <w:gridCol w:w="1385"/>
        <w:gridCol w:w="60"/>
        <w:gridCol w:w="60"/>
        <w:gridCol w:w="680"/>
        <w:gridCol w:w="60"/>
        <w:gridCol w:w="60"/>
        <w:gridCol w:w="72"/>
        <w:gridCol w:w="608"/>
        <w:gridCol w:w="60"/>
        <w:gridCol w:w="60"/>
        <w:gridCol w:w="60"/>
        <w:gridCol w:w="605"/>
        <w:gridCol w:w="60"/>
        <w:gridCol w:w="60"/>
        <w:gridCol w:w="60"/>
        <w:gridCol w:w="605"/>
        <w:gridCol w:w="60"/>
        <w:gridCol w:w="60"/>
        <w:gridCol w:w="60"/>
        <w:gridCol w:w="605"/>
        <w:gridCol w:w="60"/>
        <w:gridCol w:w="60"/>
        <w:gridCol w:w="60"/>
        <w:gridCol w:w="605"/>
        <w:gridCol w:w="60"/>
        <w:gridCol w:w="60"/>
        <w:gridCol w:w="60"/>
        <w:gridCol w:w="605"/>
        <w:gridCol w:w="60"/>
        <w:gridCol w:w="60"/>
        <w:gridCol w:w="60"/>
        <w:gridCol w:w="605"/>
        <w:gridCol w:w="60"/>
        <w:gridCol w:w="60"/>
        <w:gridCol w:w="64"/>
        <w:gridCol w:w="541"/>
        <w:gridCol w:w="60"/>
        <w:gridCol w:w="60"/>
        <w:gridCol w:w="113"/>
        <w:gridCol w:w="492"/>
        <w:gridCol w:w="60"/>
        <w:gridCol w:w="60"/>
        <w:gridCol w:w="113"/>
        <w:gridCol w:w="492"/>
        <w:gridCol w:w="60"/>
        <w:gridCol w:w="60"/>
        <w:gridCol w:w="64"/>
        <w:gridCol w:w="541"/>
        <w:gridCol w:w="60"/>
        <w:gridCol w:w="60"/>
        <w:gridCol w:w="64"/>
        <w:gridCol w:w="541"/>
        <w:gridCol w:w="60"/>
        <w:gridCol w:w="60"/>
        <w:gridCol w:w="60"/>
        <w:gridCol w:w="605"/>
        <w:gridCol w:w="75"/>
      </w:tblGrid>
      <w:tr>
        <w:trPr/>
        <w:tc>
          <w:tcPr>
            <w:tcW w:w="1385" w:type="dxa"/>
            <w:tcBorders>
              <w:bottom w:val="single" w:sz="8" w:space="0" w:color="000000"/>
            </w:tcBorders>
            <w:vAlign w:val="center"/>
          </w:tcPr>
          <w:p>
            <w:pPr>
              <w:pStyle w:val="TableContents"/>
              <w:bidi w:val="0"/>
              <w:spacing w:before="0" w:after="283"/>
              <w:jc w:val="center"/>
              <w:rPr>
                <w:b/>
                <w:sz w:val="14"/>
              </w:rPr>
            </w:pPr>
            <w:r>
              <w:rPr>
                <w:b/>
                <w:sz w:val="14"/>
              </w:rPr>
              <w:t>Holder</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sz w:val="14"/>
              </w:rPr>
            </w:pPr>
            <w:r>
              <w:rPr>
                <w:b/>
                <w:sz w:val="14"/>
              </w:rPr>
              <w:t>Shares of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Seed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A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B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C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D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D-1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D-2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D Exchange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8" w:space="0" w:color="000000"/>
            </w:tcBorders>
            <w:vAlign w:val="center"/>
          </w:tcPr>
          <w:p>
            <w:pPr>
              <w:pStyle w:val="TableContents"/>
              <w:bidi w:val="0"/>
              <w:spacing w:before="0" w:after="283"/>
              <w:jc w:val="center"/>
              <w:rPr>
                <w:b/>
                <w:sz w:val="14"/>
              </w:rPr>
            </w:pPr>
            <w:r>
              <w:rPr>
                <w:b/>
                <w:sz w:val="14"/>
              </w:rPr>
              <w:t>Shares of Series D-1 Exchange Shadow Preferred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5" w:type="dxa"/>
            <w:gridSpan w:val="2"/>
            <w:tcBorders>
              <w:bottom w:val="single" w:sz="8" w:space="0" w:color="000000"/>
            </w:tcBorders>
            <w:vAlign w:val="center"/>
          </w:tcPr>
          <w:p>
            <w:pPr>
              <w:pStyle w:val="TableContents"/>
              <w:bidi w:val="0"/>
              <w:spacing w:before="0" w:after="283"/>
              <w:jc w:val="center"/>
              <w:rPr>
                <w:b/>
                <w:sz w:val="14"/>
              </w:rPr>
            </w:pPr>
            <w:r>
              <w:rPr>
                <w:b/>
                <w:sz w:val="14"/>
              </w:rPr>
              <w:t>Company Warrants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Company Warrants</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D Shadow Preferred)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Company Warrants</w:t>
            </w:r>
          </w:p>
          <w:p>
            <w:pPr>
              <w:pStyle w:val="TableContents"/>
              <w:bidi w:val="0"/>
              <w:spacing w:before="0" w:after="0"/>
              <w:ind w:left="0" w:right="0" w:hanging="0"/>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(Series D-2 Shadow Preferred)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8" w:space="0" w:color="000000"/>
            </w:tcBorders>
            <w:vAlign w:val="center"/>
          </w:tcPr>
          <w:p>
            <w:pPr>
              <w:pStyle w:val="TableContents"/>
              <w:bidi w:val="0"/>
              <w:spacing w:before="0" w:after="283"/>
              <w:jc w:val="center"/>
              <w:rPr>
                <w:b/>
                <w:sz w:val="14"/>
              </w:rPr>
            </w:pPr>
            <w:r>
              <w:rPr>
                <w:b/>
                <w:sz w:val="14"/>
              </w:rPr>
              <w:t>Company Options</w:t>
            </w:r>
          </w:p>
        </w:tc>
        <w:tc>
          <w:tcPr>
            <w:tcW w:w="75" w:type="dxa"/>
            <w:tcBorders/>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Anderson Investments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3,147,755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1,436,437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2,394,063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NSITEXE,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3,147,755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957,625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Franklin Strategic Series - Franklin Small-Mid Cap Growth Fund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1,720,949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1,467,659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227,435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260,815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146,765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Franklin Templeton Variable Insurance Products Trust - Franklin Small-Mid Growth VIP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194,302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82,758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11,970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26,474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8,275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Bess Ventures + Advisory,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sz w:val="14"/>
              </w:rPr>
            </w:pPr>
            <w:r>
              <w:rPr>
                <w:sz w:val="14"/>
              </w:rPr>
              <w:t>6,000,000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4,167,698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416,769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Wavemaker SEA SPV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1,500,434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Tallwood Investment Partners, L.P. (fka Entropy Research Labs,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sz w:val="14"/>
              </w:rPr>
            </w:pPr>
            <w:r>
              <w:rPr>
                <w:sz w:val="14"/>
              </w:rPr>
              <w:t>1,122,799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sz w:val="14"/>
              </w:rPr>
            </w:pPr>
            <w:r>
              <w:rPr>
                <w:sz w:val="14"/>
              </w:rPr>
              <w:t>253,906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1,223,402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A&amp;E Investment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sz w:val="14"/>
              </w:rPr>
            </w:pPr>
            <w:r>
              <w:rPr>
                <w:sz w:val="14"/>
              </w:rPr>
              <w:t>434,027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629,401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Dinakar Munagala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sz w:val="14"/>
              </w:rPr>
            </w:pPr>
            <w:r>
              <w:rPr>
                <w:sz w:val="14"/>
              </w:rPr>
              <w:t>71,470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5,728,779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Ke Yin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sz w:val="14"/>
              </w:rPr>
            </w:pPr>
            <w:r>
              <w:rPr>
                <w:sz w:val="14"/>
              </w:rPr>
              <w:t>2,651,333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1,558,234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Bripa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368,170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181,159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20,985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19,152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3,090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Globe CP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sz w:val="14"/>
              </w:rPr>
            </w:pPr>
            <w:r>
              <w:rPr>
                <w:sz w:val="14"/>
              </w:rPr>
              <w:t>89,753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294,388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4,788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5,230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sz w:val="14"/>
              </w:rPr>
            </w:pPr>
            <w:r>
              <w:rPr>
                <w:sz w:val="14"/>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773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523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BMI Estate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287,910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47,881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46,177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7,723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4,617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Stefan Hambrecht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31,477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4,788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773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JIH Vermögensverwaltungs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1,096,945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106,180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47,881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177,759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7,723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17,775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DE-4 Beteiligungs gesmbH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sz w:val="14"/>
              </w:rPr>
            </w:pPr>
            <w:r>
              <w:rPr>
                <w:sz w:val="14"/>
              </w:rPr>
              <w:t>71,102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60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818,665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59,461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26,813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sz w:val="14"/>
              </w:rPr>
            </w:pPr>
            <w:r>
              <w:rPr>
                <w:sz w:val="14"/>
              </w:rPr>
              <w:t>104,040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492" w:type="dxa"/>
            <w:tcBorders/>
            <w:shd w:fill="FFFFFF" w:val="clear"/>
            <w:tcMar>
              <w:bottom w:w="0" w:type="dxa"/>
            </w:tcMar>
            <w:vAlign w:val="center"/>
          </w:tcPr>
          <w:p>
            <w:pPr>
              <w:pStyle w:val="TableContents"/>
              <w:bidi w:val="0"/>
              <w:spacing w:before="0" w:after="283"/>
              <w:jc w:val="right"/>
              <w:rPr>
                <w:sz w:val="14"/>
              </w:rPr>
            </w:pPr>
            <w:r>
              <w:rPr>
                <w:sz w:val="14"/>
              </w:rPr>
              <w:t>340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4,325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right"/>
              <w:rPr>
                <w:sz w:val="14"/>
              </w:rPr>
            </w:pPr>
            <w:r>
              <w:rPr>
                <w:sz w:val="14"/>
              </w:rPr>
              <w:t>10,404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left"/>
              <w:rPr>
                <w:sz w:val="14"/>
              </w:rPr>
            </w:pPr>
            <w:r>
              <w:rPr>
                <w:sz w:val="14"/>
              </w:rPr>
              <w:t>Milo Caroni</w:t>
              <w:br/>
              <w:t>Milo Caroni and Maria Luisa Caroni, as tenants in common</w:t>
              <w:br/>
              <w:t>Milo Caroni U/O Maria Luisa Caroni together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60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724,637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106,180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47,881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sz w:val="14"/>
              </w:rPr>
            </w:pPr>
            <w:r>
              <w:rPr>
                <w:sz w:val="14"/>
              </w:rPr>
              <w:t>121,507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7,723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spacing w:before="0" w:after="283"/>
              <w:jc w:val="right"/>
              <w:rPr>
                <w:sz w:val="14"/>
              </w:rPr>
            </w:pPr>
            <w:r>
              <w:rPr>
                <w:sz w:val="14"/>
              </w:rPr>
              <w:t>12,150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85" w:type="dxa"/>
            <w:tcBorders/>
            <w:shd w:fill="FFFFFF" w:val="clear"/>
            <w:tcMar>
              <w:bottom w:w="0" w:type="dxa"/>
            </w:tcMar>
            <w:vAlign w:val="center"/>
          </w:tcPr>
          <w:p>
            <w:pPr>
              <w:pStyle w:val="TableContents"/>
              <w:bidi w:val="0"/>
              <w:spacing w:before="0" w:after="283"/>
              <w:jc w:val="left"/>
              <w:rPr>
                <w:sz w:val="14"/>
              </w:rPr>
            </w:pPr>
            <w:r>
              <w:rPr>
                <w:sz w:val="14"/>
              </w:rPr>
              <w:t>Dr. Roland Berger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vAlign w:val="center"/>
          </w:tcPr>
          <w:p>
            <w:pPr>
              <w:pStyle w:val="TableContents"/>
              <w:bidi w:val="0"/>
              <w:spacing w:before="0" w:after="283"/>
              <w:jc w:val="left"/>
              <w:rPr/>
            </w:pPr>
            <w:r>
              <w:rPr/>
              <w:t> </w:t>
            </w:r>
          </w:p>
        </w:tc>
        <w:tc>
          <w:tcPr>
            <w:tcW w:w="608"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sz w:val="14"/>
              </w:rPr>
            </w:pPr>
            <w:r>
              <w:rPr>
                <w:sz w:val="14"/>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sz w:val="14"/>
              </w:rPr>
            </w:pPr>
            <w:r>
              <w:rPr>
                <w:sz w:val="14"/>
              </w:rPr>
              <w:t>106,180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sz w:val="14"/>
              </w:rPr>
            </w:pPr>
            <w:r>
              <w:rPr>
                <w:sz w:val="14"/>
              </w:rPr>
              <w:t>47,881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54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49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8" w:space="0" w:color="000000"/>
            </w:tcBorders>
            <w:shd w:fill="FFFFFF" w:val="clear"/>
            <w:vAlign w:val="center"/>
          </w:tcPr>
          <w:p>
            <w:pPr>
              <w:pStyle w:val="TableContents"/>
              <w:bidi w:val="0"/>
              <w:spacing w:before="0" w:after="283"/>
              <w:jc w:val="left"/>
              <w:rPr/>
            </w:pPr>
            <w:r>
              <w:rPr/>
              <w:t> </w:t>
            </w:r>
          </w:p>
        </w:tc>
        <w:tc>
          <w:tcPr>
            <w:tcW w:w="492"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541" w:type="dxa"/>
            <w:tcBorders>
              <w:bottom w:val="single" w:sz="8" w:space="0" w:color="000000"/>
            </w:tcBorders>
            <w:shd w:fill="FFFFFF" w:val="clear"/>
            <w:vAlign w:val="center"/>
          </w:tcPr>
          <w:p>
            <w:pPr>
              <w:pStyle w:val="TableContents"/>
              <w:bidi w:val="0"/>
              <w:spacing w:before="0" w:after="283"/>
              <w:jc w:val="right"/>
              <w:rPr>
                <w:sz w:val="14"/>
              </w:rPr>
            </w:pPr>
            <w:r>
              <w:rPr>
                <w:sz w:val="14"/>
              </w:rPr>
              <w:t>7,723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8" w:space="0" w:color="000000"/>
            </w:tcBorders>
            <w:shd w:fill="FFFFFF" w:val="clear"/>
            <w:vAlign w:val="center"/>
          </w:tcPr>
          <w:p>
            <w:pPr>
              <w:pStyle w:val="TableContents"/>
              <w:bidi w:val="0"/>
              <w:spacing w:before="0" w:after="283"/>
              <w:jc w:val="left"/>
              <w:rPr/>
            </w:pPr>
            <w:r>
              <w:rPr/>
              <w:t> </w:t>
            </w:r>
          </w:p>
        </w:tc>
        <w:tc>
          <w:tcPr>
            <w:tcW w:w="541"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5"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85" w:type="dxa"/>
            <w:tcBorders/>
            <w:shd w:fill="CCEEFF" w:val="clear"/>
            <w:tcMar>
              <w:bottom w:w="0" w:type="dxa"/>
            </w:tcMar>
            <w:vAlign w:val="center"/>
          </w:tcPr>
          <w:p>
            <w:pPr>
              <w:pStyle w:val="TableContents"/>
              <w:bidi w:val="0"/>
              <w:spacing w:before="0" w:after="283"/>
              <w:jc w:val="center"/>
              <w:rPr>
                <w:b/>
                <w:sz w:val="14"/>
              </w:rPr>
            </w:pPr>
            <w:r>
              <w:rPr>
                <w:b/>
                <w:sz w:val="14"/>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sz w:val="14"/>
              </w:rPr>
            </w:pPr>
            <w:r>
              <w:rPr>
                <w:sz w:val="14"/>
              </w:rPr>
              <w:t>10,006,457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bottom w:val="double" w:sz="6" w:space="0" w:color="000000"/>
            </w:tcBorders>
            <w:shd w:fill="CCEEFF" w:val="clear"/>
            <w:vAlign w:val="center"/>
          </w:tcPr>
          <w:p>
            <w:pPr>
              <w:pStyle w:val="TableContents"/>
              <w:bidi w:val="0"/>
              <w:spacing w:before="0" w:after="283"/>
              <w:jc w:val="left"/>
              <w:rPr/>
            </w:pPr>
            <w:r>
              <w:rPr/>
              <w:t> </w:t>
            </w:r>
          </w:p>
        </w:tc>
        <w:tc>
          <w:tcPr>
            <w:tcW w:w="608" w:type="dxa"/>
            <w:tcBorders>
              <w:bottom w:val="double" w:sz="6" w:space="0" w:color="000000"/>
            </w:tcBorders>
            <w:shd w:fill="CCEEFF" w:val="clear"/>
            <w:vAlign w:val="center"/>
          </w:tcPr>
          <w:p>
            <w:pPr>
              <w:pStyle w:val="TableContents"/>
              <w:bidi w:val="0"/>
              <w:spacing w:before="0" w:after="283"/>
              <w:jc w:val="right"/>
              <w:rPr>
                <w:sz w:val="14"/>
              </w:rPr>
            </w:pPr>
            <w:r>
              <w:rPr>
                <w:sz w:val="14"/>
              </w:rPr>
              <w:t>687,933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2,515,361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3,571,406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8,514,317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3,598,753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3,351,688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6,172,828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vAlign w:val="center"/>
          </w:tcPr>
          <w:p>
            <w:pPr>
              <w:pStyle w:val="TableContents"/>
              <w:bidi w:val="0"/>
              <w:spacing w:before="0" w:after="283"/>
              <w:jc w:val="right"/>
              <w:rPr>
                <w:sz w:val="14"/>
              </w:rPr>
            </w:pPr>
            <w:r>
              <w:rPr>
                <w:sz w:val="14"/>
              </w:rPr>
              <w:t>239,405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vAlign w:val="center"/>
          </w:tcPr>
          <w:p>
            <w:pPr>
              <w:pStyle w:val="TableContents"/>
              <w:bidi w:val="0"/>
              <w:spacing w:before="0" w:after="283"/>
              <w:jc w:val="left"/>
              <w:rPr/>
            </w:pPr>
            <w:r>
              <w:rPr/>
              <w:t> </w:t>
            </w:r>
          </w:p>
        </w:tc>
        <w:tc>
          <w:tcPr>
            <w:tcW w:w="492" w:type="dxa"/>
            <w:tcBorders>
              <w:bottom w:val="double" w:sz="6" w:space="0" w:color="000000"/>
            </w:tcBorders>
            <w:shd w:fill="CCEEFF" w:val="clear"/>
            <w:tcMar>
              <w:bottom w:w="5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vAlign w:val="center"/>
          </w:tcPr>
          <w:p>
            <w:pPr>
              <w:pStyle w:val="TableContents"/>
              <w:bidi w:val="0"/>
              <w:spacing w:before="0" w:after="283"/>
              <w:jc w:val="left"/>
              <w:rPr/>
            </w:pPr>
            <w:r>
              <w:rPr/>
              <w:t> </w:t>
            </w:r>
          </w:p>
        </w:tc>
        <w:tc>
          <w:tcPr>
            <w:tcW w:w="492" w:type="dxa"/>
            <w:tcBorders>
              <w:bottom w:val="double" w:sz="6" w:space="0" w:color="000000"/>
            </w:tcBorders>
            <w:shd w:fill="CCEEFF" w:val="clear"/>
            <w:vAlign w:val="center"/>
          </w:tcPr>
          <w:p>
            <w:pPr>
              <w:pStyle w:val="TableContents"/>
              <w:bidi w:val="0"/>
              <w:spacing w:before="0" w:after="283"/>
              <w:jc w:val="right"/>
              <w:rPr>
                <w:sz w:val="14"/>
              </w:rPr>
            </w:pPr>
            <w:r>
              <w:rPr>
                <w:sz w:val="14"/>
              </w:rPr>
              <w:t>572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vAlign w:val="center"/>
          </w:tcPr>
          <w:p>
            <w:pPr>
              <w:pStyle w:val="TableContents"/>
              <w:bidi w:val="0"/>
              <w:spacing w:before="0" w:after="283"/>
              <w:jc w:val="right"/>
              <w:rPr>
                <w:sz w:val="14"/>
              </w:rPr>
            </w:pPr>
            <w:r>
              <w:rPr>
                <w:sz w:val="14"/>
              </w:rPr>
              <w:t>327,142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vAlign w:val="center"/>
          </w:tcPr>
          <w:p>
            <w:pPr>
              <w:pStyle w:val="TableContents"/>
              <w:bidi w:val="0"/>
              <w:spacing w:before="0" w:after="283"/>
              <w:jc w:val="left"/>
              <w:rPr/>
            </w:pPr>
            <w:r>
              <w:rPr/>
              <w:t> </w:t>
            </w:r>
          </w:p>
        </w:tc>
        <w:tc>
          <w:tcPr>
            <w:tcW w:w="541" w:type="dxa"/>
            <w:tcBorders>
              <w:bottom w:val="double" w:sz="6" w:space="0" w:color="000000"/>
            </w:tcBorders>
            <w:shd w:fill="CCEEFF" w:val="clear"/>
            <w:vAlign w:val="center"/>
          </w:tcPr>
          <w:p>
            <w:pPr>
              <w:pStyle w:val="TableContents"/>
              <w:bidi w:val="0"/>
              <w:spacing w:before="0" w:after="283"/>
              <w:jc w:val="right"/>
              <w:rPr>
                <w:sz w:val="14"/>
              </w:rPr>
            </w:pPr>
            <w:r>
              <w:rPr>
                <w:sz w:val="14"/>
              </w:rPr>
              <w:t>617,278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5" w:type="dxa"/>
            <w:tcBorders>
              <w:bottom w:val="double" w:sz="6" w:space="0" w:color="000000"/>
            </w:tcBorders>
            <w:shd w:fill="CCEEFF" w:val="clear"/>
            <w:vAlign w:val="center"/>
          </w:tcPr>
          <w:p>
            <w:pPr>
              <w:pStyle w:val="TableContents"/>
              <w:bidi w:val="0"/>
              <w:spacing w:before="0" w:after="283"/>
              <w:jc w:val="right"/>
              <w:rPr>
                <w:sz w:val="14"/>
              </w:rPr>
            </w:pPr>
            <w:r>
              <w:rPr>
                <w:sz w:val="14"/>
              </w:rPr>
              <w:t>7,287,013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Stockholder Signatories to Registration Rights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37"/>
        <w:gridCol w:w="9548"/>
      </w:tblGrid>
      <w:tr>
        <w:trPr/>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w:t>
            </w:r>
          </w:p>
        </w:tc>
        <w:tc>
          <w:tcPr>
            <w:tcW w:w="9548" w:type="dxa"/>
            <w:tcBorders/>
            <w:vAlign w:val="center"/>
          </w:tcPr>
          <w:p>
            <w:pPr>
              <w:pStyle w:val="TableContents"/>
              <w:bidi w:val="0"/>
              <w:spacing w:before="0" w:after="283"/>
              <w:jc w:val="left"/>
              <w:rPr/>
            </w:pPr>
            <w:r>
              <w:rPr/>
              <w:t>Anderson Investments Pte. Ltd.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Stockholder Agreements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Amended and Restated Voting Agreement, dated as of September 19, 2022, by and among the Company and the other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Amended and Restated First Refusal and Co-Sale Agreement, dated as of September 19, 2022, by and among the Company and the other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Amended and Restated Investors’ Rights Agreement, dated as of September 19, 2022, by and among the Company and the other parties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 to Stockholder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4" w:name="tm2333322d3_ex10-2.htm"/>
      <w:bookmarkStart w:id="35" w:name="kstm2333322d3_ex102"/>
      <w:bookmarkEnd w:id="34"/>
      <w:bookmarkEnd w:id="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Sponsor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December 22, 2023, by and among BurTech LP LLC, a Delaware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BurTech Acquisition Corp., a Delaware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and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respective meanings ascribed to such terms in the Merger Agreement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Sponsor is the holder of record and the “beneficial owner” (within the meaning of Rule 13d-3 under the Exchange Act) of 9,487,500 shares of Acquiror Class B Common Stock and 898,250 private placement units acquired by the Sponsor simultaneously with the consummation of Acquiror’s initial public offering (“</w:t>
      </w:r>
      <w:r>
        <w:rPr>
          <w:rFonts w:ascii="Times New Roman;Times;Serif" w:hAnsi="Times New Roman;Times;Serif"/>
          <w:b w:val="false"/>
          <w:i w:val="false"/>
          <w:caps w:val="false"/>
          <w:smallCaps w:val="false"/>
          <w:sz w:val="20"/>
          <w:u w:val="single"/>
        </w:rPr>
        <w:t>Acquiror Private Placement Units</w:t>
      </w:r>
      <w:r>
        <w:rPr>
          <w:rFonts w:ascii="Times New Roman;Times;Serif" w:hAnsi="Times New Roman;Times;Serif"/>
          <w:b w:val="false"/>
          <w:i w:val="false"/>
          <w:caps w:val="false"/>
          <w:smallCaps w:val="false"/>
          <w:sz w:val="20"/>
        </w:rPr>
        <w:t>”) (consisting of (a) 898,250 shares of Acquiror Class A Common Stock and (b) 898,250 Acquiror Private Placement Warrants) (all such shares of Acquiror Class B Common Stock and Acquiror Private Placement Units (including the shares of Acquiror Class A Common Stock and Acquiror Private Placement Warrants thereunder), together with any shares of Acquiror Common Stock or any other equity securities of Acquiror of which ownership of record or the power to vote (including, without limitation, by proxy or power of attorney) is hereafter acquired by the Sponsor during the period from the date hereof through the Expiration Time (as defined below), including by purchase, as a result of a share dividend, share split, recapitalization, combination, reclassification, exchange or change of such securities, or upon the grant, vesting or exercise of any outstanding equity award, or upon exercise or conversion of any other securities, are referred to herein as the “</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contemporaneously with the execution and delivery of this Agreement, Acquiror, BurTech Merger Sub Inc., a Delaware corporation and a direct wholly owned subsidiary of Acquiror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the Company and, solely for limited purposes set forth therein, Burkhan Capital LLC, a Delaware limited liability company, entered into an Agreement and Plan of Merger (as amended or modified from time to time, the “</w:t>
      </w:r>
      <w:r>
        <w:rPr>
          <w:rFonts w:ascii="Times New Roman;Times;Serif" w:hAnsi="Times New Roman;Times;Serif"/>
          <w:b w:val="false"/>
          <w:i w:val="false"/>
          <w:caps w:val="false"/>
          <w:smallCaps w:val="false"/>
          <w:sz w:val="20"/>
          <w:u w:val="single"/>
        </w:rPr>
        <w:t>Merger Agreemen</w:t>
      </w:r>
      <w:r>
        <w:rPr>
          <w:rFonts w:ascii="Times New Roman;Times;Serif" w:hAnsi="Times New Roman;Times;Serif"/>
          <w:b w:val="false"/>
          <w:i w:val="false"/>
          <w:caps w:val="false"/>
          <w:smallCaps w:val="false"/>
          <w:sz w:val="20"/>
        </w:rPr>
        <w:t>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together with the other transactions contemplated by the Merger Agreement,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with the Company surviving the Merger as a wholly owned subsidiary of Acquiror;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an inducement to Acquiror and the Company to enter into the Merger Agreement and to consummate the transactions contemplated therein, the parties hereto desire to agree to certain matters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agreements contained herein, and intending to be legally bound hereby,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SPONSOR SUPPORT AGREEMENT;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Binding Effect of Merger Agreement</w:t>
      </w:r>
      <w:r>
        <w:rPr>
          <w:rFonts w:ascii="Times New Roman;Times;Serif" w:hAnsi="Times New Roman;Times;Serif"/>
          <w:b w:val="false"/>
          <w:i w:val="false"/>
          <w:caps w:val="false"/>
          <w:smallCaps w:val="false"/>
          <w:sz w:val="20"/>
        </w:rPr>
        <w:t>. The Sponsor hereby acknowledges that it has read the Merger Agreement and this Agreement and has had the opportunity to consult with its tax and legal advisors. The Sponsor shall be bound by and comply with Sections 8.7 (</w:t>
      </w:r>
      <w:r>
        <w:rPr>
          <w:rFonts w:ascii="Times New Roman;Times;Serif" w:hAnsi="Times New Roman;Times;Serif"/>
          <w:b w:val="false"/>
          <w:i/>
          <w:caps w:val="false"/>
          <w:smallCaps w:val="false"/>
          <w:sz w:val="20"/>
        </w:rPr>
        <w:t>Exclusivity</w:t>
      </w:r>
      <w:r>
        <w:rPr>
          <w:rFonts w:ascii="Times New Roman;Times;Serif" w:hAnsi="Times New Roman;Times;Serif"/>
          <w:b w:val="false"/>
          <w:i w:val="false"/>
          <w:caps w:val="false"/>
          <w:smallCaps w:val="false"/>
          <w:sz w:val="20"/>
        </w:rPr>
        <w:t>) in respect of Business Combination Proposals, 11.12 (</w:t>
      </w:r>
      <w:r>
        <w:rPr>
          <w:rFonts w:ascii="Times New Roman;Times;Serif" w:hAnsi="Times New Roman;Times;Serif"/>
          <w:b w:val="false"/>
          <w:i/>
          <w:caps w:val="false"/>
          <w:smallCaps w:val="false"/>
          <w:sz w:val="20"/>
        </w:rPr>
        <w:t>Publicity</w:t>
      </w:r>
      <w:r>
        <w:rPr>
          <w:rFonts w:ascii="Times New Roman;Times;Serif" w:hAnsi="Times New Roman;Times;Serif"/>
          <w:b w:val="false"/>
          <w:i w:val="false"/>
          <w:caps w:val="false"/>
          <w:smallCaps w:val="false"/>
          <w:sz w:val="20"/>
        </w:rPr>
        <w:t>) of the Merger Agreement, and 8.3 (</w:t>
      </w:r>
      <w:r>
        <w:rPr>
          <w:rFonts w:ascii="Times New Roman;Times;Serif" w:hAnsi="Times New Roman;Times;Serif"/>
          <w:b w:val="false"/>
          <w:i/>
          <w:caps w:val="false"/>
          <w:smallCaps w:val="false"/>
          <w:sz w:val="20"/>
        </w:rPr>
        <w:t>Support of Transaction</w:t>
      </w:r>
      <w:r>
        <w:rPr>
          <w:rFonts w:ascii="Times New Roman;Times;Serif" w:hAnsi="Times New Roman;Times;Serif"/>
          <w:b w:val="false"/>
          <w:i w:val="false"/>
          <w:caps w:val="false"/>
          <w:smallCaps w:val="false"/>
          <w:sz w:val="20"/>
        </w:rPr>
        <w:t>) of the Merger Agreement (and any relevant definitions contained in any such Sections) as if (x) the Sponsor was an original signatory to the Merger Agreement with respect to such provisions, and (y) each reference to “Acquiror” contained in such provisions (other than for purposes of the definition of Business Combination Proposals) also referred to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No Transfer</w:t>
      </w:r>
      <w:r>
        <w:rPr>
          <w:rFonts w:ascii="Times New Roman;Times;Serif" w:hAnsi="Times New Roman;Times;Serif"/>
          <w:b w:val="false"/>
          <w:i w:val="false"/>
          <w:caps w:val="false"/>
          <w:smallCaps w:val="false"/>
          <w:sz w:val="20"/>
        </w:rPr>
        <w:t>. Except with the prior written consent of the Company (such consent to be given or withheld in its sole discretion), during the period commencing on the date hereof and ending on the Expiration Time, the Sponsor shall not (i) sell, offer to sell, contract or agree to sell, hypothecate, pledge, grant any option, right or warrant to purchase, or otherwise transfer (including by operation of Law), encumbrance, dispose of, or agree to transfer, encumbrance or dispose of, directly or indirectly, file (or participate in the filing of) a registration statement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(other than the Proxy Statement / Registration Statement) or establish or increase a put equivalent position or liquidate or decrease a call equivalent position within the meaning of Section 16 of the Exchange Act, with respect to any Subject Shares, (ii) enter into any swap or other arrangement that transfers to another, in whole or in part, any of the economic consequences of ownership of any Subject Shares or (iii) publicly announce any intention to effect any transaction specified in clause (i) or (ii) (clauses (i)-(ii) collectively, 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herein shall prohibit (x) a Transfer to an Affiliate of the Sponsor, or (y) a Transfer in connection with the Company Financing or the financing of the Merger (each, a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Permitted Transfer shall be permitted only if, as a precondition to such Transfer, the transferee also agrees in a writing, reasonably satisfactory in form and substance to the Company, to assume all of the obligations of the Sponsor under, and be bound by all of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Transfer permitted under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shall not relieve the Sponsor of its obligations under this Agreement. Any Transfer in violation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with respect to the Sponsor’s Subject Shares shall be null and void. Nothing in this Agreement shall prohibit direct or indirect transfers of equity or other interests in the Sponsor, so long as after such transfer the Sponsor or the surviving entity thereof remains to be bound by all of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New Shares</w:t>
      </w:r>
      <w:r>
        <w:rPr>
          <w:rFonts w:ascii="Times New Roman;Times;Serif" w:hAnsi="Times New Roman;Times;Serif"/>
          <w:b w:val="false"/>
          <w:i w:val="false"/>
          <w:caps w:val="false"/>
          <w:smallCaps w:val="false"/>
          <w:sz w:val="20"/>
        </w:rPr>
        <w:t>. In the event that, during the period commencing on the date hereof and ending at the Expiration Time, (a) any Subject Shares are issued to the Sponsor after the date of this Agreement pursuant to any stock dividend, stock split, recapitalization, reclassification, combination or exchange of Subject Shares or otherwise, (b) the Sponsor purchases or otherwise acquires beneficial ownership of any Subject Shares or (c) the Sponsor acquires the right to vote or share in the voting of any Subject Shares (collectively the “</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then such New Securities acquired or purchased by the Sponsor shall be subject to the terms of this Agreement to the same extent as if they constituted the Subject Shares owned by the Sponsor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Agreement to Vote</w:t>
      </w:r>
      <w:r>
        <w:rPr>
          <w:rFonts w:ascii="Times New Roman;Times;Serif" w:hAnsi="Times New Roman;Times;Serif"/>
          <w:b w:val="false"/>
          <w:i w:val="false"/>
          <w:caps w:val="false"/>
          <w:smallCaps w:val="false"/>
          <w:sz w:val="20"/>
        </w:rPr>
        <w:t>. Hereafter until the Expiration Time, the Sponsor hereby unconditionally and irrevocably agrees that, at any meeting of the stockholders of Acquiror (or any adjournment or postponement thereof), and in any action by written consent of the stockholders of Acquiror requested by the Acquiror Board or otherwise undertaken in connection with the Transactions, the Sponsor shall appear at the meeting, in person or by proxy, or otherwise cause its Subject Shares (to the extent such Subject Shares are entitled to vote or provide consent with respect to such matter) to be counted as present thereat for purposes of establishing a quorum, and the Sponsor shall vote or provide consent (or cause to be voted or consented), in person or by proxy, all of its Subject Shares (to the extent such Subject Shares are entitled to vote or provide consent with respect to such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favor of each Transaction Proposal, including, without limitation, the approval and adoption of the Merger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circumstances upon which a consent, waiver or other approval is required under Acquiror’s Governing Documents or otherwise sought with respect to the Merger Agreement or the Transactions, in favor of such vote, consent, waiver or approval (or cause to be voted, consented, waived or approved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against any Business Combination Proposal or other business combination transaction (other than the Merger Agreement and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against any proposal, action or agreement that would reasonably be expected to (A) impede, frustrate, prevent or nullify any provision of this Agreement, the Merger Agreement or the timely consummation of the Merger, (B) result in a breach in any respect of any covenant, representation, warranty or any other obligation or agreement of Acquiror or Merger Sub under the Merger Agreement, (C) result in any of the conditions set forth in Article IX of the Merger Agreement not being fulfilled or (D) result in a breach of any covenant, representation or warranty or other obligation or agreement of the Sponsor contained in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approve or authorize (or to vote against or withhold consent for, as applicable) any other matters necessary or reasonably requested by the Company or Acquiror for the consummation of the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Sponsor hereby agrees that it shall not commit or agree to take any action inconsistent with the foregoing. The obligations of the Sponsor specified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shall apply whether or not the Merger or any action described above is recommended by the Acquiror Board or the Acquiror Board has previously recommended the Merger but changed such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No Challenges</w:t>
      </w:r>
      <w:r>
        <w:rPr>
          <w:rFonts w:ascii="Times New Roman;Times;Serif" w:hAnsi="Times New Roman;Times;Serif"/>
          <w:b w:val="false"/>
          <w:i w:val="false"/>
          <w:caps w:val="false"/>
          <w:smallCaps w:val="false"/>
          <w:sz w:val="20"/>
        </w:rPr>
        <w:t>. The Sponsor agrees not to commence, join in, facilitate, assist or encourage, and agrees to take all actions necessary to opt out of any class in any class action with respect to, any claim, derivative or otherwise, against Acquiror, Merger Sub, the Company or any of their respective successors or directors (a) challenging the validity of, or seeking to enjoin or delay the operation of, any provision of this Agreement or the Merger Agreement (b) alleging a breach of any fiduciary duty of any person in connection with the evaluation, negotiation or entry into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Closing Date Deliverables</w:t>
      </w:r>
      <w:r>
        <w:rPr>
          <w:rFonts w:ascii="Times New Roman;Times;Serif" w:hAnsi="Times New Roman;Times;Serif"/>
          <w:b w:val="false"/>
          <w:i w:val="false"/>
          <w:caps w:val="false"/>
          <w:smallCaps w:val="false"/>
          <w:sz w:val="20"/>
        </w:rPr>
        <w:t>. The Sponsor will deliver, substantially simultaneously with the Effective Time, a duly-executed copy of that certain Amended and Restated Registration Rights Agreement, by and among Acquiror, the Company and the other parties thereto, in substantially the form attached as Exhibit E to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Anti-Dilution Waiver</w:t>
      </w:r>
      <w:r>
        <w:rPr>
          <w:rFonts w:ascii="Times New Roman;Times;Serif" w:hAnsi="Times New Roman;Times;Serif"/>
          <w:b w:val="false"/>
          <w:i w:val="false"/>
          <w:caps w:val="false"/>
          <w:smallCaps w:val="false"/>
          <w:sz w:val="20"/>
        </w:rPr>
        <w:t>. The Sponsor hereby irrevocably and unconditionally (but subject to the consummation of the Merger) agrees that (i) shares of Acquiror Class B Common Stock held by the Sponsor shall convert into shares of Acquiror Class A Common Stock on a one-for-one basis in accordance with the Governing Documents of Acquiror (the “</w:t>
      </w:r>
      <w:r>
        <w:rPr>
          <w:rFonts w:ascii="Times New Roman;Times;Serif" w:hAnsi="Times New Roman;Times;Serif"/>
          <w:b w:val="false"/>
          <w:i w:val="false"/>
          <w:caps w:val="false"/>
          <w:smallCaps w:val="false"/>
          <w:sz w:val="20"/>
          <w:u w:val="single"/>
        </w:rPr>
        <w:t>Acquiror Governing Documents</w:t>
      </w:r>
      <w:r>
        <w:rPr>
          <w:rFonts w:ascii="Times New Roman;Times;Serif" w:hAnsi="Times New Roman;Times;Serif"/>
          <w:b w:val="false"/>
          <w:i w:val="false"/>
          <w:caps w:val="false"/>
          <w:smallCaps w:val="false"/>
          <w:sz w:val="20"/>
        </w:rPr>
        <w:t xml:space="preserve">”) (as adjusted to account for any subdivision (by share split, subdivision, exchange, share dividend, reclassification, recapitalization or otherwise) or combination (by reverse share split, exchange, reclassification, recapitalization or otherwise) or similar reclassification or recapitalization of the outstanding shares of Acquiror Class A Common Stock), and (ii) not to assert or perfect any and all rights to adjustment or other antidilution protections the Sponsor has or will have under the Acquiror Governing Documents. The Sponsor further agrees not to redeem any Subject Shares (including any shares of Acquiror Class A Common Stock received upon the conversion of Acquiror Class B Common Stock) and not to commence or participate in, and to take all actions necessary to opt out of any class in any class action with respect to, any claim, derivative or otherwise, against Acquiror, the Company, any affiliate or designee of the Sponsor acting in his or her capacity as director or any of their respective successors and assigns relating to the negotiation, execution or delivery of this Agreement, the Merger Agreement or the consummation of the transactions contemplated hereby and thereby.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constitute written consent waiving, forfeiting and surrendering any anti-dilution protection pursuant to the Acquiror Governing Documents and such waiver, forfeiture and surrender granted hereunder shall only terminate upon the termination of this Agreement. Notwithstanding anything to the contrary contained herein, the Sponsor does not waive, or agrees to refrain from asserting or perfecting any rights in the event the Merger Agreement is terminated. If the Merger Agreement is terminated,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be deemed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Sponsor shall execute and deliver, or cause to be delivered, such additional documents, and take, or cause to be taken, all such further actions and do, or cause to be done, all things reasonably necessary (including under applicable Laws), or reasonably requested by Acquiror or the Company, to effect the actions and consummate the Merger and the other transactions contemplated by this Agreement and the Merger Agreement, in each case, on the terms and subject to the conditions set forth therein and herein,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No Inconsistent Agreement</w:t>
      </w:r>
      <w:r>
        <w:rPr>
          <w:rFonts w:ascii="Times New Roman;Times;Serif" w:hAnsi="Times New Roman;Times;Serif"/>
          <w:b w:val="false"/>
          <w:i w:val="false"/>
          <w:caps w:val="false"/>
          <w:smallCaps w:val="false"/>
          <w:sz w:val="20"/>
        </w:rPr>
        <w:t>. The Sponsor hereby represents and covenants that the Sponsor (i) has full voting power, full power of disposition and full power to issue instructions with respect to the matters set forth herein whether by ownership or by proxy, in each case, with respect to the Sponsor’s Subject Shares, (ii) has not entered into, and shall not enter into, any voting agreement, voting trust or other agreement, and has no knowledge and is not aware of any such voting agreement or voting trust in effect, with respect to any of the Sponsor’s Subject Shares that is inconsistent with the Sponsor’s obligations pursuant to this Agreement or any agreement or amendment of an existing agreement that would, or would reasonably be expected to, restrict, limit or interfere with the performance of the Sponsor’s obligations hereunder, and (iii) has not granted, and shall not grant, a proxy, power of attorney or similar right with respect to any of the Sponsor’s Subject Shares that is inconsistent with the Sponsor’s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       </w:t>
      </w:r>
      <w:r>
        <w:rPr>
          <w:rFonts w:ascii="Times New Roman;Times;Serif" w:hAnsi="Times New Roman;Times;Serif"/>
          <w:b w:val="false"/>
          <w:i w:val="false"/>
          <w:caps w:val="false"/>
          <w:smallCaps w:val="false"/>
          <w:sz w:val="20"/>
          <w:u w:val="single"/>
        </w:rPr>
        <w:t>Consent to Disclosure</w:t>
      </w:r>
      <w:r>
        <w:rPr>
          <w:rFonts w:ascii="Times New Roman;Times;Serif" w:hAnsi="Times New Roman;Times;Serif"/>
          <w:b w:val="false"/>
          <w:i w:val="false"/>
          <w:caps w:val="false"/>
          <w:smallCaps w:val="false"/>
          <w:sz w:val="20"/>
        </w:rPr>
        <w:t>. The Sponsor hereby consents to the publication and disclosure in the Proxy Statement / Registration Statement (and, as and to the extent otherwise required by applicable securities Laws or the SEC or any other securities authorities, any other documents or communications provided by Acquiror or the Company to any Governmental Authority or to securityholders of Acquiror) of the Sponsor’s identity and beneficial ownership of Subject Shares and the nature of the Sponsor’s commitments, arrangements and understandings under and relating to this Agreement and, if deemed appropriate by Acquiror or the Company, a copy of this Agreement, in all cases only to the extent required by applicable law or order from the SEC or any other securities authorities, and after providing the Sponsor reasonable opportunity to defend any requirement to disclose information which would cause the Sponsor to be in breach of any confidentiality obligations applicable to it. The Sponsor will promptly provide any information reasonably requested by Acquiror or the Company for any regulatory application or filing made or approval sought in connection with the Transactions (including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Representations and Warranties of the Sponsor</w:t>
      </w:r>
      <w:r>
        <w:rPr>
          <w:rFonts w:ascii="Times New Roman;Times;Serif" w:hAnsi="Times New Roman;Times;Serif"/>
          <w:b w:val="false"/>
          <w:i w:val="false"/>
          <w:caps w:val="false"/>
          <w:smallCaps w:val="false"/>
          <w:sz w:val="20"/>
        </w:rPr>
        <w:t>. The Sponsor represents and warrants as of the date hereof to Acquiror and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Due Authorization</w:t>
      </w:r>
      <w:r>
        <w:rPr>
          <w:rFonts w:ascii="Times New Roman;Times;Serif" w:hAnsi="Times New Roman;Times;Serif"/>
          <w:b w:val="false"/>
          <w:i w:val="false"/>
          <w:caps w:val="false"/>
          <w:smallCaps w:val="false"/>
          <w:sz w:val="20"/>
        </w:rPr>
        <w:t>. The Sponsor is duly organized, validly existing and in good standing (or the equivalent thereof) under the Laws of the jurisdiction in which it is incorporated, formed, organized or constituted, and the execution, delivery and performance of this Agreement and the consummation of the transactions contemplated hereby are within the Sponsor’s corporate, limited liability company or organizational powers and have been duly authorized by all necessary corporate, limited liability company or organizational actions on the part of the Sponsor. This Agreement has been duly executed and delivered by the Sponsor and, assuming due authorization, execution and delivery by the other parties to this Agreement, this Agreement constitutes a legally valid and binding obligation of the Sponsor, enforceable against the Sponsor in accordance with the terms hereof (except as enforceability may be limited by bankruptcy Laws, other similar Laws affecting creditors’ rights and general principles of equity affecting the availability of specific performance and other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The Sponsor is the record and beneficial owner (as defined in the Securities Act) of, and has good, valid and marketable title to, all of the Sponsor’s Subject Shares, and there exist no Liens or any other limitation or restriction (including any restriction on the right to vote, sell or otherwise dispose of such Subject Shares (other than transfer restrictions under the Securities Act)) affecting any such Subject Shares, other than Liens pursuant to (i) this Agreement, (ii) the Acquiror Governing Documents, (iii) the Merger Agreement, or (vi) any applicable securities Laws. The Sponsor’s Subject Shares are the only equity securities in Acquiror owned of record or beneficially by the Sponsor on the date of this Agreement, and none of the Sponsor’s Subject Shares are subject to any proxy, voting trust or other agreement or arrangement with respect to the voting of such Subject Shares, except as provided hereunder. Other than Acquiror Private Placement Warrants, the Sponsor does not hold or own any rights to acquire (directly or indirectly) any equity securities of Acquiror or any securities convertible into, or which can be exchanged for, equity securities of Acquiror.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Consent</w:t>
      </w:r>
      <w:r>
        <w:rPr>
          <w:rFonts w:ascii="Times New Roman;Times;Serif" w:hAnsi="Times New Roman;Times;Serif"/>
          <w:b w:val="false"/>
          <w:i w:val="false"/>
          <w:caps w:val="false"/>
          <w:smallCaps w:val="false"/>
          <w:sz w:val="20"/>
        </w:rPr>
        <w:t xml:space="preserve">. No consent, approval or authorization of, or designation, declaration or filing with, any Governmental Authority is required on the part of the Sponsor with respect to the Sponsor’s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the Sponsor to perform, or otherwise comply with, any of its covenants, agreements or obligations hereunder in any material respect, or which have already been obtained in advance of the Sponsor’s entry into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and delivery of this Agreement by the Sponsor does not, and the performance by the Sponsor of its obligations hereunder will not, (i) conflict with or result in a violation of the organizational documents of the Sponsor, (ii) with or without notice, lapse of time or both, a breach or violation of, a termination (or right of termination) of or a default under, the loss of any benefit under, the creation, modification or acceleration of any obligations under any Contract binding upon the Sponsor or, assuming (solely with respect to performance of this Agreement and the transactions contemplated hereby) compliance with the matters referred to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under any applicable Law to which the Sponsor or any of its properties or assets is subject, (iii) any change in the rights or obligations of any party under any Contract legally binding upon the Sponsor, or (iv) other than the restrictions contemplated by this Agreement, result in the creation of any Lien upon the Subject Shares, except, in the case of clause (ii) or (iii) directly above, for any such breach, violation, termination, default, creation, acceleration or change that would not, individually or in the aggregate, reasonably be expected to prevent or materially delay or impair the Sponsor’s ability to perform, or otherwise comply with, any of its covenants, agreements or obligations hereunder or to consummate the transactions contemplated hereby, the consummation of the Merger or the other transactions contemplated by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pending against the Sponsor, or to the knowledge of the Sponsor threatened against the Sponsor, before (or, in the case of threatened Actions, that would be before) any arbitrator or any Governmental Authority, which in any manner challenges or seeks to prevent, enjoin or materially delay the performance by the Sponsor of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Adequate Information</w:t>
      </w:r>
      <w:r>
        <w:rPr>
          <w:rFonts w:ascii="Times New Roman;Times;Serif" w:hAnsi="Times New Roman;Times;Serif"/>
          <w:b w:val="false"/>
          <w:i w:val="false"/>
          <w:caps w:val="false"/>
          <w:smallCaps w:val="false"/>
          <w:sz w:val="20"/>
        </w:rPr>
        <w:t xml:space="preserve">. The Sponsor is a sophisticated stockholder and has adequate information concerning the business and financial condition of Acquiror and the Company to make an informed decision regarding this Agreement and the Transactions and has independently and without reliance upon Acquiror or the Company and based on such information as the Sponsor has deemed appropriate, made its own analysis and decision to enter into this Agreement. The Sponsor acknowledges that Acquiror and the Company have not made and do not make any representation or warranty, whether express or implied, of any kind or character except as expressly set forth in this Agreement and the Merger Agreement. The Sponsor acknowledges that the agreements contained herein with respect to the Subject Shares are irrevocable.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Brokerage Fees</w:t>
      </w:r>
      <w:r>
        <w:rPr>
          <w:rFonts w:ascii="Times New Roman;Times;Serif" w:hAnsi="Times New Roman;Times;Serif"/>
          <w:b w:val="false"/>
          <w:i w:val="false"/>
          <w:caps w:val="false"/>
          <w:smallCaps w:val="false"/>
          <w:sz w:val="20"/>
        </w:rPr>
        <w:t>. No broker, finder, investment banker or other Person is entitled to any brokerage fee, finders’ fee or other commission in connection with the transactions contemplated by the Merger Agreement based upon arrangements made by the Sponsor in its capacity as a stockholder or, to the knowledge of the Sponsor, on behalf of the Sponsor, in its capacity as a stockholder, for which Acquiror or any of its Affiliates may become 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xml:space="preserve">. The Sponsor understands and acknowledges that each of Acquiror and the Company is entering into the Merger Agreement in reliance upon the Sponsor’s execution and delivery of this Agreement, and the representations, warranties, covenants and other agreements of the Sponsor contained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and all of its provisions shall terminate and be of no further force or effect upon the earliest to occur of (a) the Effective Time, (b) such date and time as the Merger Agreement shall be terminated in accordance with Section 10.1 thereof (the earlier of (a) and (b), the “</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xml:space="preserve">”) and (c) upon the written agreement of Acquiror, the Company and the Sponsor. Upon such termination of this Agreement, all obligations of the parties under this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termination of this Agreement shall not relieve any party hereto from liability arising in respect of any breach of this Agreement prior to such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val="false"/>
          <w:caps w:val="false"/>
          <w:smallCaps w:val="false"/>
          <w:sz w:val="20"/>
          <w:u w:val="single"/>
        </w:rPr>
        <w:t>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specifically set forth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any proceeding or Action based upon, arising out of or related to this Agreement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HERETO ACKNOWLEDGES AND AGREES THAT ANY CONTROVERSY WHICH MAY ARISE UNDER THIS AGREEMENT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xml:space="preserve">. The parties hereto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to this Agreement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 any court of competent jurisdiction,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not be required to provide any bond or other security in connection with any such injunction or specific performance or have the burden of proving actual damages. Each of the parties to this Agreement consents to personal jurisdiction for any equitable action sought in the Delaware Court of Chancery or any state or federal court in any part of the world having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This Agreement may not be amended, changed, supplemented, waived or otherwise modified or terminated, except upon the execution and delivery of a written agreement executed by Acquiror, the Company and the Sponsor. No failure or delay by any party hereto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The parties to this Agreement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Acquiror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Pennsylvania Ave NW, Suite 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Shahal Khan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10019-6022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Rajiv Khanna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 Golden Foothill Parkway, Suite 206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Harminder Sehmi</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harminder.sehmi@blaize.com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Ryan J. Maierson; Ryan J. Lynch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Sponsor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LP LLC.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Pennsylvania Ave NW, Suite 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Shahal Khan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will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10019-6022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Rajiv Khanna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val="false"/>
          <w:caps w:val="false"/>
          <w:smallCaps w:val="false"/>
          <w:sz w:val="20"/>
          <w:u w:val="single"/>
        </w:rPr>
        <w:t>Interpretation and Construction</w:t>
      </w:r>
      <w:r>
        <w:rPr>
          <w:rFonts w:ascii="Times New Roman;Times;Serif" w:hAnsi="Times New Roman;Times;Serif"/>
          <w:b w:val="false"/>
          <w:i w:val="false"/>
          <w:caps w:val="false"/>
          <w:smallCaps w:val="false"/>
          <w:sz w:val="20"/>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hereto, and no presumption or burden of proof will arise favoring or disfavoring any party by virtue of the authorship of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REMAINDER OF THIS PAGE IS INTENTIONALLY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Sponsor, Acquiror, and the Company have each caused this Sponsor Support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75"/>
        <w:gridCol w:w="611"/>
        <w:gridCol w:w="1178"/>
      </w:tblGrid>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SPONSOR:</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BURTECH LP LLC.</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3605"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Sponsor Support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59"/>
        <w:gridCol w:w="1850"/>
      </w:tblGrid>
      <w:tr>
        <w:trPr/>
        <w:tc>
          <w:tcPr>
            <w:tcW w:w="75" w:type="dxa"/>
            <w:tcBorders/>
            <w:vAlign w:val="center"/>
          </w:tcPr>
          <w:p>
            <w:pPr>
              <w:pStyle w:val="TableContents"/>
              <w:bidi w:val="0"/>
              <w:spacing w:before="0" w:after="283"/>
              <w:jc w:val="left"/>
              <w:rPr>
                <w:sz w:val="4"/>
                <w:szCs w:val="4"/>
              </w:rPr>
            </w:pPr>
            <w:r>
              <w:rPr>
                <w:sz w:val="4"/>
                <w:szCs w:val="4"/>
              </w:rPr>
            </w:r>
          </w:p>
        </w:tc>
        <w:tc>
          <w:tcPr>
            <w:tcW w:w="2809" w:type="dxa"/>
            <w:gridSpan w:val="2"/>
            <w:tcBorders/>
            <w:vAlign w:val="center"/>
          </w:tcPr>
          <w:p>
            <w:pPr>
              <w:pStyle w:val="TableContents"/>
              <w:bidi w:val="0"/>
              <w:spacing w:before="0" w:after="283"/>
              <w:jc w:val="left"/>
              <w:rPr>
                <w:b/>
                <w:sz w:val="20"/>
              </w:rPr>
            </w:pPr>
            <w:r>
              <w:rPr>
                <w:b/>
                <w:sz w:val="20"/>
              </w:rPr>
              <w:t>ACQUIROR:</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sz w:val="20"/>
              </w:rPr>
            </w:pPr>
            <w:r>
              <w:rPr>
                <w:caps/>
                <w:sz w:val="20"/>
              </w:rPr>
              <w:t>BURTECH ACQUISITION CORP.</w:t>
            </w:r>
          </w:p>
        </w:tc>
      </w:tr>
      <w:tr>
        <w:trPr/>
        <w:tc>
          <w:tcPr>
            <w:tcW w:w="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r>
      <w:tr>
        <w:trPr/>
        <w:tc>
          <w:tcPr>
            <w:tcW w:w="7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3605"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406"/>
        <w:gridCol w:w="784"/>
      </w:tblGrid>
      <w:tr>
        <w:trPr/>
        <w:tc>
          <w:tcPr>
            <w:tcW w:w="7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b/>
                <w:sz w:val="20"/>
              </w:rPr>
            </w:pPr>
            <w:r>
              <w:rPr>
                <w:b/>
                <w:sz w:val="20"/>
              </w:rPr>
              <w:t>COMPANY:</w:t>
            </w:r>
          </w:p>
        </w:tc>
      </w:tr>
      <w:tr>
        <w:trPr/>
        <w:tc>
          <w:tcPr>
            <w:tcW w:w="7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caps/>
                <w:sz w:val="20"/>
              </w:rPr>
            </w:pPr>
            <w:r>
              <w:rPr>
                <w:caps/>
                <w:sz w:val="20"/>
              </w:rPr>
              <w:t>BLAIZE, INC.</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r>
      <w:tr>
        <w:trPr/>
        <w:tc>
          <w:tcPr>
            <w:tcW w:w="75"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Sponsor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6" w:name="tm2333322d3_ex10-3.htm"/>
      <w:bookmarkStart w:id="37" w:name="kstm2333322d3_ex103"/>
      <w:bookmarkEnd w:id="36"/>
      <w:bookmarkEnd w:id="3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sz w:val="20"/>
        </w:rPr>
      </w:pPr>
      <w:r>
        <w:rPr>
          <w:rFonts w:ascii="Times New Roman;Times;Serif" w:hAnsi="Times New Roman;Times;Serif"/>
          <w:b/>
          <w:i/>
          <w:caps/>
          <w:sz w:val="20"/>
        </w:rPr>
        <w:t>FINAL FORM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AMENDED AND RESTATED</w:t>
        <w:br/>
        <w:t>REGISTRATION RIGHTS AGREEMENT</w:t>
      </w:r>
      <w:r>
        <w:rPr>
          <w:rFonts w:ascii="Times New Roman;Times;Serif" w:hAnsi="Times New Roman;Times;Serif"/>
          <w:b/>
          <w:i w:val="false"/>
          <w:caps/>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This Amended and Restated 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is made and entered into by and among Blaize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(formerly known as BurTech Acquisition Corp., a Delaware corporation), BurTech LP LLC, a Delaware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xml:space="preserve">”), the Persons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(together with the Sponsor, the “</w:t>
      </w:r>
      <w:r>
        <w:rPr>
          <w:rFonts w:ascii="Times New Roman;Times;Serif" w:hAnsi="Times New Roman;Times;Serif"/>
          <w:b w:val="false"/>
          <w:i w:val="false"/>
          <w:caps w:val="false"/>
          <w:smallCaps w:val="false"/>
          <w:sz w:val="20"/>
          <w:u w:val="single"/>
        </w:rPr>
        <w:t>Sponsor Group</w:t>
      </w:r>
      <w:r>
        <w:rPr>
          <w:rFonts w:ascii="Times New Roman;Times;Serif" w:hAnsi="Times New Roman;Times;Serif"/>
          <w:b w:val="false"/>
          <w:i w:val="false"/>
          <w:caps w:val="false"/>
          <w:smallCaps w:val="false"/>
          <w:sz w:val="20"/>
        </w:rPr>
        <w:t>”, and each member of the Sponsor Group, a “</w:t>
      </w:r>
      <w:r>
        <w:rPr>
          <w:rFonts w:ascii="Times New Roman;Times;Serif" w:hAnsi="Times New Roman;Times;Serif"/>
          <w:b w:val="false"/>
          <w:i w:val="false"/>
          <w:caps w:val="false"/>
          <w:smallCaps w:val="false"/>
          <w:sz w:val="20"/>
          <w:u w:val="single"/>
        </w:rPr>
        <w:t>Sponsor Holder</w:t>
      </w:r>
      <w:r>
        <w:rPr>
          <w:rFonts w:ascii="Times New Roman;Times;Serif" w:hAnsi="Times New Roman;Times;Serif"/>
          <w:b w:val="false"/>
          <w:i w:val="false"/>
          <w:caps w:val="false"/>
          <w:smallCaps w:val="false"/>
          <w:sz w:val="20"/>
        </w:rPr>
        <w:t>”) and certain former stockholders of Blaize Inc., a Delaware corporation (“</w:t>
      </w:r>
      <w:r>
        <w:rPr>
          <w:rFonts w:ascii="Times New Roman;Times;Serif" w:hAnsi="Times New Roman;Times;Serif"/>
          <w:b w:val="false"/>
          <w:i w:val="false"/>
          <w:caps w:val="false"/>
          <w:smallCaps w:val="false"/>
          <w:sz w:val="20"/>
          <w:u w:val="single"/>
        </w:rPr>
        <w:t>Blaize</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(such stockholders, the “</w:t>
      </w:r>
      <w:r>
        <w:rPr>
          <w:rFonts w:ascii="Times New Roman;Times;Serif" w:hAnsi="Times New Roman;Times;Serif"/>
          <w:b w:val="false"/>
          <w:i w:val="false"/>
          <w:caps w:val="false"/>
          <w:smallCaps w:val="false"/>
          <w:sz w:val="20"/>
          <w:u w:val="single"/>
        </w:rPr>
        <w:t>Blaize Holders</w:t>
      </w:r>
      <w:r>
        <w:rPr>
          <w:rFonts w:ascii="Times New Roman;Times;Serif" w:hAnsi="Times New Roman;Times;Serif"/>
          <w:b w:val="false"/>
          <w:i w:val="false"/>
          <w:caps w:val="false"/>
          <w:smallCaps w:val="false"/>
          <w:sz w:val="20"/>
        </w:rPr>
        <w:t xml:space="preserve">” and, collectively with the Sponsor Group and any person or entity who hereafter becomes a party to this Agreement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the Company and certain Sponsor Holders are party to that certain Registration Rights Agreement, dated as of December 10, 2021 (the “</w:t>
      </w:r>
      <w:r>
        <w:rPr>
          <w:rFonts w:ascii="Times New Roman;Times;Serif" w:hAnsi="Times New Roman;Times;Serif"/>
          <w:b w:val="false"/>
          <w:i w:val="false"/>
          <w:caps w:val="false"/>
          <w:smallCaps w:val="false"/>
          <w:sz w:val="20"/>
          <w:u w:val="single"/>
        </w:rPr>
        <w:t>Original RRA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the Company has entered into that certain Agreement and Plan of Merger, dated as of December 22, 2023, (as it may be amended or supplemented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the Company, BurTech Merger Sub Inc., a Delaware corporation and a direct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Blaize, pursuant to which, among other things, on the date hereof, Merger Sub will merge with and into Blaize, with Blaize continuing on as the surviving entity and a wholly owned subsidiary of the Company, on the terms and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on the date hereof, pursuant to the Merger Agreement, the Blaize Holders received shares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pursuant to Section 5.5 of the Original RRA, the provisions, covenants and conditions set forth therein may be amended or modified upon the written consent of the Company and the Holders (as defined in the Original RRA) of at least a majority in interest of the Registrable Securities (as defined in the Original RRA) at the time in question, and the Sponsor Group are collectively Holders in the aggregate of at least a majority in interest of the Registrable Securities as of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Whereas</w:t>
      </w:r>
      <w:r>
        <w:rPr>
          <w:rFonts w:ascii="Times New Roman;Times;Serif" w:hAnsi="Times New Roman;Times;Serif"/>
          <w:b w:val="false"/>
          <w:i w:val="false"/>
          <w:caps w:val="false"/>
          <w:smallCaps w:val="false"/>
          <w:sz w:val="20"/>
        </w:rPr>
        <w:t>, the Company and the Sponsor Group desire to amend and restate the Original RRA in its entirety and enter into this Agreement, pursuant to which the Company shall grant the Holders certain registration rights with respect to certain securities of the Company,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Now, 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 be updated prior to execution for any subsequent financing transactions,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Definitions</w:t>
      </w:r>
      <w:r>
        <w:rPr>
          <w:rFonts w:ascii="Times New Roman;Times;Serif" w:hAnsi="Times New Roman;Times;Serif"/>
          <w:b w:val="false"/>
          <w:i w:val="false"/>
          <w:caps w:val="false"/>
          <w:smallCaps w:val="false"/>
          <w:sz w:val="20"/>
        </w:rPr>
        <w:t xml:space="preserve">. The terms defined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shall, for all purposes of this Agreement, have the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Holder Common Stock</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of the Company, the Chief Financial Officer of the Company or the Board,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Blaize</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Blaize Holders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given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meaning given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given in the Preamble hereto and includes the Company’s successors by recapitalization, merger, consolidation, spin-off, reorganization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shall have the meaning given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S-1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S-3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shall have the meaning given in the Preamble hereto, for so long as such person or entity holds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Takedown Threshold</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RRA</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Transferees</w:t>
      </w:r>
      <w:r>
        <w:rPr>
          <w:rFonts w:ascii="Times New Roman;Times;Serif" w:hAnsi="Times New Roman;Times;Serif"/>
          <w:b w:val="false"/>
          <w:i w:val="false"/>
          <w:caps w:val="false"/>
          <w:smallCaps w:val="false"/>
          <w:sz w:val="20"/>
        </w:rPr>
        <w:t xml:space="preserve">” shall mean any person or entity to whom such Holder is permitted to transfer such Registrable Securities, subject to and in accordance with any applicable agreement between such Holder and/or their respective Permitted Transferees and the Company and any transferee thereafter, including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Security</w:t>
      </w:r>
      <w:r>
        <w:rPr>
          <w:rFonts w:ascii="Times New Roman;Times;Serif" w:hAnsi="Times New Roman;Times;Serif"/>
          <w:b w:val="false"/>
          <w:i w:val="false"/>
          <w:caps w:val="false"/>
          <w:smallCaps w:val="false"/>
          <w:sz w:val="20"/>
        </w:rPr>
        <w:t xml:space="preserve">” shall mean (a) any outstanding shares of Common Stock held by a Holder immediately following the Closing (including any shares of Common Stock distributed or distributable pursuant to the Merger Agreement); (b) any shares of Common Stock issuable upon the exercise of any other equity security of the Company held by a Holder immediately following the Closing (including any shares of Common Stock issuable upon the exercise of any other equity security of the Company distributed or distributable pursuant to the Merger Agreement), (c) the Earnout Shares (in each case, upon issuance thereof), (d) any Additional Holder Common Stock; and (e) any shares of Common Stock issued or issuable with respect to any securities referenced in clauses (a), (b), (c) and (d) above by way of a stock dividend or stock split or in connection with a recapitalization, merger, consolidation, spin-off, reorganization or similar transaction;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(ii) new certificates for such securities not bearing (or book-entry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limitation as to volume or manner of sale or the availability of current public information); and (E) such securities have been sold to, or through, a broker, dealer or underwriter in a public distribution or other public securities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shall mean the reasonable documented, out-of-pocket expenses of a Registration, including, without limitation,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and filing fees (including fees with respect to filings required to be made with the Financial Industry Regulatory Authority, Inc.) and any national securities exchange on which the Common Stock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fees and disbursements of outside counsel for the Underwriters in connection with blue sky qualifications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the Company incurred specifically in connection with such Registration;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an Underwritten Offering, reasonable and documented fees and expenses of one (1) legal counsel selected by the majority in interest of the Demanding Holders with the approval of the Company (which approval shall not be unreasonably withheld, conditioned or delayed) not to exceed $40,000 in the aggregate for each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w:t>
      </w:r>
      <w:r>
        <w:rPr>
          <w:rFonts w:ascii="Times New Roman;Times;Serif" w:hAnsi="Times New Roman;Times;Serif"/>
          <w:b w:val="false"/>
          <w:i w:val="false"/>
          <w:caps w:val="false"/>
          <w:smallCaps w:val="false"/>
          <w:sz w:val="20"/>
        </w:rPr>
        <w:t>” shall mean the Form S-1 Shelf, the Form S-3 Shelf or any Subsequent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shall mean a registration of securities pursuant to a registration statement filed with the Commission in accordance with and pursuant to Rule 415 promulgated under the Securities Act (or any successor rule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Takedown</w:t>
      </w:r>
      <w:r>
        <w:rPr>
          <w:rFonts w:ascii="Times New Roman;Times;Serif" w:hAnsi="Times New Roman;Times;Serif"/>
          <w:b w:val="false"/>
          <w:i w:val="false"/>
          <w:caps w:val="false"/>
          <w:smallCaps w:val="false"/>
          <w:sz w:val="20"/>
        </w:rPr>
        <w:t>” shall mean an Underwritten Shelf Takedown or any proposed transfer or sale using a Registration Statement, including a Piggyback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 Group</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 Holder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shall mean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Shelf Takedown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Notice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REGISTRATIONS AND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2.1.1        Filing</w:t>
      </w:r>
      <w:r>
        <w:rPr>
          <w:rFonts w:ascii="Times New Roman;Times;Serif" w:hAnsi="Times New Roman;Times;Serif"/>
          <w:b w:val="false"/>
          <w:i w:val="false"/>
          <w:caps w:val="false"/>
          <w:smallCaps w:val="false"/>
          <w:sz w:val="20"/>
        </w:rPr>
        <w:t>. Within thirty (30) calendar days following the Closing Date, the Company shall submit to or file with the Commission a Registration Statement for a Shelf Registration on Form S-1 (the “</w:t>
      </w:r>
      <w:r>
        <w:rPr>
          <w:rFonts w:ascii="Times New Roman;Times;Serif" w:hAnsi="Times New Roman;Times;Serif"/>
          <w:b w:val="false"/>
          <w:i w:val="false"/>
          <w:caps w:val="false"/>
          <w:smallCaps w:val="false"/>
          <w:sz w:val="20"/>
          <w:u w:val="single"/>
        </w:rPr>
        <w:t>Form S-1 Shelf</w:t>
      </w:r>
      <w:r>
        <w:rPr>
          <w:rFonts w:ascii="Times New Roman;Times;Serif" w:hAnsi="Times New Roman;Times;Serif"/>
          <w:b w:val="false"/>
          <w:i w:val="false"/>
          <w:caps w:val="false"/>
          <w:smallCaps w:val="false"/>
          <w:sz w:val="20"/>
        </w:rPr>
        <w:t>”) or a Registration Statement for a Shelf Registration on Form S-3 (the “</w:t>
      </w:r>
      <w:r>
        <w:rPr>
          <w:rFonts w:ascii="Times New Roman;Times;Serif" w:hAnsi="Times New Roman;Times;Serif"/>
          <w:b w:val="false"/>
          <w:i w:val="false"/>
          <w:caps w:val="false"/>
          <w:smallCaps w:val="false"/>
          <w:sz w:val="20"/>
          <w:u w:val="single"/>
        </w:rPr>
        <w:t>Form S-3 Shelf</w:t>
      </w:r>
      <w:r>
        <w:rPr>
          <w:rFonts w:ascii="Times New Roman;Times;Serif" w:hAnsi="Times New Roman;Times;Serif"/>
          <w:b w:val="false"/>
          <w:i w:val="false"/>
          <w:caps w:val="false"/>
          <w:smallCaps w:val="false"/>
          <w:sz w:val="20"/>
        </w:rPr>
        <w:t xml:space="preserve">”),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the one hundred twentieth (120th) calendar day following the filing date thereof if the Commission notifies the Company that it will “review” the Registration Statement and (b) the tenth (10th) business day after the date the Company is notified (orally or in writing, whichever is earlier) by the Commission that the Registration Statement will not be “reviewed” or will not be subject to further review. Such Shelf shall provide for the resale of the Registrable Securities included therein pursuant to any method or combination of methods legally available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Subsequent Shelf Registration</w:t>
      </w:r>
      <w:r>
        <w:rPr>
          <w:rFonts w:ascii="Times New Roman;Times;Serif" w:hAnsi="Times New Roman;Times;Serif"/>
          <w:b w:val="false"/>
          <w:i w:val="false"/>
          <w:caps w:val="false"/>
          <w:smallCaps w:val="false"/>
          <w:sz w:val="20"/>
        </w:rPr>
        <w:t xml:space="preserve">. If any Shelf ceases to be effective under the Securities Act for any reason at any time while Registrable Securities are still outstanding, the Company shall,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xml:space="preserve">”) registering the resale of all Registrable Securities (determined as of two (2) business days prior to such filing), and pursuant to any method or combination of methods legally available to, and requested by, any Holder named therein.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2.1.3        Additional Registrable Securities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in the event that any Holder holds Registrable Securities that are not registered for resale on a delayed or continuous basis, the Company, upon written request of a Sponsor Holder or a Blaize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only be required to cause such Registrable Securities to be so covered twice per calendar year for each of the Sponsor Holders and the Blaize Holders,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2.1.4        Requests for Underwritten Shelf Takedowns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a Sponsor Holder or a Blaize Holder (a Sponsor Holder or a Blaize Holder being in such case, a “</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may request to sell all or any portion of its Registrable Securities in an Underwritten Offering that is registered pursuant to the Shelf (each, an “</w:t>
      </w:r>
      <w:r>
        <w:rPr>
          <w:rFonts w:ascii="Times New Roman;Times;Serif" w:hAnsi="Times New Roman;Times;Serif"/>
          <w:b w:val="false"/>
          <w:i w:val="false"/>
          <w:caps w:val="false"/>
          <w:smallCaps w:val="false"/>
          <w:sz w:val="20"/>
          <w:u w:val="single"/>
        </w:rPr>
        <w:t>Underwritten Shelf Takedown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$50 million (the “</w:t>
      </w:r>
      <w:r>
        <w:rPr>
          <w:rFonts w:ascii="Times New Roman;Times;Serif" w:hAnsi="Times New Roman;Times;Serif"/>
          <w:b w:val="false"/>
          <w:i w:val="false"/>
          <w:caps w:val="false"/>
          <w:smallCaps w:val="false"/>
          <w:sz w:val="20"/>
          <w:u w:val="single"/>
        </w:rPr>
        <w:t>Minimum Takedown Threshold</w:t>
      </w:r>
      <w:r>
        <w:rPr>
          <w:rFonts w:ascii="Times New Roman;Times;Serif" w:hAnsi="Times New Roman;Times;Serif"/>
          <w:b w:val="false"/>
          <w:i w:val="false"/>
          <w:caps w:val="false"/>
          <w:smallCaps w:val="false"/>
          <w:sz w:val="20"/>
        </w:rPr>
        <w:t xml:space="preserve">”), net of all underwriting discounts and commissions.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Sponsor Holders may demand not more than two (2) and the Blaize Holders may demand not more than two (2) Underwritten Shelf Takedowns pursuant to this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in any twelve (12) month period. Notwithstanding anything to the contrary in this Agreement, the Company may effect any Underwritten Offering pursuant to any then effective Registration Statement, including a Form S-3, that is then available for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2.1.5        Reduction of Underwritten Offering</w:t>
      </w:r>
      <w:r>
        <w:rPr>
          <w:rFonts w:ascii="Times New Roman;Times;Serif" w:hAnsi="Times New Roman;Times;Serif"/>
          <w:b w:val="false"/>
          <w:i w:val="false"/>
          <w:caps w:val="false"/>
          <w:smallCaps w:val="false"/>
          <w:sz w:val="20"/>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then the Company shall include in such Underwritten Offering, before including any shares of Common Stock or other equity securities proposed to be sold by Company or by other holders of Common Stock or other equity securities, the Registrable Securities of the Demanding Holders and the Requesting Holders (if any) (pro rata (as nearly as practicable) based on the respective number of Registrable Securities that each Demanding Holder and Requesting Holder (if any) has requested be included in such Underwritten Shelf Takedown and the aggregate number of Registrable Securities that the Demanding Holders and Requesting Holders have requested be included in such Underwritten Shelf Takedown) that can be sold without exceeding the Maximum Number of Securities. To facilitate the allocation of Registrable Securities in accordance with the above provisions, the Company or the Underwriters may round the number of shares allocated to any Holder to the nearest 100 Registrable Securities. The Company shall not be required to include any Registrable Securities in such Underwritten Shelf Takedown unless the Holders accept the terms of the underwriting as agreed upon between the Company and its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2.1.6        Withdrawal</w:t>
      </w:r>
      <w:r>
        <w:rPr>
          <w:rFonts w:ascii="Times New Roman;Times;Serif" w:hAnsi="Times New Roman;Times;Serif"/>
          <w:b w:val="false"/>
          <w:i w:val="false"/>
          <w:caps w:val="false"/>
          <w:smallCaps w:val="false"/>
          <w:sz w:val="20"/>
        </w:rPr>
        <w:t>. Prior to the filing of the applicable “red herring” prospectus or prospectus supplement used for marketing such Underwritten Shelf Takedown, a majority in interest of the Demanding Holders initiating an Underwritten Shelf Takedown shall have the right to withdraw from such Underwritten Shelf Takedown for any or no reason whatsoever upon written notification (a “</w:t>
      </w:r>
      <w:r>
        <w:rPr>
          <w:rFonts w:ascii="Times New Roman;Times;Serif" w:hAnsi="Times New Roman;Times;Serif"/>
          <w:b w:val="false"/>
          <w:i w:val="false"/>
          <w:caps w:val="false"/>
          <w:smallCaps w:val="false"/>
          <w:sz w:val="20"/>
          <w:u w:val="single"/>
        </w:rPr>
        <w:t>Withdrawal Notice</w:t>
      </w:r>
      <w:r>
        <w:rPr>
          <w:rFonts w:ascii="Times New Roman;Times;Serif" w:hAnsi="Times New Roman;Times;Serif"/>
          <w:b w:val="false"/>
          <w:i w:val="false"/>
          <w:caps w:val="false"/>
          <w:smallCaps w:val="false"/>
          <w:sz w:val="20"/>
        </w:rPr>
        <w:t xml:space="preserve">”) to the Company and the Underwriter or Underwriters (if any) of their intention to withdraw from such Underwritten Shelf Takedown;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Sponsor Holder or a Blaize Holder may elect to have the Company continue an Underwritten Shelf Takedown if the Minimum Takedown Threshold would still be satisfied by the Registrable Securities proposed to be sold in the Underwritten Shelf Takedown by the Sponsor Holders, the Blaize Holders or any of their respective Permitted Transferees, as applicable. If withdrawn, a demand for an Underwritten Shelf Takedown shall constitute a demand for an Underwritten Shelf Takedown by the withdrawing Demanding Holder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Sponsor Holder or a Blaize Holder elects to continue an Underwritten Shelf Takedown pursuant to the proviso in the immediately preceding sentence, such Underwritten Shelf Takedown shall instead count as an Underwritten Shelf Takedown demanded by such Sponsor Holder or such Blaize Holder, as applicable,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other than if a withdrawing Demanding Holder elects to pay such Registration Expenses pursuant to the second sentence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2.2.1        Piggyback Rights</w:t>
      </w:r>
      <w:r>
        <w:rPr>
          <w:rFonts w:ascii="Times New Roman;Times;Serif" w:hAnsi="Times New Roman;Times;Serif"/>
          <w:b w:val="false"/>
          <w:i w:val="false"/>
          <w:caps w:val="false"/>
          <w:smallCaps w:val="false"/>
          <w:sz w:val="20"/>
        </w:rPr>
        <w:t xml:space="preserve">. If the Company or any Holder proposes to conduct a registered offering of, or if the Company proposes to file a Registration Statement under the Securities Act with respect to the Registration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an Underwritten Shelf Takedown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or (iv) for a dividend reinvestment plan, then the Company shall give written notice of such proposed offering to all of the Holders of Registrable Securities as soon as practicable but not less than five (5)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Times;Serif" w:hAnsi="Times New Roman;Times;Serif"/>
          <w:b w:val="false"/>
          <w:i w:val="false"/>
          <w:caps w:val="false"/>
          <w:smallCaps w:val="false"/>
          <w:sz w:val="20"/>
          <w:u w:val="single"/>
        </w:rPr>
        <w:t xml:space="preserve">Section 2.2.1 </w:t>
      </w:r>
      <w:r>
        <w:rPr>
          <w:rFonts w:ascii="Times New Roman;Times;Serif" w:hAnsi="Times New Roman;Times;Serif"/>
          <w:b w:val="false"/>
          <w:i w:val="false"/>
          <w:caps w:val="false"/>
          <w:smallCaps w:val="false"/>
          <w:sz w:val="20"/>
        </w:rPr>
        <w:t xml:space="preserve">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 Notwithstanding anything to the contrary in this Agreement, the Holders shall have no rights under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if the registration statement the Company proposes to file is solely for purposes of a delayed or continuous offering pursuant to Rule 415 under the Securities Act and, at the time of the filing of such registration statement, the Company is in compliance with its obligations under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2.2.2        Reduction of Piggyback Registration</w:t>
      </w:r>
      <w:r>
        <w:rPr>
          <w:rFonts w:ascii="Times New Roman;Times;Serif" w:hAnsi="Times New Roman;Times;Serif"/>
          <w:b w:val="false"/>
          <w:i w:val="false"/>
          <w:caps w:val="false"/>
          <w:smallCaps w:val="false"/>
          <w:sz w:val="20"/>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that the Company desires to sell, taken together with (i) the shares of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Times;Serif" w:hAnsi="Times New Roman;Times;Serif"/>
          <w:b w:val="false"/>
          <w:i w:val="false"/>
          <w:caps w:val="false"/>
          <w:smallCaps w:val="false"/>
          <w:sz w:val="20"/>
          <w:u w:val="single"/>
        </w:rPr>
        <w:t xml:space="preserve">Section 2.2 </w:t>
      </w:r>
      <w:r>
        <w:rPr>
          <w:rFonts w:ascii="Times New Roman;Times;Serif" w:hAnsi="Times New Roman;Times;Serif"/>
          <w:b w:val="false"/>
          <w:i w:val="false"/>
          <w:caps w:val="false"/>
          <w:smallCaps w:val="false"/>
          <w:sz w:val="20"/>
        </w:rPr>
        <w:t>hereof, and (iii)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xml:space="preserve">if the Registration is pursuant to a demand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pro rata (as nearly as practicable),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if the Registration and Underwritten Shelf Takedown is pursuant to a request by Holder(s) of Registrable Securities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then the Company shall include in any such Registration securities in the priority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2.2.3        Piggyback Registration Withdrawal</w:t>
      </w:r>
      <w:r>
        <w:rPr>
          <w:rFonts w:ascii="Times New Roman;Times;Serif" w:hAnsi="Times New Roman;Times;Serif"/>
          <w:b w:val="false"/>
          <w:i w:val="false"/>
          <w:caps w:val="false"/>
          <w:smallCaps w:val="false"/>
          <w:sz w:val="20"/>
        </w:rPr>
        <w:t xml:space="preserve">. Any Holder of Registrable Securities (other than a Demanding Holder, whose right to withdraw from an Underwritten Shelf Takedown, and related obligations, shall be governed by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2.2.4        Unlimited Piggyback Registration Rights</w:t>
      </w:r>
      <w:r>
        <w:rPr>
          <w:rFonts w:ascii="Times New Roman;Times;Serif" w:hAnsi="Times New Roman;Times;Serif"/>
          <w:b w:val="false"/>
          <w:i w:val="false"/>
          <w:caps w:val="false"/>
          <w:smallCaps w:val="false"/>
          <w:sz w:val="20"/>
        </w:rPr>
        <w:t xml:space="preserve">. For purposes of clarity,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any Piggyback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shall not be counted as a demand for an Underwritten Shelf Takedown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Market Stand-off</w:t>
      </w:r>
      <w:r>
        <w:rPr>
          <w:rFonts w:ascii="Times New Roman;Times;Serif" w:hAnsi="Times New Roman;Times;Serif"/>
          <w:b w:val="false"/>
          <w:i w:val="false"/>
          <w:caps w:val="false"/>
          <w:smallCaps w:val="false"/>
          <w:sz w:val="20"/>
        </w:rPr>
        <w:t>. In connection with any Underwritten Offering of equity securities of the Company, if requested by the managing Underwriters, each Holder that is an executive officer or director of the Company or a Holder of more than five percent (5%) of the outstanding Common Stock (and for which it is customary for such a Holder to agree to a lock-up) agrees that it shall not Transfer any shares of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COMPANY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General Procedures</w:t>
      </w:r>
      <w:r>
        <w:rPr>
          <w:rFonts w:ascii="Times New Roman;Times;Serif" w:hAnsi="Times New Roman;Times;Serif"/>
          <w:b w:val="false"/>
          <w:i w:val="false"/>
          <w:caps w:val="false"/>
          <w:smallCaps w:val="false"/>
          <w:sz w:val="20"/>
        </w:rPr>
        <w:t>. In connection with any Shelf and/or Shelf Takedown, the Company shall use its commercially reasonable efforts to effect such Registration to permit the sale of such Registrable Securities in accordance with the intended plan of distribution thereof, and pursuant thereto the Company shall,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w:t>
      </w:r>
      <w:r>
        <w:rPr>
          <w:rFonts w:ascii="Times New Roman;Times;Serif" w:hAnsi="Times New Roman;Times;Serif"/>
          <w:b w:val="false"/>
          <w:i w:val="false"/>
          <w:caps w:val="false"/>
          <w:smallCaps w:val="false"/>
          <w:sz w:val="20"/>
        </w:rPr>
        <w:t>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w:t>
      </w:r>
      <w:r>
        <w:rPr>
          <w:rFonts w:ascii="Times New Roman;Times;Serif" w:hAnsi="Times New Roman;Times;Serif"/>
          <w:b w:val="false"/>
          <w:i w:val="false"/>
          <w:caps w:val="false"/>
          <w:smallCaps w:val="false"/>
          <w:sz w:val="20"/>
        </w:rPr>
        <w:t>prepare and file with the Commission such amendments and post-effective amendments to the Registration Statement, and such supplements to the Prospectus, as may be reasonably requested by any Holder that holds at least ten percent (10%) of the then outstanding number of shares of Common Stock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w:t>
      </w:r>
      <w:r>
        <w:rPr>
          <w:rFonts w:ascii="Times New Roman;Times;Serif" w:hAnsi="Times New Roman;Times;Serif"/>
          <w:b w:val="false"/>
          <w:i w:val="false"/>
          <w:caps w:val="false"/>
          <w:smallCaps w:val="false"/>
          <w:sz w:val="20"/>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w:t>
      </w:r>
      <w:r>
        <w:rPr>
          <w:rFonts w:ascii="Times New Roman;Times;Serif" w:hAnsi="Times New Roman;Times;Serif"/>
          <w:b w:val="false"/>
          <w:i w:val="false"/>
          <w:caps w:val="false"/>
          <w:smallCaps w:val="false"/>
          <w:sz w:val="20"/>
        </w:rPr>
        <w:t xml:space="preserve">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w:t>
      </w:r>
      <w:r>
        <w:rPr>
          <w:rFonts w:ascii="Times New Roman;Times;Serif" w:hAnsi="Times New Roman;Times;Serif"/>
          <w:b w:val="false"/>
          <w:i w:val="false"/>
          <w:caps w:val="false"/>
          <w:smallCaps w:val="false"/>
          <w:sz w:val="20"/>
        </w:rPr>
        <w:t>cause all such Registrable Securities to be listed on each national securities exchange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w:t>
      </w:r>
      <w:r>
        <w:rPr>
          <w:rFonts w:ascii="Times New Roman;Times;Serif" w:hAnsi="Times New Roman;Times;Serif"/>
          <w:b w:val="false"/>
          <w:i w:val="false"/>
          <w:caps w:val="false"/>
          <w:smallCaps w:val="false"/>
          <w:sz w:val="20"/>
        </w:rPr>
        <w:t>provide a transfer agent or warrant agent, as applicable, and registrar for all such Registrable Securities no later than the effective date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3.1.7        </w:t>
      </w:r>
      <w:r>
        <w:rPr>
          <w:rFonts w:ascii="Times New Roman;Times;Serif" w:hAnsi="Times New Roman;Times;Serif"/>
          <w:b w:val="false"/>
          <w:i w:val="false"/>
          <w:caps w:val="false"/>
          <w:smallCaps w:val="false"/>
          <w:sz w:val="20"/>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3.1.8        </w:t>
      </w:r>
      <w:r>
        <w:rPr>
          <w:rFonts w:ascii="Times New Roman;Times;Serif" w:hAnsi="Times New Roman;Times;Serif"/>
          <w:b w:val="false"/>
          <w:i w:val="false"/>
          <w:caps w:val="false"/>
          <w:smallCaps w:val="false"/>
          <w:sz w:val="20"/>
        </w:rPr>
        <w:t>prior to the filing of any Registration Statement or Prospectus or any amendment or supplement to such Registration Statement or Prospectus, furnish a copy thereof to each seller of such Registrable Securities or its counsel (excluding any exhibits thereto and any filing made under the Exchange Act that is to be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3.1.9        </w:t>
      </w:r>
      <w:r>
        <w:rPr>
          <w:rFonts w:ascii="Times New Roman;Times;Serif" w:hAnsi="Times New Roman;Times;Serif"/>
          <w:b w:val="false"/>
          <w:i w:val="false"/>
          <w:caps w:val="false"/>
          <w:smallCaps w:val="false"/>
          <w:sz w:val="20"/>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3.1.10      </w:t>
      </w:r>
      <w:r>
        <w:rPr>
          <w:rFonts w:ascii="Times New Roman;Times;Serif" w:hAnsi="Times New Roman;Times;Serif"/>
          <w:b w:val="false"/>
          <w:i w:val="false"/>
          <w:caps w:val="false"/>
          <w:smallCaps w:val="false"/>
          <w:sz w:val="20"/>
        </w:rPr>
        <w:t xml:space="preserve">in the event of an Underwritten Offering or sale by a broker, placement agent or sales agent pursuant to such Registration, permit a representative of the Holders, the Underwriters or other financial institutions facilitating such Underwritten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such representatives, Underwriters or financial institutions agree to confidentiality arrangements in form and substance reasonably satisfactory to the Company, prior to the release or disclosure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3.1.11      </w:t>
      </w:r>
      <w:r>
        <w:rPr>
          <w:rFonts w:ascii="Times New Roman;Times;Serif" w:hAnsi="Times New Roman;Times;Serif"/>
          <w:b w:val="false"/>
          <w:i w:val="false"/>
          <w:caps w:val="false"/>
          <w:smallCaps w:val="false"/>
          <w:sz w:val="20"/>
        </w:rPr>
        <w:t>use commercially reasonable efforts to obtain a “comfort” letter (including a bring-down letter dated as of the date the Registrable Securities are delivered for sale pursuant to such Registration) from the Company’s independent registered public accountants in the event of an Underwritten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as the managing Underwriter may reasonably request, and reasonably satisfactory to a majority in interest of the participating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3.1.12      </w:t>
      </w:r>
      <w:r>
        <w:rPr>
          <w:rFonts w:ascii="Times New Roman;Times;Serif" w:hAnsi="Times New Roman;Times;Serif"/>
          <w:b w:val="false"/>
          <w:i w:val="false"/>
          <w:caps w:val="false"/>
          <w:smallCaps w:val="false"/>
          <w:sz w:val="20"/>
        </w:rPr>
        <w:t>in the event of an Underwritten Offering or sale by a broker, placement agent or sales agent pursuant to such Registration, on the date the Registrable Securities are delivered for sale pursuant to such Registration,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provided such participating Holders provide such information to such counsel as is customarily required for purpose of such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3.1.13      </w:t>
      </w:r>
      <w:r>
        <w:rPr>
          <w:rFonts w:ascii="Times New Roman;Times;Serif" w:hAnsi="Times New Roman;Times;Serif"/>
          <w:b w:val="false"/>
          <w:i w:val="false"/>
          <w:caps w:val="false"/>
          <w:smallCaps w:val="false"/>
          <w:sz w:val="20"/>
        </w:rPr>
        <w:t>in the event of any Underwritten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3.1.14      </w:t>
      </w:r>
      <w:r>
        <w:rPr>
          <w:rFonts w:ascii="Times New Roman;Times;Serif" w:hAnsi="Times New Roman;Times;Serif"/>
          <w:b w:val="false"/>
          <w:i w:val="false"/>
          <w:caps w:val="false"/>
          <w:smallCaps w:val="false"/>
          <w:sz w:val="20"/>
        </w:rPr>
        <w:t>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3.1.15      </w:t>
      </w:r>
      <w:r>
        <w:rPr>
          <w:rFonts w:ascii="Times New Roman;Times;Serif" w:hAnsi="Times New Roman;Times;Serif"/>
          <w:b w:val="false"/>
          <w:i w:val="false"/>
          <w:caps w:val="false"/>
          <w:smallCaps w:val="false"/>
          <w:sz w:val="20"/>
        </w:rPr>
        <w:t xml:space="preserve">if the Registration involves the Registration of Registrable Securities involving gross proceeds in excess of $50 million with respect to an Underwritten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use its commercially reasonable efforts to make available senior executives of the Company to participate in customary “road show” presentations that may be reasonably requested by the Underwriter in such Underwritten Offering;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3.1.16      </w:t>
      </w:r>
      <w:r>
        <w:rPr>
          <w:rFonts w:ascii="Times New Roman;Times;Serif" w:hAnsi="Times New Roman;Times;Serif"/>
          <w:b w:val="false"/>
          <w:i w:val="false"/>
          <w:caps w:val="false"/>
          <w:smallCaps w:val="false"/>
          <w:sz w:val="20"/>
        </w:rPr>
        <w:t>otherwise, in good faith, cooperate reasonably with, and take such customary actions as may reasonably be requested by the participating Holders, consistent with the terms of this Agreement, in connection with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be required to provide any documents or information to an Underwriter or broker, sales agent or placement agent if such Underwriter or broker, sales agent or placement agent has not then been named with respect to the applicable Underwritten Offering or other offering involving a registration as an Underwriter or broker, sales agent or placement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Registration Expenses</w:t>
      </w:r>
      <w:r>
        <w:rPr>
          <w:rFonts w:ascii="Times New Roman;Times;Serif" w:hAnsi="Times New Roman;Times;Serif"/>
          <w:b w:val="false"/>
          <w:i w:val="false"/>
          <w:caps w:val="false"/>
          <w:smallCaps w:val="false"/>
          <w:sz w:val="20"/>
        </w:rPr>
        <w:t>. The Registration Expenses of all Registrations shall be borne by the Company. It is acknowledged by the Holders that the Holders selling Registrable Securities in any offering shall bear all incremental selling expenses relating to the sale of such Registrable Securities, such as Underwriters’ commissions and discounts, brokerage fees, Underwriter marketing costs and, other than as set forth in the definition of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reasonable and documented fees and expenses of any legal counsel representing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Requirements for Participation in Registration Statements and Offerings</w:t>
      </w:r>
      <w:r>
        <w:rPr>
          <w:rFonts w:ascii="Times New Roman;Times;Serif" w:hAnsi="Times New Roman;Times;Serif"/>
          <w:b w:val="false"/>
          <w:i w:val="false"/>
          <w:caps w:val="false"/>
          <w:smallCaps w:val="false"/>
          <w:sz w:val="20"/>
        </w:rPr>
        <w:t xml:space="preserve">. The Holders of Registrable Securities shall provide such information as may reasonably be requested by the Company, or the managing Underwriter or placement agent or sales agent, if any, in connection with the preparation of any Registration Statement or Prospectus, including amendments and supplements thereto, in order to effect the registration of any Registrable Securities under the Securities Act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in connection with the Company’s obligation to comply with federal and applicable state securities laws.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The exclusion of a Holder’s Registrable Securities as a result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affect the registration of the other Registrable Securities to be included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Suspension of Sales; Adverse Disclosure; Restrictions on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3.4.1        </w:t>
      </w:r>
      <w:r>
        <w:rPr>
          <w:rFonts w:ascii="Times New Roman;Times;Serif" w:hAnsi="Times New Roman;Times;Serif"/>
          <w:b w:val="false"/>
          <w:i w:val="false"/>
          <w:caps w:val="false"/>
          <w:smallCaps w:val="false"/>
          <w:sz w:val="20"/>
        </w:rPr>
        <w:t>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3.4.2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3.4.4</w:t>
      </w:r>
      <w:r>
        <w:rPr>
          <w:rFonts w:ascii="Times New Roman;Times;Serif" w:hAnsi="Times New Roman;Times;Serif"/>
          <w:b w:val="false"/>
          <w:i w:val="false"/>
          <w:caps w:val="false"/>
          <w:smallCaps w:val="false"/>
          <w:sz w:val="20"/>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3.4.3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3.4.4</w:t>
      </w:r>
      <w:r>
        <w:rPr>
          <w:rFonts w:ascii="Times New Roman;Times;Serif" w:hAnsi="Times New Roman;Times;Serif"/>
          <w:b w:val="false"/>
          <w:i w:val="false"/>
          <w:caps w:val="false"/>
          <w:smallCaps w:val="false"/>
          <w:sz w:val="20"/>
        </w:rPr>
        <w:t xml:space="preserve">, (a) during the period starting with the date sixty (60) days prior to the Company’s good faith estimate of the date of the filing of, and ending on a date one hundred and eighty (180) days after the effective date of, a Company-initiated Registration, and provided that the Company continues to actively employ, in good faith, all reasonable efforts to maintain the effectiveness of the applicable Shelf Registration Statement, or (b) if,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3.4.4        </w:t>
      </w:r>
      <w:r>
        <w:rPr>
          <w:rFonts w:ascii="Times New Roman;Times;Serif" w:hAnsi="Times New Roman;Times;Serif"/>
          <w:b w:val="false"/>
          <w:i w:val="false"/>
          <w:caps w:val="false"/>
          <w:smallCaps w:val="false"/>
          <w:sz w:val="20"/>
        </w:rPr>
        <w:t xml:space="preserve">The right to delay or suspend any filing, initial effectiveness or continued use of a Registration Statement pursuant to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xml:space="preserve"> or a registered offering pursuant to </w:t>
      </w:r>
      <w:r>
        <w:rPr>
          <w:rFonts w:ascii="Times New Roman;Times;Serif" w:hAnsi="Times New Roman;Times;Serif"/>
          <w:b w:val="false"/>
          <w:i w:val="false"/>
          <w:caps w:val="false"/>
          <w:smallCaps w:val="false"/>
          <w:sz w:val="20"/>
          <w:u w:val="single"/>
        </w:rPr>
        <w:t>Section 3.4.3</w:t>
      </w:r>
      <w:r>
        <w:rPr>
          <w:rFonts w:ascii="Times New Roman;Times;Serif" w:hAnsi="Times New Roman;Times;Serif"/>
          <w:b w:val="false"/>
          <w:i w:val="false"/>
          <w:caps w:val="false"/>
          <w:smallCaps w:val="false"/>
          <w:sz w:val="20"/>
        </w:rPr>
        <w:t xml:space="preserve"> shall be exercised by the Company, in the aggregate, for not more than ninety (90) consecutive calendar days or more than one hundred and twenty (120) total calendar days in each case, during any twelve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Reporting Obligations</w:t>
      </w:r>
      <w:r>
        <w:rPr>
          <w:rFonts w:ascii="Times New Roman;Times;Serif" w:hAnsi="Times New Roman;Times;Serif"/>
          <w:b w:val="false"/>
          <w:i w:val="false"/>
          <w:caps w:val="false"/>
          <w:smallCaps w:val="false"/>
          <w:sz w:val="20"/>
        </w:rPr>
        <w:t xml:space="preserve">. As long as any Holder shall own Registrable Securities, the Company, at all times while it shall be a reporting company under the Exchange Act, covenants to use commercially reasonable efforts to file timely (or obtain extensions in respect thereof and file within the applicable grace period) all reports required to be filed by the Company after the date hereof pursuant to Sections 13(a) or 15(d) of the Exchange Act and to promptly furnish the Holders upon written request with true and complete copies of all such filings;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documents publicly filed or furnished with the Commission pursuant to the Electronic Data Gathering, Analysis and Retrieval System shall be deemed to have been furnished or delivered to the Holders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further covenants that it shall use commercially reasonable efforts to take such further action as any Holder may reasonably request, all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        </w:t>
      </w:r>
      <w:r>
        <w:rPr>
          <w:rFonts w:ascii="Times New Roman;Times;Serif" w:hAnsi="Times New Roman;Times;Serif"/>
          <w:b w:val="false"/>
          <w:i w:val="false"/>
          <w:caps w:val="false"/>
          <w:smallCaps w:val="false"/>
          <w:sz w:val="20"/>
        </w:rPr>
        <w:t>The Company agrees to indemnify, to the extent permitted by law, each Holder of Registrable Securities, its officers, directors and agents and each person or entity who controls such Holder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filed pursuant to this Agreement or any omission or alleged omission of a material fact required to be stated therein or necessary to make the statements therein, in the case of a Prospectus or preliminary Prospectus in the light of the circumstances under which they were made, not misleading, except insofar as the same are caused by or contained in any information or affidavit so furnished in writing to the Company by such Holder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4.1.2        </w:t>
      </w:r>
      <w:r>
        <w:rPr>
          <w:rFonts w:ascii="Times New Roman;Times;Serif" w:hAnsi="Times New Roman;Times;Serif"/>
          <w:b w:val="false"/>
          <w:i w:val="false"/>
          <w:caps w:val="false"/>
          <w:smallCaps w:val="false"/>
          <w:sz w:val="20"/>
        </w:rPr>
        <w:t>In connection with any Registration Statement filed pursuant to this Agreement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xml:space="preserve">”)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or preliminary Prospectus in the light of the circumstances under which they were made, not misleading, but only to the extent that such untrue or alleged untrue statement is contained in (or not contained in, in the case of an omission or alleged omission) any information or affidavit so furnished in writing by or on behalf of such Holder expressly for use therein;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4.1.3        </w:t>
      </w:r>
      <w:r>
        <w:rPr>
          <w:rFonts w:ascii="Times New Roman;Times;Serif" w:hAnsi="Times New Roman;Times;Serif"/>
          <w:b w:val="false"/>
          <w:i w:val="false"/>
          <w:caps w:val="false"/>
          <w:smallCaps w:val="false"/>
          <w:sz w:val="20"/>
        </w:rPr>
        <w:t>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4.1.4        </w:t>
      </w:r>
      <w:r>
        <w:rPr>
          <w:rFonts w:ascii="Times New Roman;Times;Serif" w:hAnsi="Times New Roman;Times;Serif"/>
          <w:b w:val="false"/>
          <w:i w:val="false"/>
          <w:caps w:val="false"/>
          <w:smallCaps w:val="false"/>
          <w:sz w:val="20"/>
        </w:rPr>
        <w:t>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4.1.5        </w:t>
      </w:r>
      <w:r>
        <w:rPr>
          <w:rFonts w:ascii="Times New Roman;Times;Serif" w:hAnsi="Times New Roman;Times;Serif"/>
          <w:b w:val="false"/>
          <w:i w:val="false"/>
          <w:caps w:val="false"/>
          <w:smallCaps w:val="false"/>
          <w:sz w:val="20"/>
        </w:rPr>
        <w:t xml:space="preserve">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out-of-pocket expenses referred to herein, then the indemnifying party, in lieu of indemnifying the indemnified party, shall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No person or entity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from any person or entity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Notices</w:t>
      </w:r>
      <w:r>
        <w:rPr>
          <w:rFonts w:ascii="Times New Roman;Times;Serif" w:hAnsi="Times New Roman;Times;Serif"/>
          <w:b w:val="false"/>
          <w:i w:val="false"/>
          <w:caps w:val="false"/>
          <w:smallCaps w:val="false"/>
          <w:sz w:val="20"/>
        </w:rPr>
        <w:t>. Any notice or communication under this Agreement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Any notice or communication under this Agreement must be addressed, if to the Company, to: Blaize Holdings, Inc., 4659 Golden Foothill Parkway, Suite 206, El Dorado Hills, CA 95762, Attention: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Email: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and, if to any Holder, at such Holder’s address, electronic mail address or facsimile number as set forth in the Company’s books and records. Any party may change its address for notice at any time and from time to time by written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Assignment; No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5.2.1        </w:t>
      </w:r>
      <w:r>
        <w:rPr>
          <w:rFonts w:ascii="Times New Roman;Times;Serif" w:hAnsi="Times New Roman;Times;Serif"/>
          <w:b w:val="false"/>
          <w:i w:val="false"/>
          <w:caps w:val="false"/>
          <w:smallCaps w:val="false"/>
          <w:sz w:val="20"/>
        </w:rPr>
        <w:t>This Agreement and the rights, duties and obligations of the Company hereunder may not be assigned or delegated by the Company in whole or in part without the prior written consent of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5.2.2        </w:t>
      </w: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xml:space="preserve">, this Agreement and the rights, duties and obligations of a Holder hereunder may be assigned in whole or in part to such Holder’s Permitted Transferees;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the Blaize Holders and the Sponsor Group, the rights hereunder that are personal to such Holders may not be assigned or delegated in whole or in part, except that (x) each of the Holders shall be permitted to transfer its rights hereunder as a Holder to one or more affiliates or any direct or indirect partners, members or equity holders of such Holder (it being understood that no such transfer shall reduce any rights of such Holder or such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5.2.3        </w:t>
      </w:r>
      <w:r>
        <w:rPr>
          <w:rFonts w:ascii="Times New Roman;Times;Serif" w:hAnsi="Times New Roman;Times;Serif"/>
          <w:b w:val="false"/>
          <w:i w:val="false"/>
          <w:caps w:val="false"/>
          <w:smallCaps w:val="false"/>
          <w:sz w:val="20"/>
        </w:rPr>
        <w:t>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5.2.4        </w:t>
      </w:r>
      <w:r>
        <w:rPr>
          <w:rFonts w:ascii="Times New Roman;Times;Serif" w:hAnsi="Times New Roman;Times;Serif"/>
          <w:b w:val="false"/>
          <w:i w:val="false"/>
          <w:caps w:val="false"/>
          <w:smallCaps w:val="false"/>
          <w:sz w:val="20"/>
        </w:rPr>
        <w:t xml:space="preserve">This Agreement shall not confer any rights or benefits on any persons or entities that are not parties hereto, other than as expressly set forth in this Agreement and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5.2.5        </w:t>
      </w:r>
      <w:r>
        <w:rPr>
          <w:rFonts w:ascii="Times New Roman;Times;Serif" w:hAnsi="Times New Roman;Times;Serif"/>
          <w:b w:val="false"/>
          <w:i w:val="false"/>
          <w:caps w:val="false"/>
          <w:smallCaps w:val="false"/>
          <w:sz w:val="20"/>
        </w:rPr>
        <w:t xml:space="preserve">No assignment by any party hereto of such party’s rights, duties and obligations hereunder shall be binding upon or obligate the Company unless it is permitted under </w:t>
      </w:r>
      <w:r>
        <w:rPr>
          <w:rFonts w:ascii="Times New Roman;Times;Serif" w:hAnsi="Times New Roman;Times;Serif"/>
          <w:b w:val="false"/>
          <w:i w:val="false"/>
          <w:caps w:val="false"/>
          <w:smallCaps w:val="false"/>
          <w:sz w:val="20"/>
          <w:u w:val="single"/>
        </w:rPr>
        <w:t>Section 5.2.2</w:t>
      </w:r>
      <w:r>
        <w:rPr>
          <w:rFonts w:ascii="Times New Roman;Times;Serif" w:hAnsi="Times New Roman;Times;Serif"/>
          <w:b w:val="false"/>
          <w:i w:val="false"/>
          <w:caps w:val="false"/>
          <w:smallCaps w:val="false"/>
          <w:sz w:val="20"/>
        </w:rPr>
        <w:t xml:space="preserve"> and until the Company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Counterparts</w:t>
      </w:r>
      <w:r>
        <w:rPr>
          <w:rFonts w:ascii="Times New Roman;Times;Serif" w:hAnsi="Times New Roman;Times;Serif"/>
          <w:b w:val="false"/>
          <w:i w:val="false"/>
          <w:caps w:val="false"/>
          <w:smallCaps w:val="false"/>
          <w:sz w:val="20"/>
        </w:rPr>
        <w:t>. This Agreement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Governing Law; Venue</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herein,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TRIAL BY JURY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PARTY HERETO ACKNOWLEDGES AND AGREES THAT ANY CONTROVERSY WHICH MAY ARISE UNDER THIS AGREEMENT AND THE TRANSACTIONS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Amendments and Modifications</w:t>
      </w:r>
      <w:r>
        <w:rPr>
          <w:rFonts w:ascii="Times New Roman;Times;Serif" w:hAnsi="Times New Roman;Times;Serif"/>
          <w:b w:val="false"/>
          <w:i w:val="false"/>
          <w:caps w:val="false"/>
          <w:smallCaps w:val="false"/>
          <w:sz w:val="20"/>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notwithstanding the foregoing, any amendment hereto or waiver hereof shall also require the written consent of each Holder so long as such Holder and its affiliates hold, in the aggregate, at least ten percent (10%) of the outstanding shares of Common Stock of the Company;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Other Registration Rights</w:t>
      </w:r>
      <w:r>
        <w:rPr>
          <w:rFonts w:ascii="Times New Roman;Times;Serif" w:hAnsi="Times New Roman;Times;Serif"/>
          <w:b w:val="false"/>
          <w:i w:val="false"/>
          <w:caps w:val="false"/>
          <w:smallCaps w:val="false"/>
          <w:sz w:val="20"/>
        </w:rPr>
        <w:t>. Other than as provided in (i) the Warrant Agreement, dated as of December 10, 2021, between the Company and Continental Stock Transfer &amp; Trust Company, and (ii) [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the Company represents and warrants that no person,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Term</w:t>
      </w:r>
      <w:r>
        <w:rPr>
          <w:rFonts w:ascii="Times New Roman;Times;Serif" w:hAnsi="Times New Roman;Times;Serif"/>
          <w:b w:val="false"/>
          <w:i w:val="false"/>
          <w:caps w:val="false"/>
          <w:smallCaps w:val="false"/>
          <w:sz w:val="20"/>
        </w:rPr>
        <w:t xml:space="preserve">. This Agreement shall terminate on the earlier of (a) the seventh anniversary of the date of this Agreement and (b) with respect to any Holder, on the date that such Holder no longer holds any Registrable Securities. The provisions of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Other registration rights to be confirmed as of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Holder Information</w:t>
      </w:r>
      <w:r>
        <w:rPr>
          <w:rFonts w:ascii="Times New Roman;Times;Serif" w:hAnsi="Times New Roman;Times;Serif"/>
          <w:b w:val="false"/>
          <w:i w:val="false"/>
          <w:caps w:val="false"/>
          <w:smallCaps w:val="false"/>
          <w:sz w:val="20"/>
        </w:rPr>
        <w:t>. Each Holder agrees, if requested in writing, to represent to the Company the total number of Registrable Securities held by such Holder in order for the Company to make determinations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Additional Holders; Joinder</w:t>
      </w:r>
      <w:r>
        <w:rPr>
          <w:rFonts w:ascii="Times New Roman;Times;Serif" w:hAnsi="Times New Roman;Times;Serif"/>
          <w:b w:val="false"/>
          <w:i w:val="false"/>
          <w:caps w:val="false"/>
          <w:smallCaps w:val="false"/>
          <w:sz w:val="20"/>
        </w:rPr>
        <w:t xml:space="preserve">. In addition to persons or entities who may become Holders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hereof, subject to the prior written consent of the Sponsor and each Blaize Holder (in each case, so long as such Holder and its affiliates hold, in the aggregate, at least five percent (5%) of the outstanding shares of Common Stock of the Company), the Company may make any person or entity who has or acquires Common Stock or rights to acquire Common Stock after the date hereof a party to this Agreement (each such person or entity, an “</w:t>
      </w:r>
      <w:r>
        <w:rPr>
          <w:rFonts w:ascii="Times New Roman;Times;Serif" w:hAnsi="Times New Roman;Times;Serif"/>
          <w:b w:val="false"/>
          <w:i w:val="false"/>
          <w:caps w:val="false"/>
          <w:smallCaps w:val="false"/>
          <w:sz w:val="20"/>
          <w:u w:val="single"/>
        </w:rPr>
        <w:t>Additional Holder</w:t>
      </w:r>
      <w:r>
        <w:rPr>
          <w:rFonts w:ascii="Times New Roman;Times;Serif" w:hAnsi="Times New Roman;Times;Serif"/>
          <w:b w:val="false"/>
          <w:i w:val="false"/>
          <w:caps w:val="false"/>
          <w:smallCaps w:val="false"/>
          <w:sz w:val="20"/>
        </w:rPr>
        <w:t xml:space="preserve">”) by obtaining an executed joinder to this Agreement from such Additional Holder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Such Joinder shall specify the rights and obligations of the applicable Additional Holder under this Agreement. Upon the execution and delivery and subject to the terms of a Joinder by such Additional Holder, the Common Stock of the Company then owned, or underlying any rights then owned, by such Additional Holder (the “</w:t>
      </w:r>
      <w:r>
        <w:rPr>
          <w:rFonts w:ascii="Times New Roman;Times;Serif" w:hAnsi="Times New Roman;Times;Serif"/>
          <w:b w:val="false"/>
          <w:i w:val="false"/>
          <w:caps w:val="false"/>
          <w:smallCaps w:val="false"/>
          <w:sz w:val="20"/>
          <w:u w:val="single"/>
        </w:rPr>
        <w:t>Additional Holder Common Stock</w:t>
      </w:r>
      <w:r>
        <w:rPr>
          <w:rFonts w:ascii="Times New Roman;Times;Serif" w:hAnsi="Times New Roman;Times;Serif"/>
          <w:b w:val="false"/>
          <w:i w:val="false"/>
          <w:caps w:val="false"/>
          <w:smallCaps w:val="false"/>
          <w:sz w:val="20"/>
        </w:rPr>
        <w:t>”) shall be Registrable Securities to the extent provided herein and therein and such Additional Holder shall be a Holder under this Agreement with respect to such Additional Holder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Severability</w:t>
      </w:r>
      <w:r>
        <w:rPr>
          <w:rFonts w:ascii="Times New Roman;Times;Serif" w:hAnsi="Times New Roman;Times;Serif"/>
          <w:b w:val="false"/>
          <w:i w:val="false"/>
          <w:caps w:val="false"/>
          <w:smallCaps w:val="false"/>
          <w:sz w:val="20"/>
        </w:rPr>
        <w:t>. If any provision of this Agreement is held invalid or unenforceable by any court of competent jurisdiction, the other 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Entire Agreement; Restatement</w:t>
      </w:r>
      <w:r>
        <w:rPr>
          <w:rFonts w:ascii="Times New Roman;Times;Serif" w:hAnsi="Times New Roman;Times;Serif"/>
          <w:b w:val="false"/>
          <w:i w:val="false"/>
          <w:caps w:val="false"/>
          <w:smallCaps w:val="false"/>
          <w:sz w:val="20"/>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In Witness Whereof</w:t>
      </w:r>
      <w:r>
        <w:rPr>
          <w:rFonts w:ascii="Times New Roman;Times;Serif" w:hAnsi="Times New Roman;Times;Serif"/>
          <w:b w:val="false"/>
          <w:i w:val="false"/>
          <w:caps w:val="false"/>
          <w:smallCaps w:val="false"/>
          <w:sz w:val="20"/>
        </w:rPr>
        <w:t>,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2049"/>
        <w:gridCol w:w="2260"/>
      </w:tblGrid>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BLAIZE HOLDINGS, INC., </w:t>
            </w:r>
            <w:r>
              <w:rPr>
                <w:rFonts w:ascii="Times New Roman;Times;Serif" w:hAnsi="Times New Roman;Times;Serif"/>
                <w:b w:val="false"/>
                <w:i w:val="false"/>
                <w:caps w:val="false"/>
                <w:smallCaps w:val="false"/>
                <w:sz w:val="20"/>
              </w:rPr>
              <w:t>a Delaware corporation</w:t>
            </w:r>
          </w:p>
        </w:tc>
      </w:tr>
      <w:tr>
        <w:trPr/>
        <w:tc>
          <w:tcPr>
            <w:tcW w:w="7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924" w:type="dxa"/>
        <w:jc w:val="left"/>
        <w:tblInd w:w="0" w:type="dxa"/>
        <w:tblLayout w:type="fixed"/>
        <w:tblCellMar>
          <w:top w:w="0" w:type="dxa"/>
          <w:left w:w="0" w:type="dxa"/>
          <w:bottom w:w="0" w:type="dxa"/>
          <w:right w:w="0" w:type="dxa"/>
        </w:tblCellMar>
      </w:tblPr>
      <w:tblGrid>
        <w:gridCol w:w="75"/>
        <w:gridCol w:w="1436"/>
        <w:gridCol w:w="3413"/>
      </w:tblGrid>
      <w:tr>
        <w:trPr/>
        <w:tc>
          <w:tcPr>
            <w:tcW w:w="75"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tc>
      </w:tr>
      <w:tr>
        <w:trPr/>
        <w:tc>
          <w:tcPr>
            <w:tcW w:w="75"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BURTECH LP LLC, </w:t>
            </w:r>
            <w:r>
              <w:rPr>
                <w:rFonts w:ascii="Times New Roman;Times;Serif" w:hAnsi="Times New Roman;Times;Serif"/>
                <w:b w:val="false"/>
                <w:i w:val="false"/>
                <w:caps w:val="false"/>
                <w:smallCaps w:val="false"/>
                <w:sz w:val="20"/>
              </w:rPr>
              <w:t>a Delaware limited liability company</w:t>
            </w:r>
          </w:p>
        </w:tc>
      </w:tr>
      <w:tr>
        <w:trPr/>
        <w:tc>
          <w:tcPr>
            <w:tcW w:w="75"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1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1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1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824" w:type="dxa"/>
        <w:jc w:val="left"/>
        <w:tblInd w:w="0" w:type="dxa"/>
        <w:tblLayout w:type="fixed"/>
        <w:tblCellMar>
          <w:top w:w="0" w:type="dxa"/>
          <w:left w:w="0" w:type="dxa"/>
          <w:bottom w:w="0" w:type="dxa"/>
          <w:right w:w="0" w:type="dxa"/>
        </w:tblCellMar>
      </w:tblPr>
      <w:tblGrid>
        <w:gridCol w:w="75"/>
        <w:gridCol w:w="1551"/>
        <w:gridCol w:w="4198"/>
      </w:tblGrid>
      <w:tr>
        <w:trPr/>
        <w:tc>
          <w:tcPr>
            <w:tcW w:w="75" w:type="dxa"/>
            <w:tcBorders/>
            <w:vAlign w:val="center"/>
          </w:tcPr>
          <w:p>
            <w:pPr>
              <w:pStyle w:val="TableContents"/>
              <w:bidi w:val="0"/>
              <w:spacing w:before="0" w:after="283"/>
              <w:jc w:val="left"/>
              <w:rPr/>
            </w:pPr>
            <w:r>
              <w:rPr/>
              <w:t> </w:t>
            </w:r>
          </w:p>
        </w:tc>
        <w:tc>
          <w:tcPr>
            <w:tcW w:w="5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 HUTTON, DIVISION OF BENCHMARK INVESTMENTS, LLC</w:t>
            </w:r>
          </w:p>
        </w:tc>
      </w:tr>
      <w:tr>
        <w:trPr/>
        <w:tc>
          <w:tcPr>
            <w:tcW w:w="75" w:type="dxa"/>
            <w:tcBorders/>
            <w:vAlign w:val="center"/>
          </w:tcPr>
          <w:p>
            <w:pPr>
              <w:pStyle w:val="TableContents"/>
              <w:bidi w:val="0"/>
              <w:spacing w:before="0" w:after="283"/>
              <w:jc w:val="left"/>
              <w:rPr/>
            </w:pPr>
            <w:r>
              <w:rPr/>
              <w:t> </w:t>
            </w:r>
          </w:p>
        </w:tc>
        <w:tc>
          <w:tcPr>
            <w:tcW w:w="57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419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449" w:type="dxa"/>
        <w:jc w:val="left"/>
        <w:tblInd w:w="0" w:type="dxa"/>
        <w:tblLayout w:type="fixed"/>
        <w:tblCellMar>
          <w:top w:w="0" w:type="dxa"/>
          <w:left w:w="0" w:type="dxa"/>
          <w:bottom w:w="0" w:type="dxa"/>
          <w:right w:w="0" w:type="dxa"/>
        </w:tblCellMar>
      </w:tblPr>
      <w:tblGrid>
        <w:gridCol w:w="75"/>
        <w:gridCol w:w="1019"/>
        <w:gridCol w:w="1355"/>
      </w:tblGrid>
      <w:tr>
        <w:trPr/>
        <w:tc>
          <w:tcPr>
            <w:tcW w:w="75"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BURKHAN CAPITAL LLC</w:t>
            </w:r>
          </w:p>
        </w:tc>
      </w:tr>
      <w:tr>
        <w:trPr/>
        <w:tc>
          <w:tcPr>
            <w:tcW w:w="75"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13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1669"/>
        <w:gridCol w:w="2220"/>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[BURKHAN AFFILIATES AND NOMINEES]</w:t>
            </w:r>
          </w:p>
        </w:tc>
      </w:tr>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2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1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75"/>
        <w:gridCol w:w="545"/>
        <w:gridCol w:w="725"/>
      </w:tblGrid>
      <w:tr>
        <w:trPr/>
        <w:tc>
          <w:tcPr>
            <w:tcW w:w="75"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pursuant to the Amended and Restated Registration Rights Agreement, dated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2024 (as the same may hereafter be amended,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by and among Blaize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other persons or entities named as parties therein. Capitalized terms used but not otherwise defined herein shall have the meanings provided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Common Stock shall be included as Registrable Securities under the Registration Rights Agreement to the extent provided therein;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undersigned and its permitted assigns (if any) shall not have any rights as Holders, and the undersigned’s (and its transferees’) shares of Common Stock shall not be included as Registrable Securities, for purposes of the Excluded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Joinder, “</w:t>
      </w:r>
      <w:r>
        <w:rPr>
          <w:rFonts w:ascii="Times New Roman;Times;Serif" w:hAnsi="Times New Roman;Times;Serif"/>
          <w:b w:val="false"/>
          <w:i w:val="false"/>
          <w:caps w:val="false"/>
          <w:smallCaps w:val="false"/>
          <w:sz w:val="20"/>
          <w:u w:val="single"/>
        </w:rPr>
        <w:t>Excluded Sections</w:t>
      </w:r>
      <w:r>
        <w:rPr>
          <w:rFonts w:ascii="Times New Roman;Times;Serif" w:hAnsi="Times New Roman;Times;Serif"/>
          <w:b w:val="false"/>
          <w:i w:val="false"/>
          <w:caps w:val="false"/>
          <w:smallCaps w:val="false"/>
          <w:sz w:val="20"/>
        </w:rPr>
        <w:t>” shall mean [_____________].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 day of ________________, 20_________.</w:t>
      </w:r>
    </w:p>
    <w:p>
      <w:pPr>
        <w:pStyle w:val="TextBody"/>
        <w:bidi w:val="0"/>
        <w:spacing w:before="0" w:after="0"/>
        <w:ind w:left="0" w:right="0" w:hanging="0"/>
        <w:jc w:val="left"/>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1958"/>
        <w:gridCol w:w="221"/>
      </w:tblGrid>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Stockholder</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 of Stockholder</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2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58"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 20___</w:t>
      </w:r>
    </w:p>
    <w:p>
      <w:pPr>
        <w:pStyle w:val="TextBody"/>
        <w:bidi w:val="0"/>
        <w:spacing w:before="0" w:after="0"/>
        <w:ind w:left="0" w:right="0" w:hanging="0"/>
        <w:jc w:val="left"/>
        <w:rPr>
          <w:caps w:val="false"/>
          <w:smallCaps w:val="false"/>
        </w:rPr>
      </w:pPr>
      <w:r>
        <w:rPr>
          <w:caps w:val="false"/>
          <w:smallCaps w:val="false"/>
        </w:rPr>
        <w:t> </w:t>
      </w:r>
    </w:p>
    <w:tbl>
      <w:tblPr>
        <w:tblW w:w="1819" w:type="dxa"/>
        <w:jc w:val="left"/>
        <w:tblInd w:w="0" w:type="dxa"/>
        <w:tblLayout w:type="fixed"/>
        <w:tblCellMar>
          <w:top w:w="0" w:type="dxa"/>
          <w:left w:w="0" w:type="dxa"/>
          <w:bottom w:w="0" w:type="dxa"/>
          <w:right w:w="0" w:type="dxa"/>
        </w:tblCellMar>
      </w:tblPr>
      <w:tblGrid>
        <w:gridCol w:w="703"/>
        <w:gridCol w:w="1041"/>
        <w:gridCol w:w="75"/>
      </w:tblGrid>
      <w:tr>
        <w:trPr/>
        <w:tc>
          <w:tcPr>
            <w:tcW w:w="17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Holdings, Inc.</w:t>
            </w:r>
          </w:p>
        </w:tc>
        <w:tc>
          <w:tcPr>
            <w:tcW w:w="75" w:type="dxa"/>
            <w:tcBorders/>
            <w:vAlign w:val="center"/>
          </w:tcPr>
          <w:p>
            <w:pPr>
              <w:pStyle w:val="TableContents"/>
              <w:bidi w:val="0"/>
              <w:spacing w:before="0" w:after="283"/>
              <w:jc w:val="left"/>
              <w:rPr/>
            </w:pPr>
            <w:r>
              <w:rPr/>
              <w:t> </w:t>
            </w:r>
          </w:p>
        </w:tc>
      </w:tr>
      <w:tr>
        <w:trPr/>
        <w:tc>
          <w:tcPr>
            <w:tcW w:w="17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caps w:val="false"/>
                <w:smallCaps w:val="false"/>
              </w:rPr>
            </w:pPr>
            <w:r>
              <w:rPr>
                <w:caps w:val="false"/>
                <w:smallCaps w:val="false"/>
              </w:rPr>
              <w:t> </w:t>
            </w:r>
          </w:p>
        </w:tc>
        <w:tc>
          <w:tcPr>
            <w:tcW w:w="1041"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104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tbl>
      <w:tblPr>
        <w:tblW w:w="4355" w:type="dxa"/>
        <w:jc w:val="center"/>
        <w:tblInd w:w="0" w:type="dxa"/>
        <w:tblLayout w:type="fixed"/>
        <w:tblCellMar>
          <w:top w:w="28" w:type="dxa"/>
          <w:left w:w="108" w:type="dxa"/>
          <w:bottom w:w="28" w:type="dxa"/>
          <w:right w:w="108" w:type="dxa"/>
        </w:tblCellMar>
      </w:tblPr>
      <w:tblGrid>
        <w:gridCol w:w="4355"/>
      </w:tblGrid>
      <w:tr>
        <w:trPr/>
        <w:tc>
          <w:tcPr>
            <w:tcW w:w="435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Sponsor Group</w:t>
            </w:r>
          </w:p>
        </w:tc>
      </w:tr>
      <w:tr>
        <w:trPr/>
        <w:tc>
          <w:tcPr>
            <w:tcW w:w="435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 xml:space="preserve">BurTech LP LLC </w:t>
            </w:r>
          </w:p>
        </w:tc>
      </w:tr>
      <w:tr>
        <w:trPr/>
        <w:tc>
          <w:tcPr>
            <w:tcW w:w="435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EF Hutton, Division of Benchmark Investments, LLC</w:t>
            </w:r>
          </w:p>
        </w:tc>
      </w:tr>
      <w:tr>
        <w:trPr/>
        <w:tc>
          <w:tcPr>
            <w:tcW w:w="435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Burkhan Capital LLC and its affiliates and nominees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II</w:t>
      </w:r>
      <w:r>
        <w:rPr>
          <w:rFonts w:ascii="Times New Roman;Times;Serif" w:hAnsi="Times New Roman;Times;Serif"/>
          <w:b/>
          <w:i w:val="false"/>
          <w:caps w:val="false"/>
          <w:smallCaps w:val="false"/>
          <w:position w:val="7"/>
          <w:sz w:val="16"/>
          <w:sz w:val="20"/>
          <w:u w:val="single"/>
        </w:rPr>
        <w:t>3</w:t>
      </w:r>
    </w:p>
    <w:p>
      <w:pPr>
        <w:pStyle w:val="TextBody"/>
        <w:bidi w:val="0"/>
        <w:spacing w:before="0" w:after="0"/>
        <w:ind w:left="0" w:right="0" w:hanging="0"/>
        <w:jc w:val="left"/>
        <w:rPr>
          <w:caps w:val="false"/>
          <w:smallCaps w:val="false"/>
        </w:rPr>
      </w:pPr>
      <w:r>
        <w:rPr>
          <w:caps w:val="false"/>
          <w:smallCaps w:val="false"/>
        </w:rPr>
        <w:t> </w:t>
      </w:r>
    </w:p>
    <w:tbl>
      <w:tblPr>
        <w:tblW w:w="1310" w:type="dxa"/>
        <w:jc w:val="center"/>
        <w:tblInd w:w="0" w:type="dxa"/>
        <w:tblLayout w:type="fixed"/>
        <w:tblCellMar>
          <w:top w:w="28" w:type="dxa"/>
          <w:left w:w="108" w:type="dxa"/>
          <w:bottom w:w="28" w:type="dxa"/>
          <w:right w:w="108" w:type="dxa"/>
        </w:tblCellMar>
      </w:tblPr>
      <w:tblGrid>
        <w:gridCol w:w="1310"/>
      </w:tblGrid>
      <w:tr>
        <w:trPr/>
        <w:tc>
          <w:tcPr>
            <w:tcW w:w="131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Blaize Holders</w:t>
            </w:r>
          </w:p>
        </w:tc>
      </w:tr>
      <w:tr>
        <w:trPr/>
        <w:tc>
          <w:tcPr>
            <w:tcW w:w="131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rFonts w:ascii="Times New Roman;Times;Serif" w:hAnsi="Times New Roman;Times;Serif"/>
                <w:sz w:val="20"/>
              </w:rPr>
              <w:t>[ </w:t>
            </w:r>
            <w:r>
              <w:rPr>
                <w:rFonts w:ascii="Symbol" w:hAnsi="Symbol"/>
                <w:sz w:val="20"/>
              </w:rPr>
              <w:t>·</w:t>
            </w:r>
            <w:r>
              <w:rPr>
                <w:sz w:val="2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3 </w:t>
      </w:r>
      <w:r>
        <w:rPr>
          <w:rFonts w:ascii="Times New Roman;Times;Serif" w:hAnsi="Times New Roman;Times;Serif"/>
          <w:b w:val="false"/>
          <w:i w:val="false"/>
          <w:caps w:val="false"/>
          <w:smallCaps w:val="false"/>
          <w:sz w:val="20"/>
        </w:rPr>
        <w:t>To be updated based on Legacy Blaize capitalization as of immediately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 to Amended and Restated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tm2333322d3_ex10-4.htm"/>
      <w:bookmarkStart w:id="39" w:name="kstm2333322d3_ex104"/>
      <w:bookmarkEnd w:id="38"/>
      <w:bookmarkEnd w:id="39"/>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 is made and entered into by and among Blaize Holdings, Inc., a Delaware corporation (formerly known as BurTech Acquisition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Persons (as defined in the Merger Agreement (as defined below))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(such Persons, together with any other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val="false"/>
          <w:i w:val="false"/>
          <w:caps w:val="false"/>
          <w:smallCaps w:val="false"/>
          <w:sz w:val="20"/>
          <w:u w:val="single"/>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Securityholder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BurTech Merger Sub Inc., a Delaware corporation and a direct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w:t>
      </w:r>
      <w:r>
        <w:rPr>
          <w:rFonts w:ascii="Times New Roman;Times;Serif" w:hAnsi="Times New Roman;Times;Serif"/>
          <w:b w:val="false"/>
          <w:i w:val="false"/>
          <w:caps w:val="false"/>
          <w:smallCaps w:val="false"/>
          <w:sz w:val="20"/>
          <w:u w:val="single"/>
        </w:rPr>
        <w:t>Legacy Blaize</w:t>
      </w:r>
      <w:r>
        <w:rPr>
          <w:rFonts w:ascii="Times New Roman;Times;Serif" w:hAnsi="Times New Roman;Times;Serif"/>
          <w:b w:val="false"/>
          <w:i w:val="false"/>
          <w:caps w:val="false"/>
          <w:smallCaps w:val="false"/>
          <w:sz w:val="20"/>
        </w:rPr>
        <w:t>”), and, solely for limited purposes set forth therein, Burkhan Capital LLC, a Delaware limited liability company, entered into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capitalized terms used but not defined herein shall have the respective meanings ascribed to such terms in the Merger Agreement), dated as of December 22, 2023, pursuant to which, among other things, on the date hereof Merger Sub will merge with and into Legacy Blaize, with Legacy Blaize surviving as a wholly owned subsidiary of the Company, on the terms and conditions set forth therein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Closing, each of the Securityholders will own equity interests in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Merger, the parties hereto wish to set forth herein certain understandings between such parties with respect to restrictions on transfer of equity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Subject to the exceptions set forth herein, each Securityholder agrees not to, without the prior written consent of the board of directors of the Company,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promulgated thereunder, any shares of Acquiror Common Stock held by it immediately after the Effective Time, any shares of Acquiror Common Stock issuable upon the exercise or settlement, as applicable, of Acquiror Options or Acquiror RSUs held by it immediately after the Effective Time (other than shares of Acquiror Common Stock issued or issuable upon the exercise of Acquiror Private Placement Warrants), or any other securities convertible into or exercisable or exchangeable for Acquiror Common Stock held by it immediately after the Effective Time (other than Acquiror Private Placement Warrants) (collectively, the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(ii) enter into any swap or other arrangement that transfers to another, in whole or in part, any of the economic consequences of ownership of any of the Lock-Up Shares,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until the date that is 180 days after the Closing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subject to the early release provisions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restrictions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10000" w:type="dxa"/>
            <w:tcBorders/>
            <w:vAlign w:val="center"/>
          </w:tcPr>
          <w:p>
            <w:pPr>
              <w:pStyle w:val="TableContents"/>
              <w:bidi w:val="0"/>
              <w:spacing w:before="0" w:after="283"/>
              <w:jc w:val="both"/>
              <w:rPr/>
            </w:pPr>
            <w:r>
              <w:rPr/>
              <w:t>in the case of an entity, Transfers (A) to another entity that is an affiliate (as defined in Rule 405 promulgated under the Securities Act of 1933, as amended (the “</w:t>
            </w:r>
            <w:r>
              <w:rPr>
                <w:u w:val="single"/>
              </w:rPr>
              <w:t>Securities Act</w:t>
            </w:r>
            <w:r>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(iii)</w:t>
            </w:r>
          </w:p>
        </w:tc>
        <w:tc>
          <w:tcPr>
            <w:tcW w:w="9824" w:type="dxa"/>
            <w:tcBorders/>
            <w:vAlign w:val="center"/>
          </w:tcPr>
          <w:p>
            <w:pPr>
              <w:pStyle w:val="TableContents"/>
              <w:bidi w:val="0"/>
              <w:spacing w:before="0" w:after="283"/>
              <w:jc w:val="both"/>
              <w:rPr/>
            </w:pPr>
            <w:r>
              <w:rPr/>
              <w:t>in the case of an individual, Transfers by virtue of laws of descent and distribution upon death of the individual;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50" w:type="dxa"/>
            <w:tcBorders/>
            <w:vAlign w:val="center"/>
          </w:tcPr>
          <w:p>
            <w:pPr>
              <w:pStyle w:val="TableContents"/>
              <w:bidi w:val="0"/>
              <w:spacing w:before="0" w:after="283"/>
              <w:jc w:val="both"/>
              <w:rPr/>
            </w:pPr>
            <w:r>
              <w:rPr/>
              <w:t>in the case of an individual, Transfers by operation of law or pursuant to a court order, such as a qualified domestic relations order, divorce decree or separation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(v)</w:t>
            </w:r>
          </w:p>
        </w:tc>
        <w:tc>
          <w:tcPr>
            <w:tcW w:w="9928" w:type="dxa"/>
            <w:tcBorders/>
            <w:vAlign w:val="center"/>
          </w:tcPr>
          <w:p>
            <w:pPr>
              <w:pStyle w:val="TableContents"/>
              <w:bidi w:val="0"/>
              <w:spacing w:before="0" w:after="283"/>
              <w:jc w:val="both"/>
              <w:rPr/>
            </w:pPr>
            <w:r>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4"/>
        <w:gridCol w:w="9834"/>
      </w:tblGrid>
      <w:tr>
        <w:trPr/>
        <w:tc>
          <w:tcPr>
            <w:tcW w:w="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(vi)</w:t>
            </w:r>
          </w:p>
        </w:tc>
        <w:tc>
          <w:tcPr>
            <w:tcW w:w="9834"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9"/>
        <w:gridCol w:w="9789"/>
      </w:tblGrid>
      <w:tr>
        <w:trPr/>
        <w:tc>
          <w:tcPr>
            <w:tcW w:w="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(vii)</w:t>
            </w:r>
          </w:p>
        </w:tc>
        <w:tc>
          <w:tcPr>
            <w:tcW w:w="9789"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2"/>
        <w:gridCol w:w="9756"/>
      </w:tblGrid>
      <w:tr>
        <w:trPr/>
        <w:tc>
          <w:tcPr>
            <w:tcW w:w="3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(viii)</w:t>
            </w:r>
          </w:p>
        </w:tc>
        <w:tc>
          <w:tcPr>
            <w:tcW w:w="9756" w:type="dxa"/>
            <w:tcBorders/>
            <w:vAlign w:val="center"/>
          </w:tcPr>
          <w:p>
            <w:pPr>
              <w:pStyle w:val="TableContents"/>
              <w:bidi w:val="0"/>
              <w:spacing w:before="0" w:after="283"/>
              <w:jc w:val="both"/>
              <w:rPr/>
            </w:pPr>
            <w:r>
              <w:rPr/>
              <w:t xml:space="preserve">Transfers relating to Acquiror Common Stock or other securities convertible into or exercisable or exchangeable for Acquiror Common Stock acquired in open market transactions after the Closing; </w:t>
            </w:r>
            <w:r>
              <w:rPr>
                <w:i/>
              </w:rPr>
              <w:t>provided</w:t>
            </w:r>
            <w:r>
              <w:rPr/>
              <w:t xml:space="preserve"> that no such transaction is required to be, or is, publicly announced (whether on Form 4, Form 5 or otherwise, other than a required filing on Schedule 13F, 13G or 13G/A)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(ix)</w:t>
            </w:r>
          </w:p>
        </w:tc>
        <w:tc>
          <w:tcPr>
            <w:tcW w:w="9885" w:type="dxa"/>
            <w:tcBorders/>
            <w:vAlign w:val="center"/>
          </w:tcPr>
          <w:p>
            <w:pPr>
              <w:pStyle w:val="TableContents"/>
              <w:bidi w:val="0"/>
              <w:spacing w:before="0" w:after="283"/>
              <w:jc w:val="both"/>
              <w:rPr/>
            </w:pPr>
            <w:r>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(x)</w:t>
            </w:r>
          </w:p>
        </w:tc>
        <w:tc>
          <w:tcPr>
            <w:tcW w:w="9935" w:type="dxa"/>
            <w:tcBorders/>
            <w:vAlign w:val="center"/>
          </w:tcPr>
          <w:p>
            <w:pPr>
              <w:pStyle w:val="TableContents"/>
              <w:bidi w:val="0"/>
              <w:spacing w:before="0" w:after="283"/>
              <w:jc w:val="both"/>
              <w:rPr/>
            </w:pPr>
            <w:r>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(xi)</w:t>
            </w:r>
          </w:p>
        </w:tc>
        <w:tc>
          <w:tcPr>
            <w:tcW w:w="9880" w:type="dxa"/>
            <w:tcBorders/>
            <w:vAlign w:val="center"/>
          </w:tcPr>
          <w:p>
            <w:pPr>
              <w:pStyle w:val="TableContents"/>
              <w:bidi w:val="0"/>
              <w:spacing w:before="0" w:after="283"/>
              <w:jc w:val="both"/>
              <w:rPr/>
            </w:pPr>
            <w:r>
              <w:rPr/>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i/>
              </w:rPr>
              <w:t>provided</w:t>
            </w:r>
            <w:r>
              <w:rPr/>
              <w:t xml:space="preserve">, </w:t>
            </w:r>
            <w:r>
              <w:rPr>
                <w:i/>
              </w:rPr>
              <w:t>however</w:t>
            </w:r>
            <w:r>
              <w:rPr/>
              <w:t>, that such plan does not provide for, or permit, the sale of any shares of Acquiror Common Stock during the Lock-Up Period and no public announcement or filing is voluntarily made or required regarding such plan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0"/>
        <w:gridCol w:w="9808"/>
      </w:tblGrid>
      <w:tr>
        <w:trPr/>
        <w:tc>
          <w:tcPr>
            <w:tcW w:w="3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(xii)</w:t>
            </w:r>
          </w:p>
        </w:tc>
        <w:tc>
          <w:tcPr>
            <w:tcW w:w="9808" w:type="dxa"/>
            <w:tcBorders/>
            <w:vAlign w:val="center"/>
          </w:tcPr>
          <w:p>
            <w:pPr>
              <w:pStyle w:val="TableContents"/>
              <w:bidi w:val="0"/>
              <w:spacing w:before="0" w:after="283"/>
              <w:jc w:val="both"/>
              <w:rPr/>
            </w:pPr>
            <w:r>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36"/>
        <w:gridCol w:w="9732"/>
      </w:tblGrid>
      <w:tr>
        <w:trPr/>
        <w:tc>
          <w:tcPr>
            <w:tcW w:w="3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(xiii)</w:t>
            </w:r>
          </w:p>
        </w:tc>
        <w:tc>
          <w:tcPr>
            <w:tcW w:w="9732" w:type="dxa"/>
            <w:tcBorders/>
            <w:vAlign w:val="center"/>
          </w:tcPr>
          <w:p>
            <w:pPr>
              <w:pStyle w:val="TableContents"/>
              <w:bidi w:val="0"/>
              <w:spacing w:before="0" w:after="283"/>
              <w:jc w:val="both"/>
              <w:rPr/>
            </w:pPr>
            <w:r>
              <w:rPr/>
              <w:t>Transfers of any shares of Acquiror Common Stock issuable upon the conversion of the Company Common Stock that is issuable upon the exercise of the Burkhan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3"/>
        <w:gridCol w:w="9765"/>
      </w:tblGrid>
      <w:tr>
        <w:trPr/>
        <w:tc>
          <w:tcPr>
            <w:tcW w:w="3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(xiv)</w:t>
            </w:r>
          </w:p>
        </w:tc>
        <w:tc>
          <w:tcPr>
            <w:tcW w:w="9765" w:type="dxa"/>
            <w:tcBorders/>
            <w:vAlign w:val="center"/>
          </w:tcPr>
          <w:p>
            <w:pPr>
              <w:pStyle w:val="TableContents"/>
              <w:bidi w:val="0"/>
              <w:spacing w:before="0" w:after="283"/>
              <w:jc w:val="both"/>
              <w:rPr/>
            </w:pPr>
            <w:r>
              <w:rPr/>
              <w:t>Transfers to satisfy any U.S. federal, state, or local income tax obligations of a Securityholder (or its direct or indirect owners) arising from a change in the U.S. Internal Revenue Code of 1986, as amended (the “</w:t>
            </w:r>
            <w:r>
              <w:rPr>
                <w:u w:val="single"/>
              </w:rPr>
              <w:t>Code</w:t>
            </w:r>
            <w:r>
              <w:rPr/>
              <w:t>”), or the U.S. Treasury Regulations promulgated thereunder (the “</w:t>
            </w:r>
            <w:r>
              <w:rPr>
                <w:u w:val="single"/>
              </w:rPr>
              <w:t>Regulations</w:t>
            </w:r>
            <w:r>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in the case of clauses (i) through (vii), such permitted transferees must enter into a written agreement, in substantially the form 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that the Company releases or waives, in full or in part, any party from a lock-up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follow-on public offering of Acquiror Common Stock pursuant to a registration statement filed with the SEC, whether or not such offering or sale is wholly or partially a secondary offering of the Acquiror Common 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 (iv) 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Agreement shall terminate upon the earlier of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$12.00 per share (as adjusted for stock splits, stock dividends, reorganizations, recapitalizations and the like) for any 20 trading days within any 30-trading day period commencing at least 150 days after the date hereof and (iv) the liquidation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Except as set forth herein, no party hereto may assign either this Agreement or any of its rights, interests or obligations hereunder without the prior written consent of (i) with respect to any Securityholder, the Company, and (ii) with respect to the Company, the Securityholders holding a majority of the shares of Acquiror Common Stock then held by the Securityholders in the aggregate as to which this Agreement has not been terminated. Any purported assignment in violation of this paragraph shall be void and ineffectual and shall not operate to transfer or assign any interest or title to the purported assignee. This Agreement shall be binding on each Securityholder and each of its respective successors, heirs and assigns and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Agreement shall be brought and enforced in the Delaware Chancery Court, and irrevocably submit to such jurisdiction and venue, which jurisdiction and venue shall be exclusive and (ii) waive any objection to such exclusive jurisdiction and venue or that such courts represent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are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on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409" w:type="dxa"/>
        <w:jc w:val="left"/>
        <w:tblInd w:w="0" w:type="dxa"/>
        <w:tblLayout w:type="fixed"/>
        <w:tblCellMar>
          <w:top w:w="0" w:type="dxa"/>
          <w:left w:w="0" w:type="dxa"/>
          <w:bottom w:w="0" w:type="dxa"/>
          <w:right w:w="0" w:type="dxa"/>
        </w:tblCellMar>
      </w:tblPr>
      <w:tblGrid>
        <w:gridCol w:w="80"/>
        <w:gridCol w:w="1270"/>
        <w:gridCol w:w="1059"/>
      </w:tblGrid>
      <w:tr>
        <w:trPr/>
        <w:tc>
          <w:tcPr>
            <w:tcW w:w="8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BLAIZE HOLDINGS, INC.</w:t>
            </w:r>
          </w:p>
        </w:tc>
      </w:tr>
      <w:tr>
        <w:trPr/>
        <w:tc>
          <w:tcPr>
            <w:tcW w:w="8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80"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66" w:type="dxa"/>
        <w:jc w:val="left"/>
        <w:tblInd w:w="0" w:type="dxa"/>
        <w:tblLayout w:type="fixed"/>
        <w:tblCellMar>
          <w:top w:w="0" w:type="dxa"/>
          <w:left w:w="0" w:type="dxa"/>
          <w:bottom w:w="0" w:type="dxa"/>
          <w:right w:w="0" w:type="dxa"/>
        </w:tblCellMar>
      </w:tblPr>
      <w:tblGrid>
        <w:gridCol w:w="80"/>
        <w:gridCol w:w="1506"/>
        <w:gridCol w:w="980"/>
      </w:tblGrid>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SECURITYHOLDERS:</w:t>
            </w:r>
          </w:p>
        </w:tc>
      </w:tr>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80" w:type="dxa"/>
            <w:tcBorders/>
            <w:vAlign w:val="center"/>
          </w:tcPr>
          <w:p>
            <w:pPr>
              <w:pStyle w:val="TableContents"/>
              <w:bidi w:val="0"/>
              <w:spacing w:before="0" w:after="283"/>
              <w:jc w:val="left"/>
              <w:rPr/>
            </w:pPr>
            <w:r>
              <w:rPr/>
              <w:t> </w:t>
            </w:r>
          </w:p>
        </w:tc>
        <w:tc>
          <w:tcPr>
            <w:tcW w:w="24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       To include all officers, directors, 5% or more shareholders of the Company post-Closing and Burkhan Capital LLC and its Affiliates, other than any such person who is a party to that certain letter agreement, dated December 10, 2021, by and among the Company, its officers and directors, the Sponsor and certain other stockholders of the Company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0" w:name="tm2333322d3_ex10-5.htm"/>
      <w:bookmarkStart w:id="41" w:name="kstm2333322d3_ex105"/>
      <w:bookmarkEnd w:id="40"/>
      <w:bookmarkEnd w:id="4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BLAIZE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BURTECH LP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BURKHAN CAPITAL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each person identified on 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Stockholders’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202[</w:t>
      </w:r>
      <w:r>
        <w:rPr>
          <w:rFonts w:ascii="Times New Roman;Times;Serif" w:hAnsi="Times New Roman;Times;Serif"/>
          <w:b w:val="false"/>
          <w:i w:val="false"/>
          <w:caps/>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entered into by and among Blaize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(formerly known as BurTech Acquisition Corp., a Delaware corporation), BurTech LP LLC, a Delaware limited liability company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Burkhan Capital LLC, a Delaware limited liability company (“</w:t>
      </w:r>
      <w:r>
        <w:rPr>
          <w:rFonts w:ascii="Times New Roman;Times;Serif" w:hAnsi="Times New Roman;Times;Serif"/>
          <w:b/>
          <w:i w:val="false"/>
          <w:caps w:val="false"/>
          <w:smallCaps w:val="false"/>
          <w:sz w:val="20"/>
        </w:rPr>
        <w:t>Burkhan</w:t>
      </w:r>
      <w:r>
        <w:rPr>
          <w:rFonts w:ascii="Times New Roman;Times;Serif" w:hAnsi="Times New Roman;Times;Serif"/>
          <w:b w:val="false"/>
          <w:i w:val="false"/>
          <w:caps w:val="false"/>
          <w:smallCaps w:val="false"/>
          <w:sz w:val="20"/>
        </w:rPr>
        <w:t xml:space="preserve">”), and the Persons set forth on </w:t>
      </w:r>
      <w:r>
        <w:rPr>
          <w:rFonts w:ascii="Times New Roman;Times;Serif" w:hAnsi="Times New Roman;Times;Serif"/>
          <w:b/>
          <w:i w:val="false"/>
          <w:caps w:val="false"/>
          <w:smallCaps w:val="false"/>
          <w:sz w:val="20"/>
        </w:rPr>
        <w:t xml:space="preserve">Schedule I </w:t>
      </w:r>
      <w:r>
        <w:rPr>
          <w:rFonts w:ascii="Times New Roman;Times;Serif" w:hAnsi="Times New Roman;Times;Serif"/>
          <w:b w:val="false"/>
          <w:i w:val="false"/>
          <w:caps w:val="false"/>
          <w:smallCaps w:val="false"/>
          <w:sz w:val="20"/>
        </w:rPr>
        <w:t>hereto (together with Burkhan and the Sponsor,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The parties hereto are each sometimes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Capitalized terms used but not defined herein shall have the respective meanings ascribed to such terms in the Merger Agreement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that certain Agreement and Plan of Merger, dated as of December 22, 2023, (as it may be amended or supplemented from time to time,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by and among the Company, BurTech Merger Sub Inc., a Delaware corporation and a direct wholly owned subsidiary of the Company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Blaize, Inc., a Delaware corporation (“</w:t>
      </w:r>
      <w:r>
        <w:rPr>
          <w:rFonts w:ascii="Times New Roman;Times;Serif" w:hAnsi="Times New Roman;Times;Serif"/>
          <w:b/>
          <w:i w:val="false"/>
          <w:caps w:val="false"/>
          <w:smallCaps w:val="false"/>
          <w:sz w:val="20"/>
        </w:rPr>
        <w:t>Legacy Blaize</w:t>
      </w:r>
      <w:r>
        <w:rPr>
          <w:rFonts w:ascii="Times New Roman;Times;Serif" w:hAnsi="Times New Roman;Times;Serif"/>
          <w:b w:val="false"/>
          <w:i w:val="false"/>
          <w:caps w:val="false"/>
          <w:smallCaps w:val="false"/>
          <w:sz w:val="20"/>
        </w:rPr>
        <w:t>”), pursuant to which, among other things, on the date hereof, Merger Sub merged with and into Legacy Blaize, with Legacy Blaize continuing on as the surviving entity and a wholly owned subsidiary of the Company, on the terms and conditions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following the closing of the transactions contemplated by the Merger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each Stockholder beneficially owns and/or controls the number and percentage of the issued and outstanding shares of the Company’s common stock, par value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as set forth opposite such Stockholder’s name on Schedule I hereto,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the Merger Agreement, Burkhan and/or its Affiliates and/or its nominees have made a very significant financial contribution to Legacy Blaize that has benefitted the Company (the “</w:t>
      </w:r>
      <w:r>
        <w:rPr>
          <w:rFonts w:ascii="Times New Roman;Times;Serif" w:hAnsi="Times New Roman;Times;Serif"/>
          <w:b/>
          <w:i w:val="false"/>
          <w:caps w:val="false"/>
          <w:smallCaps w:val="false"/>
          <w:sz w:val="20"/>
        </w:rPr>
        <w:t>Burkhan Financial Contribution</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Burkhan and/or its Affiliates and/or its nominees were unwilling to make the Burkhan Financial Contribution unless the Company agreed to enter into this Agreement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hereinafter set forth and for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i w:val="false"/>
          <w: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shall have the meanings specified or referenced in this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claim, action, suit, audit, examination, assessment, arbitration, mediation or written inquiry, or any proceeding, investigation or judgment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Person that, directly or indirectly, controls, is controlled by, or is under common control with, such specified Person, whether through one or more intermediaries or otherwise. The term “control” (including the terms “controlling”, “controlled by” and “under common control with”) means the possession, directly or indirectly, of the power to direct or cause the direction of the management and policies of a Person, whether through the ownership of voting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has the meaning set forth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all applicable provisions of: (a) constitutions, treaties, statutes, laws (including the common law), rules, regulations, decrees, ordinances, codes, proclamations, declarations, or orders of any Governmental Authority; (b) any consents or approvals of any Governmental Authority; and (c) any orders, decisions, advisory or interpretative opinions, injunctions, judgments, awards, decrees of, or agreements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has the meaning set forth in Rule 13d-3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the meaning set forth in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Burkhan</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Burkhan Financial Contribution</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means the Amended and Restated Bylaws of the Company, as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the Third Amended and Restated Certificate of Incorporation of the Company, dated as of [●], 2024, as amended, modified,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III Director</w:t>
      </w:r>
      <w:r>
        <w:rPr>
          <w:rFonts w:ascii="Times New Roman;Times;Serif" w:hAnsi="Times New Roman;Times;Serif"/>
          <w:b w:val="false"/>
          <w:i w:val="false"/>
          <w:caps w:val="false"/>
          <w:smallCaps w:val="false"/>
          <w:sz w:val="20"/>
        </w:rPr>
        <w:t>” means that any Director designated as Class III director pursuant to the Company’s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Competitor</w:t>
      </w:r>
      <w:r>
        <w:rPr>
          <w:rFonts w:ascii="Times New Roman;Times;Serif" w:hAnsi="Times New Roman;Times;Serif"/>
          <w:b w:val="false"/>
          <w:i w:val="false"/>
          <w:caps w:val="false"/>
          <w:smallCaps w:val="false"/>
          <w:sz w:val="20"/>
        </w:rPr>
        <w:t>” means any Person that, directly or indirectly, competes with the Company and/or whose business is or includes the business of the Company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has the meaning set forth in Section 3.02(a).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Opportunity</w:t>
      </w:r>
      <w:r>
        <w:rPr>
          <w:rFonts w:ascii="Times New Roman;Times;Serif" w:hAnsi="Times New Roman;Times;Serif"/>
          <w:b w:val="false"/>
          <w:i w:val="false"/>
          <w:caps w:val="false"/>
          <w:smallCaps w:val="false"/>
          <w:sz w:val="20"/>
        </w:rPr>
        <w:t>” has the meaning set forth in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Stock Exchange</w:t>
      </w:r>
      <w:r>
        <w:rPr>
          <w:rFonts w:ascii="Times New Roman;Times;Serif" w:hAnsi="Times New Roman;Times;Serif"/>
          <w:b w:val="false"/>
          <w:i w:val="false"/>
          <w:caps w:val="false"/>
          <w:smallCaps w:val="false"/>
          <w:sz w:val="20"/>
        </w:rPr>
        <w:t>” has the meaning set forth in Section 2.01(h).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General Corporation Law of the State of Delaware, as amended from time to time and including any successor legislation thereto and any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 has the meaning set forth in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means the Bylaws and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provincial, municipal, local or foreign government, governmental authority, regulatory or administrative agency, governmental commission, department, board, bureau, agency or instrumentality, legislature, court or tribunal..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has the same meaning as in the rules and regulations of the Designated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Designee</w:t>
      </w:r>
      <w:r>
        <w:rPr>
          <w:rFonts w:ascii="Times New Roman;Times;Serif" w:hAnsi="Times New Roman;Times;Serif"/>
          <w:b w:val="false"/>
          <w:i w:val="false"/>
          <w:caps w:val="false"/>
          <w:smallCaps w:val="false"/>
          <w:sz w:val="20"/>
        </w:rPr>
        <w:t>” has the meaning set forth in Section 2.01(b).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Order</w:t>
      </w:r>
      <w:r>
        <w:rPr>
          <w:rFonts w:ascii="Times New Roman;Times;Serif" w:hAnsi="Times New Roman;Times;Serif"/>
          <w:b w:val="false"/>
          <w:i w:val="false"/>
          <w:caps w:val="false"/>
          <w:smallCaps w:val="false"/>
          <w:sz w:val="20"/>
        </w:rPr>
        <w:t>” means any order, judgment, injunction, decree, writ, stipulation, determination or award, in each case, entered by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statute, law (including common law), ordinance, rule, regulation, Governmental Order or other similar legal requirement, in each case,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Blaize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Marital Relationship</w:t>
      </w:r>
      <w:r>
        <w:rPr>
          <w:rFonts w:ascii="Times New Roman;Times;Serif" w:hAnsi="Times New Roman;Times;Serif"/>
          <w:b w:val="false"/>
          <w:i w:val="false"/>
          <w:caps w:val="false"/>
          <w:smallCaps w:val="false"/>
          <w:sz w:val="20"/>
        </w:rPr>
        <w:t>” means a civil union, domestic partnership, marriage, or any other similar relationship that is legally recognized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 has the meaning set forth in Section 5.06.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corporation, partnership, limited liability company, incorporated or unincorporated association, joint venture, joint stock company, Governmental Authority or instrumentality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Qualification Requirements</w:t>
      </w:r>
      <w:r>
        <w:rPr>
          <w:rFonts w:ascii="Times New Roman;Times;Serif" w:hAnsi="Times New Roman;Times;Serif"/>
          <w:b w:val="false"/>
          <w:i w:val="false"/>
          <w:caps w:val="false"/>
          <w:smallCaps w:val="false"/>
          <w:sz w:val="20"/>
        </w:rPr>
        <w:t>” has the meaning set forth in Section 2.01(h).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means, with respect to any Person, any and all directors, managers, members, partners, officers, employees, consultants, financial advisors, counsel, accountants, and other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means the shares of Common Stock and any securities issued in respect thereof, or in substitution therefor, in connection with any share split, dividend, or combination, or any reclassification, recapitalization, merger, consolidation, exchange, or similar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Spousal Consent</w:t>
      </w:r>
      <w:r>
        <w:rPr>
          <w:rFonts w:ascii="Times New Roman;Times;Serif" w:hAnsi="Times New Roman;Times;Serif"/>
          <w:b w:val="false"/>
          <w:i w:val="false"/>
          <w:caps w:val="false"/>
          <w:smallCaps w:val="false"/>
          <w:sz w:val="20"/>
        </w:rPr>
        <w:t>” has the meaning set forth in Section 5.15.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Spouse</w:t>
      </w:r>
      <w:r>
        <w:rPr>
          <w:rFonts w:ascii="Times New Roman;Times;Serif" w:hAnsi="Times New Roman;Times;Serif"/>
          <w:b w:val="false"/>
          <w:i w:val="false"/>
          <w:caps w:val="false"/>
          <w:smallCaps w:val="false"/>
          <w:sz w:val="20"/>
        </w:rPr>
        <w:t>” means a spouse, a party to a civil union, a domestic partner, a same-sex spouse or partner, or any individual in a Marital Relationship with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Designees</w:t>
      </w:r>
      <w:r>
        <w:rPr>
          <w:rFonts w:ascii="Times New Roman;Times;Serif" w:hAnsi="Times New Roman;Times;Serif"/>
          <w:b w:val="false"/>
          <w:i w:val="false"/>
          <w:caps w:val="false"/>
          <w:smallCaps w:val="false"/>
          <w:sz w:val="20"/>
        </w:rPr>
        <w:t>” has the meaning set forth in Section 2.01(b).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Group</w:t>
      </w:r>
      <w:r>
        <w:rPr>
          <w:rFonts w:ascii="Times New Roman;Times;Serif" w:hAnsi="Times New Roman;Times;Serif"/>
          <w:b w:val="false"/>
          <w:i w:val="false"/>
          <w:caps w:val="false"/>
          <w:smallCaps w:val="false"/>
          <w:sz w:val="20"/>
        </w:rPr>
        <w:t>” means the Stockholders and controlled Affiliates of Burkhan.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Termination Event</w:t>
      </w:r>
      <w:r>
        <w:rPr>
          <w:rFonts w:ascii="Times New Roman;Times;Serif" w:hAnsi="Times New Roman;Times;Serif"/>
          <w:b w:val="false"/>
          <w:i w:val="false"/>
          <w:caps w:val="false"/>
          <w:smallCaps w:val="false"/>
          <w:sz w:val="20"/>
        </w:rPr>
        <w:t>” has the meaning set forth in Section 2.01(b).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i w:val="false"/>
          <w:caps/>
          <w:sz w:val="20"/>
        </w:rPr>
        <w:br/>
        <w:t>Management and Operation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Board of Directors. </w:t>
      </w:r>
      <w:r>
        <w:rPr>
          <w:rFonts w:ascii="Times New Roman;Times;Serif" w:hAnsi="Times New Roman;Times;Serif"/>
          <w:b w:val="false"/>
          <w:i w:val="false"/>
          <w:caps w:val="false"/>
          <w:smallCaps w:val="false"/>
          <w:sz w:val="20"/>
        </w:rPr>
        <w:t>Each Party to this Agreement covenants and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as long as this Agreement remains in effect, the Company agrees that the business and affairs of the Company shall be managed through a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consisting of nine (9) members (each, a “</w:t>
      </w:r>
      <w:r>
        <w:rPr>
          <w:rFonts w:ascii="Times New Roman;Times;Serif" w:hAnsi="Times New Roman;Times;Serif"/>
          <w:b/>
          <w:i w:val="false"/>
          <w:caps w:val="false"/>
          <w:smallCaps w:val="false"/>
          <w:sz w:val="20"/>
        </w:rPr>
        <w:t>Director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so long as the Stockholder Group Beneficially Owns, in the aggregate, a number of Shares equal to or greater than ten percent (10%) of the total number of issued and outstanding Shares, the Stockholder Group shall have the right, but not the obligation, to designate two (2) Directors (each, a “</w:t>
      </w:r>
      <w:r>
        <w:rPr>
          <w:rFonts w:ascii="Times New Roman;Times;Serif" w:hAnsi="Times New Roman;Times;Serif"/>
          <w:b/>
          <w:i w:val="false"/>
          <w:caps w:val="false"/>
          <w:smallCaps w:val="false"/>
          <w:sz w:val="20"/>
        </w:rPr>
        <w:t>Stockholder Designee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Stockholder Group Beneficially Owns, in the aggregate, a number of Shares less than ten percent (10%) of the total number of issued and outstanding Shares, but the Sponsor and Burkhan Beneficially Own, in the aggregate, a number of Shares equal to or greater than five percent (5%) of the total number of issued and outstanding Shares, the Stockholders shall have the right, but not the obligation, to designate one (1) Stockholder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initial Stockholder Designees, each of whom is a Director as of the date hereof, are [●] and [●] (each, an “</w:t>
      </w:r>
      <w:r>
        <w:rPr>
          <w:rFonts w:ascii="Times New Roman;Times;Serif" w:hAnsi="Times New Roman;Times;Serif"/>
          <w:b/>
          <w:i w:val="false"/>
          <w:caps w:val="false"/>
          <w:smallCaps w:val="false"/>
          <w:sz w:val="20"/>
        </w:rPr>
        <w:t>Initial Designee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take, and cause to be taken, all necessary actions to ensure that each Stockholder Designee is nominated and elected as a Director from time to time on and after the date hereof pursuant to this Section 2.01, including to cause such Stockholder Designee to be so included in the slate of nominees recommended by the Board for election as Directors at each applicable annual meeting of the stockholders of the Company with respect to the election of the applicable class of Directors, to solicit proxies or consents in favor of such Stockholder Designee and to cause the applicable proxies to vote in accordance with the foregoing and for such Stockholder Designee to be duly elected and appointed to such position, subject, in each case, to the satisfaction of the Qualification Requirements pursuant to Section 2.01(h). If a Stockholder Designee is deemed to not satisfy the Qualification Requirements, the Stockholder Group shall have the right to designate a new individual as such Stockholder Designee. For so long as any Stockholder Designee serves as a member of the Board, each Stockholder Designee shall be a Class III Director (such Class III Directors serving three-year terms, subject in each case to re-election for additional three-year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of the Stockholder Group and the Stockholders to designate the Stockholder Designees pursuant to Section 2.01(b) and Section 2.01(c), respectively, to remove any Stockholder Designee pursuant to Section 2.01(j) and to replace any Stockholder Designee pursuant to Section 2.01(k) may be exercised at the direction of a Stockholder or Stockholders holding Shares representing a majority of the outstanding Shares collectively held by the Stockholders at such time and shall be coordinated by the Stockholder Group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Stockholder Designee shall hold office until the earlier to occur of (i) the expiration of such Stockholder Designee’s term, or (ii) such Stockholder Designee’s death, disability, retirement, resignation, or removal in accordance with Section 2.01(j);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(x) upon the termination of this Agreement in accordance with Section 4.01, the Stockholder Group shall cause each Stockholder Designee to immediately tender his or her resignation as a Director and (y) if the Stockholder Group ceases to Beneficially Own, in the aggregate, a number of Shares equal to or greater than ten percent (10%) of the total number of issued and outstanding Shares, the Stockholder Group shall, if applicable, cause a Stockholder Designee to immediately tender his or her resignation as a Director such that only one (1) Stockholder Designee continues to be a Director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nominee shall not be eligible to serve as a Stockholder Designee if (i) the election or appointment of such Person to the Board would result in the Company failing to comply with any rule or regulation of the Commission or any national securities exchange on which the Common Stock is listed or admitted to trading (the “</w:t>
      </w:r>
      <w:r>
        <w:rPr>
          <w:rFonts w:ascii="Times New Roman;Times;Serif" w:hAnsi="Times New Roman;Times;Serif"/>
          <w:b/>
          <w:i w:val="false"/>
          <w:caps w:val="false"/>
          <w:smallCaps w:val="false"/>
          <w:sz w:val="20"/>
        </w:rPr>
        <w:t>Designated Stock Exchange</w:t>
      </w:r>
      <w:r>
        <w:rPr>
          <w:rFonts w:ascii="Times New Roman;Times;Serif" w:hAnsi="Times New Roman;Times;Serif"/>
          <w:b w:val="false"/>
          <w:i w:val="false"/>
          <w:caps w:val="false"/>
          <w:smallCaps w:val="false"/>
          <w:sz w:val="20"/>
        </w:rPr>
        <w:t>”) or any other Applicable Law or (ii) such nominee: (A) does not satisfy the skill and experience qualifications for service as a director of the Company applicable to all Directors; (B) has engaged in acts or omissions constituting a breach of such Person’s fiduciary duties to the Company and its stockholders; (C) has engaged in acts or omissions that involve intentional misconduct or an intentional violation of Law; (D) has engaged in any transaction involving the Company from which such Person derived an improper personal benefit that was not disclosed to the Board prior to the authorization of such transaction; (E) is an employee or director of a Competitor of the Company; or (F) does not irrevocably agree in writing, in a form reasonably acceptable to the Company, subject to applicable law, to immediately offer to resign from the Board upon the occurrence of a Termination Event (such resignation to be accepted or rejected in the sole discretion of the Board) (collectively, the “</w:t>
      </w:r>
      <w:r>
        <w:rPr>
          <w:rFonts w:ascii="Times New Roman;Times;Serif" w:hAnsi="Times New Roman;Times;Serif"/>
          <w:b/>
          <w:i w:val="false"/>
          <w:caps w:val="false"/>
          <w:smallCaps w:val="false"/>
          <w:sz w:val="20"/>
        </w:rPr>
        <w:t>Qualification Requirements</w:t>
      </w:r>
      <w:r>
        <w:rPr>
          <w:rFonts w:ascii="Times New Roman;Times;Serif" w:hAnsi="Times New Roman;Times;Serif"/>
          <w:b w:val="false"/>
          <w:i w:val="false"/>
          <w:caps w:val="false"/>
          <w:smallCaps w:val="false"/>
          <w:sz w:val="20"/>
        </w:rPr>
        <w:t>”). The Board and any applicable committee thereof must act in good faith in determining that a nominee to be a Stockholder Designee does not satisfy such Qualification Requirements. The Company hereby agrees and acknowledges that, as of the date hereof, each of the Initial Designees satisfies the Qualification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Stockholder shall vote all Shares over which such Stockholder has voting control and shall take all other necessary or desirable actions within such Stockholder’s control to elect to the Board any individual designated by the Stockholder Group pursuant to Section 2.01(b) or Section 2.01(c). The Stockholders shall not grant any proxy or enter into or agree to be bound by any voting trust, agreement or arrangement of any kind with respect to any securities of the Company if and to the extent the terms thereof conflict with the provisions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Stockholder Group shall have the right at any time to remove (with or without cause) any Stockholder Designee designated by it for election to the Board pursuant to Section 2.01(b) or Section 2.01(c) and each Stockholder shall vote all Shares over which such Stockholder has voting control and shall take all other necessary or desirable actions within such Stockholder’s control to remove from the Board any individual designated by the Stockholder Group that the Stockholder Group desires to remove pursuant to this Section 2.01(j). Except as provided in the preceding sentence or as permitted pursuant to the Certificate of Incorporation, for as long as this Agreement remains in effect, the Stockholder Designees may only be removed with the consent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From the date hereof until a Termination Event has occurred, if a vacancy on the Board is created at any time by the death, retirement, disability, removal or resignation of a Stockholder Designee, the Stockholder Group shall be entitled to designate a replacement for such Stockholder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Board shall have the right to establish any committee of Directors as the Board shall deem appropriate from time to time and in accordance with the Bylaws. Subject to this Agreement, the Governing Documents, and Applicable Law, committees of the Board shall have the rights, powers, and privileges granted to such committee by the Board from time to time. Any delegation of authority to a committee of Directors to take any action must be approved in the same manner as would be required for the Board to approve such action directly. At least one of the Stockholder Designees shall serve on each committee of Directors, other than any committee of Directors that consists solely of Independent Directors, subject to compliance with applicable stock exchange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nominating committee of the Board shall consult, in good faith, with both Stockholder Designees regarding the determination of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i w:val="false"/>
          <w:caps/>
          <w:sz w:val="20"/>
        </w:rPr>
        <w:br/>
        <w:t>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Corporate Opportunities.</w:t>
      </w:r>
      <w:r>
        <w:rPr>
          <w:rFonts w:ascii="Times New Roman;Times;Serif" w:hAnsi="Times New Roman;Times;Serif"/>
          <w:b w:val="false"/>
          <w:i w:val="false"/>
          <w:caps w:val="false"/>
          <w:smallCaps w:val="false"/>
          <w:sz w:val="20"/>
        </w:rPr>
        <w:t xml:space="preserve"> Except as otherwise provided in the second sentence of this Section 3.01: (a) no Stockholder or any of their respective Representatives shall have any duty to communicate or present an investment or business opportunity or prospective economic advantage to the Company in which the Company may, but for the provisions of this Section 3.01, have an interest or expectancy (a “</w:t>
      </w:r>
      <w:r>
        <w:rPr>
          <w:rFonts w:ascii="Times New Roman;Times;Serif" w:hAnsi="Times New Roman;Times;Serif"/>
          <w:b/>
          <w:i w:val="false"/>
          <w:caps w:val="false"/>
          <w:smallCaps w:val="false"/>
          <w:sz w:val="20"/>
        </w:rPr>
        <w:t>Corporate Opportunity</w:t>
      </w:r>
      <w:r>
        <w:rPr>
          <w:rFonts w:ascii="Times New Roman;Times;Serif" w:hAnsi="Times New Roman;Times;Serif"/>
          <w:b w:val="false"/>
          <w:i w:val="false"/>
          <w:caps w:val="false"/>
          <w:smallCaps w:val="false"/>
          <w:sz w:val="20"/>
        </w:rPr>
        <w:t xml:space="preserve">”); and (b) no Stockholder or any of their respective Representatives (even if such Person is also an officer or Director of the Company) shall be deemed to have breached any fiduciary or other duty or obligation to the Company by reason of the fact that any such Person pursues or acquires a Corporate Opportunity for itself or directs, sells, assigns, or transfers such Corporate Opportunity to another Person or does not communicate information regarding such Corporate Opportunity to the Company. The Company renounces any interest in a Corporate Opportunity and any expectancy that a Corporate Opportunity will be offered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does not renounce any interest or expectancy it may have in any Corporate Opportunity that is offered to an officer or Director of the Company whether or not such individual is also a Representative of a Stockholder, if such opportunity is expressly offered to such Person in his or her capacity as an officer or Director of the Company. The Stockholders hereby recognize that the Company reserves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Stockholder acknowledges that during the term of this Agreement, it will have access to and become acquainted with trade secrets, proprietary information, and confidential information belonging to the Company and its Affiliates that are not generally known to the public, including, but not limited to, information concerning business plans, financial statements, and other information provided pursuant to this Agreement, operating practices and methods, expansion plans, strategic plans, marketing plans, contracts, customer lists, or other business documents that the Company treats as confidential, in any format whatsoever (including oral, written, electronic, or any other form or medium) (collectively,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In addition, each Stockholder acknowledges that: (i) the Company has invested, and continues to invest, substantial time, expense, and specialized knowledge in developing its Confidential Information; (ii) the Confidential Information provides the Company with a competitive advantage over others in the marketplace; and (iii) the Company would be irreparably harmed if the Confidential Information were disclosed to Competitors or made available to the public. Without limiting the applicability of any other agreement to which any Stockholder is subject, each Stockholder shall, and shall cause its Representatives to, keep confidential and not, directly or indirectly, disclose or use (other than solely for the purposes of such Stockholder monitoring and analyzing its investment in the Company) at any time, including, without limitation, use for personal, commercial, or proprietary advantage or profit, any Confidential Information of which such Stockholder is or becomes aware. Each Stockholder in possession of Confidential Information shall, and shall cause its Representatives to, use reasonable best efforts to safeguard such information and to protect it against disclosure, misuse, espionage, loss, and theft.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Nothing contained in Section 3.02(a) shall prevent any Stockholder from disclosing Confidential Information: (i) upon the order of any court or administrative agency; (ii) upon the request or demand of any regulatory agency or authority having jurisdiction over such Stockholder; (iii) to the extent compelled by legal process or required or requested pursuant to subpoena, interrogatories, or other discovery requests; (iv) to the extent necessary in connection with the exercise of any remedy hereunder; (v) to other Stockholders; or (vi) to such Stockholder’s Representatives who, in the reasonable judgment of such Stockholder, need to know such Confidential Information and agree to be bound by the provisions of this Section 3.02 as if a Stockholder;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 (i), clause (ii), or clause (iii), such Stockholder shall notify the Company in writing of the proposed disclosure as far in advance of such disclosure as practicable (but, to the extent legally permitted, shall not make any such disclosure before notifying the Company) so that the Company may in its sole discretion seek a protective order or other appropriate remedy and/or waive compliance with this Section 3.02, and such Stockholder shall cooperate with the Company to obtain any such protective order or other remedy;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in the absence of a protective order or other remedy or the receipt of a waiver by the Company, such Stockholder or any of its Representatives are nonetheless legally compelled to disclose Confidential Information in the circumstances described in clause (i), clause (ii) or clause (iii), such Stockholder and its Representatives to whom such request or demand is directed may disclose to such agency or authority only that portion of the Confidential Information that is legally required or requested to be disclosed and such Stockholder and its Representatives shall use their respective reasonable best efforts to preserve the confidentiality of the Confidential Information, including, without limitation, by cooperating with the Company to obtain a protective order or other reliable assurance that confidential treatment will be accorded the Confidential Information by such Governmental Authority, and such Stockholder shall promptly notify the Company of (x) its determination to make such disclosure and (y) the nature, scope and contents of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restrictions of Section 3.02(a) shall not apply to Confidential Information that: (i) is or becomes generally available to the public other than as a result of a disclosure by a Stockholder or any of its Representatives in violation of this Agreement; (ii) is or has been independently developed or conceived by such Stockholder without use of Confidential Information; or (iii) becomes available to such Stockholder or any of its Representatives on a non-confidential basis from a source other than the Company, the other Stockholders, or any of their respective Representatives,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receiving Stockholder does not know that such source is bound by a confidentiality agreement with, or other contractual, legal or fiduciary obligation of confidentiality to, the Company with respect to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obligations of each Stockholder under this Section 3.02 shall survive for so long as such Stockholder remains a Stockholder, and for two (2) years following the earlier of: (i) termination, dissolution, liquidation, and winding up of the Company; or (ii) the first date on which such Stockholder ceases to own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Annual Meeting</w:t>
      </w:r>
      <w:r>
        <w:rPr>
          <w:rFonts w:ascii="Times New Roman;Times;Serif" w:hAnsi="Times New Roman;Times;Serif"/>
          <w:b w:val="false"/>
          <w:i w:val="false"/>
          <w:caps w:val="false"/>
          <w:smallCaps w:val="false"/>
          <w:sz w:val="20"/>
        </w:rPr>
        <w:t>. The Company will hold an annual meeting of the stockholders (the “</w:t>
      </w:r>
      <w:r>
        <w:rPr>
          <w:rFonts w:ascii="Times New Roman;Times;Serif" w:hAnsi="Times New Roman;Times;Serif"/>
          <w:b/>
          <w:i w:val="false"/>
          <w:caps w:val="false"/>
          <w:smallCaps w:val="false"/>
          <w:sz w:val="20"/>
        </w:rPr>
        <w:t>Annual Meeting</w:t>
      </w:r>
      <w:r>
        <w:rPr>
          <w:rFonts w:ascii="Times New Roman;Times;Serif" w:hAnsi="Times New Roman;Times;Serif"/>
          <w:b w:val="false"/>
          <w:i w:val="false"/>
          <w:caps w:val="false"/>
          <w:smallCaps w:val="false"/>
          <w:sz w:val="20"/>
        </w:rPr>
        <w:t>”) during each calendar year for the election of directors and for the transaction of such other business as may properly come before the meeting. The Annual Meeting shall be held at such date, time and place (which may be held by means of teleconference or other means of remote communication in compliance with the DGCL), as shall be determined by the Board and stated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Further Assurances.</w:t>
      </w:r>
      <w:r>
        <w:rPr>
          <w:rFonts w:ascii="Times New Roman;Times;Serif" w:hAnsi="Times New Roman;Times;Serif"/>
          <w:b w:val="false"/>
          <w:i w:val="false"/>
          <w:caps w:val="false"/>
          <w:smallCaps w:val="false"/>
          <w:sz w:val="20"/>
        </w:rPr>
        <w:t xml:space="preserve"> In connection with this Agreement and the transactions contemplated hereby, the Company and each Stockholder hereby agrees to execute and deliver such additional documents, certificates, instruments and conveyances, provide such assurances and take such further actions as, in each case, may be reasonably necessary or as another Party may reasonably request to carry out the provisions hereof and give effect to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i w:val="false"/>
          <w:caps/>
          <w:sz w:val="20"/>
        </w:rPr>
        <w:br/>
        <w:t>Term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4.01          Termination. </w:t>
      </w:r>
      <w:r>
        <w:rPr>
          <w:rFonts w:ascii="Times New Roman;Times;Serif" w:hAnsi="Times New Roman;Times;Serif"/>
          <w:b w:val="false"/>
          <w:i w:val="false"/>
          <w:caps w:val="false"/>
          <w:smallCaps w:val="false"/>
          <w:sz w:val="20"/>
        </w:rPr>
        <w:t>This Agreement shall terminate upon the earliest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a Stockholder, such Stockholder no longer own, directly or indirectly,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first date on which the Stockholders Beneficially Own, in the aggregate, a number of Shares less than five percent (5%) of the total number of issued and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termination, dissolution, liquidation, or winding up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agreement of the Stockholders acting together and by unanimous written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4.02          Effect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termination of this Agreement shall terminate all further rights and obligations of the Stockholders under this Agreement. For the avoidance of doubt, such termination shall not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existence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obligation of any Party to this Agreement to pay any amounts arising on or prior to the date of termination, or as a result of or in connection with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that any Stockholder may have by operation of law as a stockholder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rights contained herein which by their terms are intended to survive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the following provisions shall survive the termination of this Agreement: Section 2.01(g), Section 3.02, this Section 4.02 and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i w:val="false"/>
          <w: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5.01          Expenses. </w:t>
      </w:r>
      <w:r>
        <w:rPr>
          <w:rFonts w:ascii="Times New Roman;Times;Serif" w:hAnsi="Times New Roman;Times;Serif"/>
          <w:b w:val="false"/>
          <w:i w:val="false"/>
          <w:caps w:val="false"/>
          <w:smallCaps w:val="false"/>
          <w:sz w:val="20"/>
        </w:rPr>
        <w:t>Except as otherwise set forth in this Agreement, each Party shall be responsible for and pay its own expenses incurred in connection with this Agreement and the transactions contemplated hereby, including all fees of its legal counsel, financial advisors and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5.02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case of this clause (iv), solely to the extent no “bounce back” or similar message is received)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Holdings, Inc.</w:t>
        <w:br/>
        <w:t>4659 Golden Foothill Parkway, Suite 206</w:t>
        <w:br/>
        <w:t>El Dorado Hills, CA 95762</w:t>
        <w:br/>
        <w:t>Attention: Harminder Sehmi</w:t>
        <w:br/>
        <w:t>Email: harminder.sehmi@blaize.com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br/>
        <w:t>811 Main Street, Suite 3700</w:t>
        <w:br/>
        <w:t>Houston, TX 77002</w:t>
        <w:br/>
        <w:t>Attention: Ryan J. Maierson; Ryan J. Lynch</w:t>
        <w:br/>
        <w:t>Email: 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to a Stockholder, at the address set forth opposite such Stockholder’s name on </w:t>
      </w:r>
      <w:r>
        <w:rPr>
          <w:rFonts w:ascii="Times New Roman;Times;Serif" w:hAnsi="Times New Roman;Times;Serif"/>
          <w:b/>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Spouse of a Stockholder: (A) if applicable, in care of the Spouse’s attorney of record at the attorney’s address; or (B) if the Spouse is unrepresented, at the Spouse’s last known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5.03          Interpretation. </w:t>
      </w:r>
      <w:r>
        <w:rPr>
          <w:rFonts w:ascii="Times New Roman;Times;Serif" w:hAnsi="Times New Roman;Times;Serif"/>
          <w:b w:val="false"/>
          <w:i w:val="false"/>
          <w:caps w:val="false"/>
          <w:smallCaps w:val="false"/>
          <w:sz w:val="20"/>
        </w:rPr>
        <w:t>For purposes of this Agreement: (a) the words “include,” “includes,” and “including” shall be deemed to be followed by the words “without limitation”; (b) the word “or” is not exclusive; and (c) the words “herein,” “hereof,” “hereby,” “hereto,” and “hereunder” refer to this Agreement as a whole. The definitions given for any defined terms in this Agreement shall apply equally to both the singular and plural forms of the terms defined. Whenever the context may require, any pronoun shall include the corresponding masculine, feminine, and neuter forms. Unless the context otherwise requires, references herein: (x) to Articles, Sections, Exhibits, and Schedules mean the Articles and Sections of, and Exhibits and Schedules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Exhibits and Schedules referred to herein shall be construed with, and as an integral part of, this Agreement to the same extent as if they were set forth verbatim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5.04          Severability. </w:t>
      </w:r>
      <w:r>
        <w:rPr>
          <w:rFonts w:ascii="Times New Roman;Times;Serif" w:hAnsi="Times New Roman;Times;Serif"/>
          <w:b w:val="false"/>
          <w:i w:val="false"/>
          <w:caps w:val="false"/>
          <w:smallCaps w:val="false"/>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5.05          Entire Agreement.</w:t>
      </w:r>
      <w:r>
        <w:rPr>
          <w:rFonts w:ascii="Times New Roman;Times;Serif" w:hAnsi="Times New Roman;Times;Serif"/>
          <w:b w:val="false"/>
          <w:i w:val="false"/>
          <w:caps w:val="false"/>
          <w:smallCaps w:val="false"/>
          <w:sz w:val="20"/>
        </w:rPr>
        <w:t xml:space="preserve"> This Agreement constitutes the sole and entire agreement of the parties with respect to the subject matter contained herein and therein, and supersedes all prior and contemporaneous understandings and agreements, both written and oral, with respect to such subject matter. In the event of any inconsistency or conflict between this Agreement and any Governing Document, the Stockholders and the Company shall use their respective best efforts to amend such Governing Document to comply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5.06          Successors and Assigns; Assignment.</w:t>
      </w:r>
      <w:r>
        <w:rPr>
          <w:rFonts w:ascii="Times New Roman;Times;Serif" w:hAnsi="Times New Roman;Times;Serif"/>
          <w:b w:val="false"/>
          <w:i w:val="false"/>
          <w:caps w:val="false"/>
          <w:smallCaps w:val="false"/>
          <w:sz w:val="20"/>
        </w:rPr>
        <w:t xml:space="preserve"> No Party shall assign this Agreement or any part hereof without the prior written consent of the other Parties and any such transfer without such prior written consent shall be void;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without the prior written consent of any other Party, each Stockholder may, in connection with a transfer of Shares to another Person, assign its rights and obligations under this Agreement, in whole or in part, to such other Person so long as such assignee, if not already a party to this Agreement, executes and delivers to the Company a joinder to this Agreement substantially in the form of </w:t>
      </w:r>
      <w:r>
        <w:rPr>
          <w:rFonts w:ascii="Times New Roman;Times;Serif" w:hAnsi="Times New Roman;Times;Serif"/>
          <w:b/>
          <w:i w:val="false"/>
          <w:caps w:val="false"/>
          <w:smallCaps w:val="false"/>
          <w:sz w:val="20"/>
        </w:rPr>
        <w:t>Schedule II</w:t>
      </w:r>
      <w:r>
        <w:rPr>
          <w:rFonts w:ascii="Times New Roman;Times;Serif" w:hAnsi="Times New Roman;Times;Serif"/>
          <w:b w:val="false"/>
          <w:i w:val="false"/>
          <w:caps w:val="false"/>
          <w:smallCaps w:val="false"/>
          <w:sz w:val="20"/>
        </w:rPr>
        <w:t xml:space="preserve"> hereto evidencing its agreement to become a party to, and to be bound to the same extent as such Stockholder by all of the provisions of, this Agreement (a “</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Subject to the foregoing, this Agreement shall be binding upon and inure to the benefit of the Parties and their respective permitted successors and assigns. For the avoidance of doubt, nothing in this Agreement shall be construed or interpreted to limit the right of any Stockholder to freely transfer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5.07          No Third-Party Beneficiaries.</w:t>
      </w:r>
      <w:r>
        <w:rPr>
          <w:rFonts w:ascii="Times New Roman;Times;Serif" w:hAnsi="Times New Roman;Times;Serif"/>
          <w:b w:val="false"/>
          <w:i w:val="false"/>
          <w:caps w:val="false"/>
          <w:smallCaps w:val="false"/>
          <w:sz w:val="20"/>
        </w:rPr>
        <w:t xml:space="preserve"> Nothing expressed or implied in this Agreement is intended or shall be construed to confer upon or give any Person, other than the Parties, any right or remedies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5.08          Amendment and Modification.</w:t>
      </w:r>
      <w:r>
        <w:rPr>
          <w:rFonts w:ascii="Times New Roman;Times;Serif" w:hAnsi="Times New Roman;Times;Serif"/>
          <w:b w:val="false"/>
          <w:i w:val="false"/>
          <w:caps w:val="false"/>
          <w:smallCaps w:val="false"/>
          <w:sz w:val="20"/>
        </w:rPr>
        <w:t xml:space="preserve"> This Agreement may be amended or modified in whole or in part, only by a duly authorized agreement in writing executed by the Company, Sponsor and Burkhan and which makes reference to this Agreement. Any such written amendment, modification, or supplement will be binding upon the Company and each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5.09          Waiver. </w:t>
      </w:r>
      <w:r>
        <w:rPr>
          <w:rFonts w:ascii="Times New Roman;Times;Serif" w:hAnsi="Times New Roman;Times;Serif"/>
          <w:b w:val="false"/>
          <w:i w:val="false"/>
          <w:caps w:val="false"/>
          <w:smallCaps w:val="false"/>
          <w:sz w:val="20"/>
        </w:rPr>
        <w:t>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Governing Law.</w:t>
      </w:r>
      <w:r>
        <w:rPr>
          <w:rFonts w:ascii="Times New Roman;Times;Serif" w:hAnsi="Times New Roman;Times;Serif"/>
          <w:b w:val="false"/>
          <w:i w:val="false"/>
          <w:caps w:val="false"/>
          <w:smallCaps w:val="false"/>
          <w:sz w:val="20"/>
        </w:rPr>
        <w:t xml:space="preserve">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5.11          Jurisdiction;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specifically set forth in Section 5.12, any proceeding or Action based upon, arising out of or related to this Agreement or the transactions contemplated hereby shall be brought in the Court of Chancery of the State of Delaware or, if such court declines to exercise jurisdiction, any federal or state court located in the State of Delaware, and each of the Parties and any other Person seeking to enforce this Agreement irrevocably (i) submits to the exclusive jurisdiction of each such court in any such Action, (ii) waives any objection it may now or hereafter have to personal jurisdiction, venue or to convenience of forum, (iii) agrees that all claims in respect of the Action shall be heard and determined only in any such court, and (iv) agrees not to bring any Action arising out of or relating to this Agreement or the transactions contemplated hereby in any other court. Nothing herein contained shall be deemed to affect the right of any party to serve process in any manner permitted by Law or to commence Actions or otherwise proceed against any other party in any other jurisdiction, in each case, to enforce judgments obtained in any Action brought pursuant to this Section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EACH PARTY HERETO ACKNOWLEDGES AND AGREES THAT ANY CONTROVERSY THAT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DIRECTLY OR INDIRECTLY ARISING OUT OF OR RELATING TO THIS AGREEMENT OR 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5.12          Enforcement. </w:t>
      </w:r>
      <w:r>
        <w:rPr>
          <w:rFonts w:ascii="Times New Roman;Times;Serif" w:hAnsi="Times New Roman;Times;Serif"/>
          <w:b w:val="false"/>
          <w:i w:val="false"/>
          <w:caps w:val="false"/>
          <w:smallCaps w:val="false"/>
          <w:sz w:val="20"/>
        </w:rPr>
        <w:t>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including, without limitation, mandatory injunctions, and to enforce specifically the terms and provisions hereof and seek such injunctive relief, without the necessity of posting a bond or other security or proof of actual damages, in accordance with this Section 5.12, this being in addition to any other remedy to which they are entitled under this Agreement, and (b) the right of specific enforcement and injunctive relief (including mandatory injunctions)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(including mandatory injunctions) and to enforce specifically the terms and provisions of this Agreement in accordance with this Section 5.12 shall not be required to provide any bond or other security in connection with any such injunction or specific performance. Each of the Parties to this Agreement consents to personal jurisdiction for any equitable action sought in the Delaware Court of Chancery or any state or federal court in any part of the world having competent jurisdiction. In any Action arising out of or related to this Agreement or the transactions contemplated hereby, the prevailing party in such Action shall be entitled to recover all reasonable costs, fees and expenses relating thereto (including reasonable attorneys’ fees and expenses and court costs) from the other party, in addition to any other relief to which such prevailing party may be entitled.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Remedies Cumulative.</w:t>
      </w:r>
      <w:r>
        <w:rPr>
          <w:rFonts w:ascii="Times New Roman;Times;Serif" w:hAnsi="Times New Roman;Times;Serif"/>
          <w:b w:val="false"/>
          <w:i w:val="false"/>
          <w:caps w:val="false"/>
          <w:smallCaps w:val="false"/>
          <w:sz w:val="20"/>
        </w:rPr>
        <w:t xml:space="preserve"> The rights and remedies under this Agreement are cumulative and are in addition to and not in substitution for any other rights and remedies available at law or in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Headings; Counterparts.</w:t>
      </w:r>
      <w:r>
        <w:rPr>
          <w:rFonts w:ascii="Times New Roman;Times;Serif" w:hAnsi="Times New Roman;Times;Serif"/>
          <w:b w:val="false"/>
          <w:i w:val="false"/>
          <w:caps w:val="false"/>
          <w:smallCaps w:val="false"/>
          <w:sz w:val="20"/>
        </w:rPr>
        <w:t xml:space="preserve"> The headings in this Agreement are for convenience only and shall not be considered a part of or affect the construction or interpretation of any provision of this Agreement. This Agreement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Spousal Consent.</w:t>
      </w:r>
      <w:r>
        <w:rPr>
          <w:rFonts w:ascii="Times New Roman;Times;Serif" w:hAnsi="Times New Roman;Times;Serif"/>
          <w:b w:val="false"/>
          <w:i w:val="false"/>
          <w:caps w:val="false"/>
          <w:smallCaps w:val="false"/>
          <w:sz w:val="20"/>
        </w:rPr>
        <w:t xml:space="preserve"> Each Stockholder who has a Spouse on the date of this Agreement shall cause such Stockholder’s Spouse to execute and deliver to the Company a spousal consent in the form of </w:t>
      </w:r>
      <w:r>
        <w:rPr>
          <w:rFonts w:ascii="Times New Roman;Times;Serif" w:hAnsi="Times New Roman;Times;Serif"/>
          <w:b/>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 “</w:t>
      </w:r>
      <w:r>
        <w:rPr>
          <w:rFonts w:ascii="Times New Roman;Times;Serif" w:hAnsi="Times New Roman;Times;Serif"/>
          <w:b/>
          <w:i w:val="false"/>
          <w:caps w:val="false"/>
          <w:smallCaps w:val="false"/>
          <w:sz w:val="20"/>
        </w:rPr>
        <w:t>Spousal Consent</w:t>
      </w:r>
      <w:r>
        <w:rPr>
          <w:rFonts w:ascii="Times New Roman;Times;Serif" w:hAnsi="Times New Roman;Times;Serif"/>
          <w:b w:val="false"/>
          <w:i w:val="false"/>
          <w:caps w:val="false"/>
          <w:smallCaps w:val="false"/>
          <w:sz w:val="20"/>
        </w:rPr>
        <w:t>”), pursuant to which the Spouse acknowledges that he or she has read and understood the Agreement and agrees to be bound by its terms and conditions. If any Stockholder should marry or engage in a Marital Relationship following the date of this Agreement, such Stockholder shall cause his or her Spouse to execute and deliver to the Company a Spousal Consent within sixty days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2506"/>
        <w:gridCol w:w="318"/>
      </w:tblGrid>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THE COMPANY:</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BLAIZE HOLDINGS, INC.</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18"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Stockholders’ Agreement of Blaize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2" w:name="a_001"/>
      <w:bookmarkEnd w:id="42"/>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tbl>
      <w:tblPr>
        <w:tblW w:w="5885" w:type="dxa"/>
        <w:jc w:val="left"/>
        <w:tblInd w:w="-10" w:type="dxa"/>
        <w:tblLayout w:type="fixed"/>
        <w:tblCellMar>
          <w:top w:w="28" w:type="dxa"/>
          <w:left w:w="28" w:type="dxa"/>
          <w:bottom w:w="28" w:type="dxa"/>
          <w:right w:w="28" w:type="dxa"/>
        </w:tblCellMar>
      </w:tblPr>
      <w:tblGrid>
        <w:gridCol w:w="2675"/>
        <w:gridCol w:w="695"/>
        <w:gridCol w:w="1535"/>
        <w:gridCol w:w="980"/>
      </w:tblGrid>
      <w:tr>
        <w:trPr/>
        <w:tc>
          <w:tcPr>
            <w:tcW w:w="26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Stockholder</w:t>
            </w:r>
          </w:p>
        </w:tc>
        <w:tc>
          <w:tcPr>
            <w:tcW w:w="69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Address</w:t>
            </w:r>
          </w:p>
        </w:tc>
        <w:tc>
          <w:tcPr>
            <w:tcW w:w="153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Number of Shares</w:t>
              <w:br/>
              <w:t>Held/Controlled</w:t>
            </w:r>
          </w:p>
        </w:tc>
        <w:tc>
          <w:tcPr>
            <w:tcW w:w="980"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Percentage</w:t>
            </w:r>
          </w:p>
        </w:tc>
      </w:tr>
      <w:tr>
        <w:trPr/>
        <w:tc>
          <w:tcPr>
            <w:tcW w:w="2675"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BurTech LP LLC </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153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675"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Burkhan Capital LLC </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153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2675"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[Burkhan Controlled Affiliates]</w:t>
            </w:r>
            <w:r>
              <w:rPr>
                <w:rFonts w:ascii="Times New Roman;Times;Serif" w:hAnsi="Times New Roman;Times;Serif"/>
                <w:position w:val="7"/>
                <w:sz w:val="16"/>
                <w:sz w:val="20"/>
              </w:rPr>
              <w:t>1</w:t>
            </w:r>
          </w:p>
        </w:tc>
        <w:tc>
          <w:tcPr>
            <w:tcW w:w="69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153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c>
          <w:tcPr>
            <w:tcW w:w="980"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Additional parties to be limited to controlled Affiliates of Burkhan identified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43" w:name="a_002"/>
      <w:bookmarkEnd w:id="43"/>
      <w:r>
        <w:rPr>
          <w:rFonts w:ascii="Times New Roman;Times;Serif" w:hAnsi="Times New Roman;Times;Serif"/>
          <w:b/>
          <w:i w:val="false"/>
          <w:caps w:val="false"/>
          <w:smallCaps w:val="false"/>
          <w:sz w:val="20"/>
          <w:u w:val="single"/>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 TO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20___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Stockholders’ Agreement, dated as of [ ● ], 2024, by and among Blaize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BurTech LP LLC, a Delaware limited liability company, Burkhan Capital LLC, a Delaware limited liability company </w:t>
      </w:r>
      <w:r>
        <w:rPr>
          <w:rFonts w:ascii="Times New Roman;Times;Serif" w:hAnsi="Times New Roman;Times;Serif"/>
          <w:b w:val="false"/>
          <w:i w:val="false"/>
          <w:caps w:val="false"/>
          <w:smallCaps w:val="false"/>
          <w:color w:val="252525"/>
          <w:sz w:val="20"/>
        </w:rPr>
        <w:t xml:space="preserve">and each Person identified on </w:t>
      </w:r>
      <w:r>
        <w:rPr>
          <w:rFonts w:ascii="Times New Roman;Times;Serif" w:hAnsi="Times New Roman;Times;Serif"/>
          <w:b w:val="false"/>
          <w:i w:val="false"/>
          <w:caps w:val="false"/>
          <w:smallCaps w:val="false"/>
          <w:color w:val="252525"/>
          <w:sz w:val="20"/>
          <w:u w:val="single"/>
        </w:rPr>
        <w:t>Schedule I</w:t>
      </w:r>
      <w:r>
        <w:rPr>
          <w:rFonts w:ascii="Times New Roman;Times;Serif" w:hAnsi="Times New Roman;Times;Serif"/>
          <w:b w:val="false"/>
          <w:i w:val="false"/>
          <w:caps w:val="false"/>
          <w:smallCaps w:val="false"/>
          <w:color w:val="252525"/>
          <w:sz w:val="20"/>
        </w:rPr>
        <w:t xml:space="preserve"> thereto</w:t>
      </w:r>
      <w:r>
        <w:rPr>
          <w:rFonts w:ascii="Times New Roman;Times;Serif" w:hAnsi="Times New Roman;Times;Serif"/>
          <w:b w:val="false"/>
          <w:i w:val="false"/>
          <w:caps w:val="false"/>
          <w:smallCaps w:val="false"/>
          <w:sz w:val="20"/>
        </w:rPr>
        <w:t xml:space="preserve"> (as amended from time to time, the “</w:t>
      </w:r>
      <w:r>
        <w:rPr>
          <w:rFonts w:ascii="Times New Roman;Times;Serif" w:hAnsi="Times New Roman;Times;Serif"/>
          <w:b/>
          <w:i w:val="false"/>
          <w:caps w:val="false"/>
          <w:smallCaps w:val="false"/>
          <w:sz w:val="20"/>
        </w:rPr>
        <w:t>Stockholders’ Agreement</w:t>
      </w:r>
      <w:r>
        <w:rPr>
          <w:rFonts w:ascii="Times New Roman;Times;Serif" w:hAnsi="Times New Roman;Times;Serif"/>
          <w:b w:val="false"/>
          <w:i w:val="false"/>
          <w:caps w:val="false"/>
          <w:smallCaps w:val="false"/>
          <w:sz w:val="20"/>
        </w:rPr>
        <w:t>”). Capitalized terms used but not otherwise defined herein shall have the meanings ascribed to such terms in the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the undersigned holder of Shares (the “</w:t>
      </w:r>
      <w:r>
        <w:rPr>
          <w:rFonts w:ascii="Times New Roman;Times;Serif" w:hAnsi="Times New Roman;Times;Serif"/>
          <w:b/>
          <w:i w:val="false"/>
          <w:caps w:val="false"/>
          <w:smallCaps w:val="false"/>
          <w:sz w:val="20"/>
        </w:rPr>
        <w:t>New Stockholder</w:t>
      </w:r>
      <w:r>
        <w:rPr>
          <w:rFonts w:ascii="Times New Roman;Times;Serif" w:hAnsi="Times New Roman;Times;Serif"/>
          <w:b w:val="false"/>
          <w:i w:val="false"/>
          <w:caps w:val="false"/>
          <w:smallCaps w:val="false"/>
          <w:sz w:val="20"/>
        </w:rPr>
        <w:t>”) agrees that this Joinder to the Stockholders’ Agreement (this “</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is being executed and delivered for good and valuable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Stockholder hereby agrees to and does become party to the Stockholders’ Agreement as a Stockholder. This Joinder shall serve as a counterpart signature page to the Stockholders’ Agreement and by executing below the New Stockholder is deemed to have executed the Stockholders’ Agreement with the same force and effect as if originally named a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Joinder may be executed (including by electronic signature)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duly executed this Joinder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2917"/>
        <w:gridCol w:w="717"/>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[NEW STOCKHOLDER PARTY]</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BLAIZE HOLDINGS, INC.</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4" w:name="a_003"/>
      <w:bookmarkEnd w:id="44"/>
      <w:r>
        <w:rPr>
          <w:rFonts w:ascii="Times New Roman;Times;Serif" w:hAnsi="Times New Roman;Times;Serif"/>
          <w:b/>
          <w:i w:val="false"/>
          <w:caps/>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SPOUSE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 [SIGNING SPOUSE NAME], spouse of [NAME OF STOCKHOLDER], acknowledge that I have read the Stockholders’ Agreement, dated as of [_], 202[_], by and among Blaize Holdings, Inc., a Delaware corporation (the “</w:t>
      </w:r>
      <w:r>
        <w:rPr>
          <w:rFonts w:ascii="Times New Roman;Times;Serif" w:hAnsi="Times New Roman;Times;Serif"/>
          <w:b/>
          <w:i w:val="false"/>
          <w:caps w:val="false"/>
          <w:smallCaps w:val="false"/>
          <w:color w:val="252525"/>
          <w:sz w:val="20"/>
        </w:rPr>
        <w:t>Company</w:t>
      </w:r>
      <w:r>
        <w:rPr>
          <w:rFonts w:ascii="Times New Roman;Times;Serif" w:hAnsi="Times New Roman;Times;Serif"/>
          <w:b w:val="false"/>
          <w:i w:val="false"/>
          <w:caps w:val="false"/>
          <w:smallCaps w:val="false"/>
          <w:color w:val="252525"/>
          <w:sz w:val="20"/>
        </w:rPr>
        <w:t xml:space="preserve">”), BurTech LP LLC, a Delaware limited liability company, Burkhan Capital LLC, a Delaware limited liability company, and each Person identified on </w:t>
      </w:r>
      <w:r>
        <w:rPr>
          <w:rFonts w:ascii="Times New Roman;Times;Serif" w:hAnsi="Times New Roman;Times;Serif"/>
          <w:b w:val="false"/>
          <w:i w:val="false"/>
          <w:caps w:val="false"/>
          <w:smallCaps w:val="false"/>
          <w:color w:val="252525"/>
          <w:sz w:val="20"/>
          <w:u w:val="single"/>
        </w:rPr>
        <w:t>Schedule I</w:t>
      </w:r>
      <w:r>
        <w:rPr>
          <w:rFonts w:ascii="Times New Roman;Times;Serif" w:hAnsi="Times New Roman;Times;Serif"/>
          <w:b w:val="false"/>
          <w:i w:val="false"/>
          <w:caps w:val="false"/>
          <w:smallCaps w:val="false"/>
          <w:color w:val="252525"/>
          <w:sz w:val="20"/>
        </w:rPr>
        <w:t xml:space="preserve"> thereto, to which this Consent of Spouse (this “</w:t>
      </w:r>
      <w:r>
        <w:rPr>
          <w:rFonts w:ascii="Times New Roman;Times;Serif" w:hAnsi="Times New Roman;Times;Serif"/>
          <w:b/>
          <w:i w:val="false"/>
          <w:caps w:val="false"/>
          <w:smallCaps w:val="false"/>
          <w:color w:val="252525"/>
          <w:sz w:val="20"/>
        </w:rPr>
        <w:t>Consent</w:t>
      </w:r>
      <w:r>
        <w:rPr>
          <w:rFonts w:ascii="Times New Roman;Times;Serif" w:hAnsi="Times New Roman;Times;Serif"/>
          <w:b w:val="false"/>
          <w:i w:val="false"/>
          <w:caps w:val="false"/>
          <w:smallCaps w:val="false"/>
          <w:color w:val="252525"/>
          <w:sz w:val="20"/>
        </w:rPr>
        <w:t xml:space="preserve">”) is attached as </w:t>
      </w:r>
      <w:r>
        <w:rPr>
          <w:rFonts w:ascii="Times New Roman;Times;Serif" w:hAnsi="Times New Roman;Times;Serif"/>
          <w:b w:val="false"/>
          <w:i w:val="false"/>
          <w:caps w:val="false"/>
          <w:smallCaps w:val="false"/>
          <w:color w:val="252525"/>
          <w:sz w:val="20"/>
          <w:u w:val="single"/>
        </w:rPr>
        <w:t>Schedule III</w:t>
      </w:r>
      <w:r>
        <w:rPr>
          <w:rFonts w:ascii="Times New Roman;Times;Serif" w:hAnsi="Times New Roman;Times;Serif"/>
          <w:b w:val="false"/>
          <w:i w:val="false"/>
          <w:caps w:val="false"/>
          <w:smallCaps w:val="false"/>
          <w:color w:val="252525"/>
          <w:sz w:val="20"/>
        </w:rPr>
        <w:t xml:space="preserve"> (as the same may be amended or amended and restated from time to time, the “</w:t>
      </w:r>
      <w:r>
        <w:rPr>
          <w:rFonts w:ascii="Times New Roman;Times;Serif" w:hAnsi="Times New Roman;Times;Serif"/>
          <w:b/>
          <w:i w:val="false"/>
          <w:caps w:val="false"/>
          <w:smallCaps w:val="false"/>
          <w:color w:val="252525"/>
          <w:sz w:val="20"/>
        </w:rPr>
        <w:t>Agreement</w:t>
      </w:r>
      <w:r>
        <w:rPr>
          <w:rFonts w:ascii="Times New Roman;Times;Serif" w:hAnsi="Times New Roman;Times;Serif"/>
          <w:b w:val="false"/>
          <w:i w:val="false"/>
          <w:caps w:val="false"/>
          <w:smallCaps w:val="false"/>
          <w:color w:val="252525"/>
          <w:sz w:val="20"/>
        </w:rPr>
        <w:t>”), and that I understand the contents of the Agreement. I am aware that my spouse is a party to the Agreement and the Agreement contains provisions regarding the voting and transfer of the Shares (as defined in the Agreement) of the Company which my spouse may own, including any interest I might have therein.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 hereby agree that I and any interest, including any community property interest, that I may have in any Shares of the Company subject to the Agreement shall be irrevocably bound by the Agreement, including any restrictions on the transfer or other disposition of any Shares of the Company, methods for distributing assets of the Company, or voting or other obligations as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 am aware that the legal, financial, and related matters contained in the Agreement are complex and that I am free to seek independent professional guidance or counsel with respect to this Consent. I have either sought such guidance or counsel or determined after reviewing the Agreement carefully that I will waive such right. I am under no disability or impairment that affects my decision to sign this Consent and I knowingly and voluntarily intend to be legally bound by this Consent. I am satisfied with the terms of this Consent and I understand and have received full disclosure of all the rights that I am agreeing to waive.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I hereby agree that my spouse may join in any future amendment, waiver, consent, or modification of the Agreement without any further signature, acknowledgment, agreement, or consent on my part or notice to me.</w:t>
      </w:r>
    </w:p>
    <w:p>
      <w:pPr>
        <w:pStyle w:val="TextBody"/>
        <w:bidi w:val="0"/>
        <w:spacing w:before="0" w:after="0"/>
        <w:ind w:left="0" w:right="0" w:hanging="0"/>
        <w:jc w:val="left"/>
        <w:rPr>
          <w:caps w:val="false"/>
          <w:smallCaps w:val="false"/>
        </w:rPr>
      </w:pPr>
      <w:r>
        <w:rPr>
          <w:caps w:val="false"/>
          <w:smallCaps w:val="false"/>
        </w:rPr>
        <w:t> </w:t>
      </w:r>
    </w:p>
    <w:tbl>
      <w:tblPr>
        <w:tblW w:w="2130" w:type="dxa"/>
        <w:jc w:val="left"/>
        <w:tblInd w:w="0" w:type="dxa"/>
        <w:tblLayout w:type="fixed"/>
        <w:tblCellMar>
          <w:top w:w="0" w:type="dxa"/>
          <w:left w:w="0" w:type="dxa"/>
          <w:bottom w:w="0" w:type="dxa"/>
          <w:right w:w="0" w:type="dxa"/>
        </w:tblCellMar>
      </w:tblPr>
      <w:tblGrid>
        <w:gridCol w:w="1970"/>
        <w:gridCol w:w="65"/>
        <w:gridCol w:w="95"/>
      </w:tblGrid>
      <w:tr>
        <w:trPr/>
        <w:tc>
          <w:tcPr>
            <w:tcW w:w="197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Dated to be effective on</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color w:val="252525"/>
              </w:rPr>
            </w:pPr>
            <w:r>
              <w:rPr>
                <w:caps w:val="false"/>
                <w:smallCaps w:val="false"/>
                <w:color w:val="252525"/>
              </w:rPr>
              <w:t> </w:t>
            </w:r>
          </w:p>
        </w:tc>
        <w:tc>
          <w:tcPr>
            <w:tcW w:w="9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75"/>
        <w:gridCol w:w="2285"/>
      </w:tblGrid>
      <w:tr>
        <w:trPr/>
        <w:tc>
          <w:tcPr>
            <w:tcW w:w="75"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SPOUSE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STATE OF [_____]</w:t>
      </w:r>
    </w:p>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115"/>
        <w:gridCol w:w="65"/>
        <w:gridCol w:w="75"/>
      </w:tblGrid>
      <w:tr>
        <w:trPr/>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COUNTY OF</w:t>
            </w:r>
          </w:p>
        </w:tc>
        <w:tc>
          <w:tcPr>
            <w:tcW w:w="65" w:type="dxa"/>
            <w:tcBorders>
              <w:bottom w:val="single" w:sz="8" w:space="0" w:color="000000"/>
            </w:tcBorders>
            <w:tcMar>
              <w:bottom w:w="28" w:type="dxa"/>
            </w:tcMar>
            <w:vAlign w:val="center"/>
          </w:tcPr>
          <w:p>
            <w:pPr>
              <w:pStyle w:val="TableContents"/>
              <w:bidi w:val="0"/>
              <w:spacing w:before="0" w:after="283"/>
              <w:jc w:val="left"/>
              <w:rPr>
                <w:caps w:val="false"/>
                <w:smallCaps w:val="false"/>
                <w:color w:val="252525"/>
              </w:rPr>
            </w:pPr>
            <w:r>
              <w:rPr>
                <w:caps w:val="false"/>
                <w:smallCaps w:val="false"/>
                <w:color w:val="252525"/>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ME, the undersigned notary, on this day personally appeared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known to me (or proved to me on the oath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or through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(description of identity card or other document)) to be the person whose name is subscribed to the foregoing instrument and acknowledged to me that [he/she] executed the same for the purposes and consideration therein expressed.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Given under my hand and seal of office this _____ day of ________________________, [YEAR].</w:t>
      </w:r>
    </w:p>
    <w:p>
      <w:pPr>
        <w:pStyle w:val="TextBody"/>
        <w:bidi w:val="0"/>
        <w:spacing w:before="0" w:after="0"/>
        <w:ind w:left="0" w:right="0" w:hanging="0"/>
        <w:jc w:val="left"/>
        <w:rPr>
          <w:caps w:val="false"/>
          <w:smallCaps w:val="false"/>
        </w:rPr>
      </w:pPr>
      <w:r>
        <w:rPr>
          <w:caps w:val="false"/>
          <w:smallCaps w:val="false"/>
        </w:rPr>
        <w:t> </w:t>
      </w:r>
    </w:p>
    <w:tbl>
      <w:tblPr>
        <w:tblW w:w="1513" w:type="dxa"/>
        <w:jc w:val="left"/>
        <w:tblInd w:w="0" w:type="dxa"/>
        <w:tblLayout w:type="fixed"/>
        <w:tblCellMar>
          <w:top w:w="0" w:type="dxa"/>
          <w:left w:w="0" w:type="dxa"/>
          <w:bottom w:w="0" w:type="dxa"/>
          <w:right w:w="0" w:type="dxa"/>
        </w:tblCellMar>
      </w:tblPr>
      <w:tblGrid>
        <w:gridCol w:w="1415"/>
        <w:gridCol w:w="23"/>
        <w:gridCol w:w="75"/>
      </w:tblGrid>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52525"/>
                <w:sz w:val="20"/>
              </w:rPr>
            </w:pPr>
            <w:r>
              <w:rPr>
                <w:rFonts w:ascii="Times New Roman;Times;Serif" w:hAnsi="Times New Roman;Times;Serif"/>
                <w:b w:val="false"/>
                <w:i w:val="false"/>
                <w:caps w:val="false"/>
                <w:smallCaps w:val="false"/>
                <w:color w:val="252525"/>
                <w:sz w:val="20"/>
              </w:rPr>
              <w:t>My term expires:</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500"/>
        <w:gridCol w:w="60"/>
        <w:gridCol w:w="30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c>
          <w:tcPr>
            <w:tcW w:w="60" w:type="dxa"/>
            <w:tcBorders/>
            <w:vAlign w:val="center"/>
          </w:tcPr>
          <w:p>
            <w:pPr>
              <w:pStyle w:val="TableContents"/>
              <w:bidi w:val="0"/>
              <w:spacing w:before="0" w:after="283"/>
              <w:jc w:val="left"/>
              <w:rPr/>
            </w:pPr>
            <w:r>
              <w:rPr/>
              <w:t> </w:t>
            </w:r>
          </w:p>
        </w:tc>
        <w:tc>
          <w:tcPr>
            <w:tcW w:w="300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Notary Public, State of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98203</Words>
  <Characters>531065</Characters>
  <CharactersWithSpaces>637201</CharactersWithSpaces>
  <Paragraphs>5798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