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17, 2025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7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9"/>
        </w:trPr>
        <w:tc>
          <w:tcPr>
            <w:tcW w:w="374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1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7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986"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“we,” “us,” “our,” “Blaize” and the “Company” refer to Blaize Holdings, Inc., a Delaware corporation (f/k/a BurTech Acquisition Corp., a Delaware corporation), and its consolidated subsidiaries following the Closing (as defined below). Unless the context otherwise requires, references to “BurTech” refer to BurTech Acquisition Corp., a Delaware corporation, prior to the Closing. All references herein to the “Board” refer to the board of directors of the Company.</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Terms used in this Current Report on Form 8-K (this “Report”) but not defined herein, or for which definitions are not otherwise incorporated by reference herein, shall have the meaning given to such terms in the Proxy Statement/Prospectus (as defined below) in the section entitled “Frequently Used Terms” beginning on page 2 thereof, and such definitions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disclosed under the sections entitled “Proposal No. 1—The Business Combination Proposal,” “The Business Combination” and “The Merger Agreement” beginning on pages 137, 137 and 161, respectively, of the proxy statement/prospectus (the “Proxy Statement/Prospectus”) filed with the Securities and Exchange Commission (the “SEC”) by BurTech on December 2, 2024, BurTech entered into an Agreement and Plan of Merger (the “Merger Agreement”), dated as of December 22, 2023 (as amended on April 22, 2024, October 24, 2024 and November 21, 2024), with BurTech Merger Sub, Inc., a direct, wholly owned subsidiary of BurTech (“Merger Sub”), Blaize, Inc. (“Legacy Blaize”), and for the limited purposes set forth therein, Burkhan Capital LLC, a Delaware limited liability company and affiliate of BurTech (“Burkhan”). Pursuant to the Merger Agreement, Merger Sub was merged with and into Legacy Blaize, with Legacy Blaize surviving the merger as a wholly owned subsidiary of BurTech (the “Business Combination” and, together with the other transactions contemplated by the Merger Agreement, the “Transactions”).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1 to Merger Agreement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April 22, 2024, BurTech, Merger Sub, Blaize and Burkhan entered into an Amendment to Agreement and Plan of Merger (the “Merger Agreement Amendment”). The Merger Agreement Amendment amended the original Merger Agreement to increase the valuation of Blaize from $700 million to $767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2 to Merger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24, 2024, BurTech, Merger Sub, Blaize and Burkhan entered into an Amendment No. 2 to Agreement and Plan of Merger (the “Second Amendment to Merger Agreement”). The Second Amendment to Merger Agreement amended the original merger agreement to revise the New Blaize Board designees to be comprised of nine members, including four individuals to be designated by Blaize (rather than two individuals to be designated by Sponsor and two individuals to be designated by Blaize in the previous merger agreement) and five independent directors, designated by Blaize after consultation, in good faith, with BurTech regarding the determination of the independent directors, with Lane M. Bess to be designated as the Chairman until a new chairperson is appointed by the New Blaize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to Merger Agreement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Meeting and Closing of the Transactions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23, 2024, BurTech held a special meeting in lieu of the 2024 annual meeting of stockholders (the “Special Meeting”), at which the BurTech stockholders considered and adopted, among other matters, a proposal to approve the Business Combination, including (a) adopting the Merger Agreement and (b) approving the other transactions contemplated by the Merger Agreement and related agreements described in the Proxy Statement/Prospectus.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following the Special Meeting, on January 13, 2025 (the “Closing Date”), the Transactions were consummated (the “Closing”).</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Item 2.01 of this Report discusses the consummation of the Transactions and the entry into agreements relating thereto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Non-Redemption and Put Option Financing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disclosed, on and around December 31, 2024, BurTech and certain unaffiliated stockholders of BurTech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Class A common stock, par value $0.0001 per share (“Class A Stock”) of BurTech (“Non-Redeemed Shares”) and, in exchange, Blaize and BurTech LP, LLC, a Delaware limited liability company (“Sponsor”) Sponsor have agreed to guarantee that each Investor receives a return of $1.50 per Non-Redeemed Share whether Investor (i) sells the Non-Redeemed Shares in the open market or (ii) exercises its option to require the Company to repurchase the Non-Redeemed Shares (the “Put Option”) in accordance with the Non-Redemption Agreement (collectively, the “NRA Financing”).</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NRA Financing, at Closing, the Investors deposited an aggregate of 2,854,242 Non-Redeemed Shares (such shares, the “Reserved Blaize Shares”) into a share escrow account with Continental Stock Transfer &amp; Trust Company (“Continental”), as escrow agent, and Continental transferred an aggregate of $33.1 million from BurTech’s trust account into a newly established funds escrow account, which is the aggregate amount received by BurTech from the Investors in connection with the Non-Redemption Agreements. Following the Closing, the Company is required to pay to an Investor in cash, at any time such Investor sells Reserved Blaize Shares in the market, and the Company and Sponsor, as applicable, are required to pay to the Investor in cash at any time the Investor exercises the Put Option, a guaranteed return of $1.50 per Reserved Blaize Share subject to such sale or exercise (the “Guaranteed Return Per Share”), so long as the price per share of Common Stock on the date of such sale or exercise is less than $13.57 per share (the “Put Price Per Share”). Following any sale by an Investor of a Reserved Blaize Share into the open market, Blaize is entitled to receive (i) $11.57 from the funds escrow account if the sales price in the open market (the “Sales Price”) equals or exceeds the Put Price Per Share or (ii) an amount equal to the difference between $11.57 and the Sales Price if the Sales Price is less than the Put Price Per Share, provided that no cash will be released to the Company from the funds escrow account in an amount that would cause the cash remaining in the funds escrow account to be less than the product of the Put Price Per Share and the number of Reserved Blaize Shares reamining in the share escrow account. If the shares of Common Stock trade at or above $13.00 per share for twenty (20) trading days within any thirty (30) consecutive trading day period, the Put Option shall automatically terminate and the Reserved Blaize Shares held in the Share Escrow Account shall be distributed back to the Investor in accordance with the share escrow agreements.</w:t>
      </w:r>
    </w:p>
    <w:p>
      <w:pPr>
        <w:spacing w:after="0" w:line="1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Non-Redemption Agreement does not purport to be complete and is qualified in its entirety by the terms and conditions of the form of Non-Redemption Agreement, a copy of which is attached hereto as Exhibit 10.9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previously disclosed, on and around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w:t>
      </w:r>
    </w:p>
    <w:p>
      <w:pPr>
        <w:spacing w:after="0" w:line="187"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PIPE Subscription Agreement does not purport to be complete and is qualified in its entirety by the terms and conditions of the form of PIPE Subscription Agreement, a copy of which is attached hereto as Exhibit 10.10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Shares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w:t>
      </w:r>
    </w:p>
    <w:p>
      <w:pPr>
        <w:sectPr>
          <w:pgSz w:w="11900" w:h="16838" w:orient="portrait"/>
          <w:cols w:equalWidth="0" w:num="1">
            <w:col w:w="10980"/>
          </w:cols>
          <w:pgMar w:left="440" w:top="293" w:right="479" w:bottom="848"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80"/>
          </w:cols>
          <w:pgMar w:left="440" w:top="293" w:right="479" w:bottom="848" w:gutter="0" w:footer="0" w:header="0"/>
          <w:type w:val="continuous"/>
        </w:sectPr>
      </w:pPr>
    </w:p>
    <w:bookmarkStart w:id="3" w:name="page4"/>
    <w:bookmarkEnd w:id="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2, 2025, Bess Ventures and the Sponsor entered into several related transactions including (i) a second forbearance agreement and omnibus amendment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 1.0 million shares required to be transferred to Bess Ventures under the Bess 2024 Note and 2.0 million other shares pledged as collateral under the Security Agreement (as defined below)), and (ii) that certain Promissory Note Due February 20, 2025,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 and to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Amended and Restated Registration Rights Agreement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the Sponsor, certain stockholders of Legacy Blaize and certain stockholders of BurTech entered into that certain Amended and Restated Registration Rights Agreement (the “A&amp;R Registration Rights Agreement”). The material terms of the A&amp;R Registration Rights Agreement are described in the section of the Proxy Statement/Prospectus beginning on page 175 titled “Certain Agreements Related to the Business Combination—Registration Rights Agreement.” Such description is qualified in its entirety by the text of the A&amp;R Registration Rights Agreement, which is included as Exhibit 10.1 to this Report and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and certain stockholders of Legacy Blaize entered into that certain Registration Rights Agreement (the “Registration Rights Agreement”), pursuant to which Blaize agreed to register for resale within four (4) business days of the closing of the Business Combination, pursuant to the Securities Act, certain shares of Common Stock and other equity securities of New Blaize that are held by the parties thereto from time to time on the terms and subject to the conditions set forth therein. Such description is qualified in its entirety by the text of the Registration Rights Agreement, which is included as Exhibit 10.11 to this Report and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Lock-Up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 Stockholder Lock-Up Period”). At Closing, approximately 34.39% of the total issued and outstanding shares of Common Stock are subject to lock-up restrictions in connection with the Stockholder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3"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Stockholder Lock-Up Period shall terminate upon the earlier of:</w:t>
      </w:r>
    </w:p>
    <w:p>
      <w:pPr>
        <w:spacing w:after="0" w:line="117" w:lineRule="exact"/>
        <w:rPr>
          <w:sz w:val="20"/>
          <w:szCs w:val="20"/>
          <w:color w:val="auto"/>
        </w:rPr>
      </w:pPr>
    </w:p>
    <w:p>
      <w:pPr>
        <w:ind w:left="440" w:right="160" w:hanging="4"/>
        <w:spacing w:after="0" w:line="261"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25% of each securityholder’s Stockholder Lock-Up Shares, (i) the expiration of the Stockholder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and (iii) the liquidation of the Company;</w:t>
      </w:r>
    </w:p>
    <w:p>
      <w:pPr>
        <w:spacing w:after="0" w:line="71" w:lineRule="exact"/>
        <w:rPr>
          <w:rFonts w:ascii="Times New Roman" w:cs="Times New Roman" w:eastAsia="Times New Roman" w:hAnsi="Times New Roman"/>
          <w:sz w:val="18"/>
          <w:szCs w:val="18"/>
          <w:color w:val="auto"/>
        </w:rPr>
      </w:pPr>
    </w:p>
    <w:p>
      <w:pPr>
        <w:ind w:left="440" w:hanging="4"/>
        <w:spacing w:after="0" w:line="256" w:lineRule="auto"/>
        <w:tabs>
          <w:tab w:leader="none" w:pos="7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Stockholder Lock-Up Shares, (i) the expiration of the Stockholder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$12.50 per share (as adjusted for stock splits, stock dividends, reorganizations, recapitalizations and the like) for any 20 trading days within any 30-trading day period and (iv) the liquidation of the Company;</w:t>
      </w:r>
    </w:p>
    <w:p>
      <w:pPr>
        <w:spacing w:after="0" w:line="79" w:lineRule="exact"/>
        <w:rPr>
          <w:rFonts w:ascii="Times New Roman" w:cs="Times New Roman" w:eastAsia="Times New Roman" w:hAnsi="Times New Roman"/>
          <w:sz w:val="18"/>
          <w:szCs w:val="18"/>
          <w:color w:val="auto"/>
        </w:rPr>
      </w:pPr>
    </w:p>
    <w:p>
      <w:pPr>
        <w:ind w:left="440" w:hanging="4"/>
        <w:spacing w:after="0" w:line="256" w:lineRule="auto"/>
        <w:tabs>
          <w:tab w:leader="none" w:pos="7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 25% of each securityholder’s Stockholder Lock-Up Shares, (i) the expiration of the Stockholder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$15.00 per share (as adjusted for stock splits, stock dividends, reorganizations, recapitalizations and the like) for any 20 trading days within any 30-trading day period and (iv) the liquidation of the Company; or</w:t>
      </w:r>
    </w:p>
    <w:p>
      <w:pPr>
        <w:spacing w:after="0" w:line="79" w:lineRule="exact"/>
        <w:rPr>
          <w:rFonts w:ascii="Times New Roman" w:cs="Times New Roman" w:eastAsia="Times New Roman" w:hAnsi="Times New Roman"/>
          <w:sz w:val="18"/>
          <w:szCs w:val="18"/>
          <w:color w:val="auto"/>
        </w:rPr>
      </w:pPr>
    </w:p>
    <w:p>
      <w:pPr>
        <w:ind w:left="440" w:hanging="4"/>
        <w:spacing w:after="0" w:line="256"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Stockholder Lock-Up Shares, (i) the expiration of the Stockholder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$17.50 per share (as adjusted for stock splits, stock dividends, reorganizations, recapitalizations and the like) for any 20 trading days within any 30-trading day period and (iv) the liquidation of the Company.</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Stockholder Lock-Up Agreement does not purport to be complete and is qualified in its entirety by reference to the full text of the Stockholder Lock-Up Agreement, which is filed as Exhibit 10.12 to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Noteholder Lock-Up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 At Closing, approximately 0.16% of the total issued and outstanding shares of Common Stock are subject to lock-up restrictions in connection with the Noteholder Lock-Up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Noteholder Lock-Up Period shall terminate upon the earlier of:</w:t>
      </w:r>
    </w:p>
    <w:p>
      <w:pPr>
        <w:spacing w:after="0" w:line="117" w:lineRule="exact"/>
        <w:rPr>
          <w:sz w:val="20"/>
          <w:szCs w:val="20"/>
          <w:color w:val="auto"/>
        </w:rPr>
      </w:pPr>
    </w:p>
    <w:p>
      <w:pPr>
        <w:ind w:left="740" w:hanging="30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25% of each securityholder’s Noteholder Lock-Up Shares, the Closing Date;</w:t>
      </w:r>
    </w:p>
    <w:p>
      <w:pPr>
        <w:spacing w:after="0" w:line="117" w:lineRule="exact"/>
        <w:rPr>
          <w:rFonts w:ascii="Times New Roman" w:cs="Times New Roman" w:eastAsia="Times New Roman" w:hAnsi="Times New Roman"/>
          <w:sz w:val="18"/>
          <w:szCs w:val="18"/>
          <w:color w:val="auto"/>
        </w:rPr>
      </w:pPr>
    </w:p>
    <w:p>
      <w:pPr>
        <w:ind w:left="440" w:right="480" w:hanging="4"/>
        <w:spacing w:after="0" w:line="282" w:lineRule="auto"/>
        <w:tabs>
          <w:tab w:leader="none" w:pos="7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Noteholder Lock-Up Shares, (i) the expiration of the Noteholder Lock-Up Period, (ii) the closing of a liquidation, merger, stock exchange, reorganization or other similar transaction after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7" w:right="459" w:bottom="1440" w:gutter="0" w:footer="0" w:header="0"/>
        </w:sectPr>
      </w:pPr>
    </w:p>
    <w:bookmarkStart w:id="6" w:name="page7"/>
    <w:bookmarkEnd w:id="6"/>
    <w:p>
      <w:pPr>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$12.50 per share (as adjusted for stock splits, stock dividends, reorganizations, recapitalizations and the like) for any 20 trading days within any 30-trading day period and (iv) the liquidation of the Company;</w:t>
      </w:r>
    </w:p>
    <w:p>
      <w:pPr>
        <w:spacing w:after="0" w:line="72" w:lineRule="exact"/>
        <w:rPr>
          <w:sz w:val="20"/>
          <w:szCs w:val="20"/>
          <w:color w:val="auto"/>
        </w:rPr>
      </w:pPr>
    </w:p>
    <w:p>
      <w:pPr>
        <w:ind w:left="444" w:right="20" w:hanging="4"/>
        <w:spacing w:after="0" w:line="256" w:lineRule="auto"/>
        <w:tabs>
          <w:tab w:leader="none" w:pos="7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 25% of each securityholder’s Noteholder Lock-Up Shares, (i) the expiration of the Noteholder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$15.00 per share (as adjusted for stock splits, stock dividends, reorganizations, recapitalizations and the like) for any 20 trading days within any 30-trading day period and (iv) the liquidation of the Company; or</w:t>
      </w:r>
    </w:p>
    <w:p>
      <w:pPr>
        <w:spacing w:after="0" w:line="79"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Noteholder Lock-Up Shares, (i) the expiration of the Noteholder Lock-Up Period, (ii) the</w:t>
      </w:r>
    </w:p>
    <w:p>
      <w:pPr>
        <w:spacing w:after="0" w:line="27" w:lineRule="exact"/>
        <w:rPr>
          <w:rFonts w:ascii="Times New Roman" w:cs="Times New Roman" w:eastAsia="Times New Roman" w:hAnsi="Times New Roman"/>
          <w:sz w:val="18"/>
          <w:szCs w:val="18"/>
          <w:color w:val="auto"/>
        </w:rPr>
      </w:pPr>
    </w:p>
    <w:p>
      <w:pPr>
        <w:ind w:left="44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$17.50 per share (as adjusted for stock splits, stock dividends, reorganizations, recapitalizations and the like) for any 20 trading days within any 30-trading day period and (iv) the liquidation of the Company.</w:t>
      </w:r>
    </w:p>
    <w:p>
      <w:pPr>
        <w:spacing w:after="0" w:line="187"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Noteholder Lock-Up Agreement does not purport to be complete and is qualified in its entirety by reference to the full text of the Noteholder Lock-Up Agreement, which is filed as Exhibit 10.13 to this Report and is incorporated herein by reference.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Secured Promissory Note and Pledge Agreement</w:t>
      </w:r>
    </w:p>
    <w:p>
      <w:pPr>
        <w:spacing w:after="0" w:line="225"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US$8,753,744.21, bearing with respect to the remaining principal amount of the Sponsor Note as at the maturity date an interest rate of 7% with annual compounding, compounded on December 31 each year the Sponsor Note remains outstanding until such remaining principal amount is paid. Pursuant to the Sponsor Note, the Sponsor agreed to pay certain of the Acquiror Transaction Expenses (as defined in the Merger Agreement) set forth in the Sponsor Note.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proceeds thereof to the Holder to secure the satisfaction by the Sponsor of all its obligations to the Holder under the Sponsor Note. The outstanding principal and accrued interest under the Sponsor Note is due and payable upon the Maturity Date.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19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Sponsor Note does not purport to be complete and is qualified in its entirety by the terms and conditions of the Sponsor Note, a copy of which is attached hereto as Exhibit 10.14 and is incorporated herein by reference.</w:t>
      </w:r>
    </w:p>
    <w:p>
      <w:pPr>
        <w:spacing w:after="0" w:line="162" w:lineRule="exact"/>
        <w:rPr>
          <w:sz w:val="20"/>
          <w:szCs w:val="20"/>
          <w:color w:val="auto"/>
        </w:rPr>
      </w:pPr>
    </w:p>
    <w:p>
      <w:pPr>
        <w:ind w:left="4" w:right="40"/>
        <w:spacing w:after="0" w:line="269" w:lineRule="auto"/>
        <w:rPr>
          <w:sz w:val="20"/>
          <w:szCs w:val="20"/>
          <w:color w:val="auto"/>
        </w:rPr>
      </w:pPr>
      <w:r>
        <w:rPr>
          <w:rFonts w:ascii="Times New Roman" w:cs="Times New Roman" w:eastAsia="Times New Roman" w:hAnsi="Times New Roman"/>
          <w:sz w:val="17"/>
          <w:szCs w:val="17"/>
          <w:color w:val="auto"/>
        </w:rPr>
        <w:t>Immediately prior to the consummation of the Business Combination and pursuant to the terms of the Merger Agreement, on January 13, 2025, BurTech,Merger Sub, Blaize and Burkhan confirmed to one another that all conditions to the Closing set forth in Article IX of the Merger Agreement have beensatisfied, and expressly waived the conditions that remained unsatisfied on such date through the execution of that certain Letter Agreement (the “LetterAgreement”), dated as of January 13, 2025, by and among BurTech, Merger Sub, Blaize, Burkhan, and the Sponsor which is attached hereto as Exhibit10.15 to this Report, and which is incorporated herein by reference. Pursuant to the Letter Agreement, Blaize waived the conditions to Closing</w:t>
      </w:r>
    </w:p>
    <w:p>
      <w:pPr>
        <w:spacing w:after="0" w:line="3" w:lineRule="exact"/>
        <w:rPr>
          <w:sz w:val="20"/>
          <w:szCs w:val="20"/>
          <w:color w:val="auto"/>
        </w:rPr>
      </w:pPr>
    </w:p>
    <w:p>
      <w:pPr>
        <w:ind w:left="4" w:right="60" w:hanging="4"/>
        <w:spacing w:after="0" w:line="251"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underSection 9.3(d) of the Merger Agreement that BurTech have available proceeds of not less than $125,000,000 remaining upon the consummation of theMerger, and (2) under Section 9.3(f) of the Merger Agreement that the sum of the BurTech trust account plus the amount of immediately available fundsreceived by BurTech pursuant to purchases of shares of Class A Stock on the terms provided in the Backstop Subscription Agreement (the “BackstopAgreement”), dated as of April 22, 2024, by and among BurTech, Blaize and the Sponsor, shall be no less than $30,000,000, to allow the parties toproceed to Closing. Pursuant to the Letter Agreement, BurTech waived the obligations of the Sponsor under the Backstop Agreement and, in lieu of suchobligations, Burkhan entered into a PIPE Subscription Agreement to purchase an aggregate of 1,200,000 shares of Class A Stock at a purchase price of$10.00 per share for aggregate proceeds of $12,000,000 to the Company. Pursuant to the Letter Agreement, the Company agreed to register for resalewithin four (4) business days of the closing of the Business Combination, pursuant to the Securities Act, certain shares of the Sponsor and the SponsorGroup (as defined in the A&amp;R Registration Rights Agreement) on the same terms and subject to the same conditions as the Registration RightsAgreement.</w:t>
      </w:r>
    </w:p>
    <w:p>
      <w:pPr>
        <w:spacing w:after="0" w:line="193"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complete and is qualified in its entirety by the terms and conditions of the Letter Agreement, a copy of which is attached hereto as Exhibit 10.15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As described in Item 1.01 above, on December 23, 2024, BurTech held the Special Meeting, at which the BurTech stockholders considered and adopted, among other matters, a proposal to approve the Merger Agreement and the Transactions. On January 13, 2025, the Business Combination was consummated. In connection with the Closing, the Company changed its name from BurTech Acquisition Corp. to Blaize Holdings, Inc.</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Holders of 937,844 shares of Class A Stock, sold in BurTech’s initial public offering (the “Initial Shares”) properly exercised their right to have such shares redeemed for a full pro rata portion of the trust account holding the proceeds from BurTech’s initial public offering, calculated as of two business days prior to the Closing, which was approximately $11.58 per share, or $10,863,000.50 in the aggregate.</w:t>
      </w:r>
    </w:p>
    <w:p>
      <w:pPr>
        <w:spacing w:after="0" w:line="176"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each share of Legacy Blaize preferred stock and common stock was converted into the right to receive approximately 0.78 shares of Common Stock.</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Additionally, the shares of BurTech Class B common stock, par value $0.0001 per share (“Class B Stock”), held by Sponsor automatically converted to five (5) shares of Common Stock.</w:t>
      </w:r>
    </w:p>
    <w:p>
      <w:pPr>
        <w:sectPr>
          <w:pgSz w:w="11900" w:h="16838" w:orient="portrait"/>
          <w:cols w:equalWidth="0" w:num="1">
            <w:col w:w="11024"/>
          </w:cols>
          <w:pgMar w:left="436" w:top="297" w:right="439" w:bottom="0" w:gutter="0" w:footer="0" w:header="0"/>
        </w:sectPr>
      </w:pPr>
    </w:p>
    <w:bookmarkStart w:id="7" w:name="page8"/>
    <w:bookmarkEnd w:id="7"/>
    <w:p>
      <w:pPr>
        <w:ind w:right="400"/>
        <w:spacing w:after="0" w:line="282" w:lineRule="auto"/>
        <w:rPr>
          <w:sz w:val="20"/>
          <w:szCs w:val="20"/>
          <w:color w:val="auto"/>
        </w:rPr>
      </w:pPr>
      <w:r>
        <w:rPr>
          <w:rFonts w:ascii="Times New Roman" w:cs="Times New Roman" w:eastAsia="Times New Roman" w:hAnsi="Times New Roman"/>
          <w:sz w:val="18"/>
          <w:szCs w:val="18"/>
          <w:color w:val="auto"/>
        </w:rPr>
        <w:t>As described in Item 1.01 above, on January 13, 2025, pursuant to the PIPE Subscription Agreements, BurTech issued and sold to the Subscribers immediately prior to the closing of the Merger 1,540,300 PIPE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described in Item 1.01 above, on January 13, 2025, pursuant to the Sponsor Note, BurTech issued to the Sponsor immediately prior to the closing of the Merger 750,000 shares of Class A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121" w:right="559" w:bottom="1440" w:gutter="0" w:footer="0" w:header="0"/>
        </w:sectPr>
      </w:pPr>
    </w:p>
    <w:bookmarkStart w:id="8" w:name="page9"/>
    <w:bookmarkEnd w:id="8"/>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After giving effect to the Transactions, the redemption of Initial Shares as described above, and the consummation of the NRA Financing and Private Placements, there are currently 101,588,967 shares of Common Stock issued and outstanding.</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Common Stock and warrants of the Company (“Warrants”) commenced trading on the Nasdaq Stock Market (“Nasdaq”) under the symbols “BZAI” and “BZAIW,” respectively, on January 14, 2025, subject to ongoing review of the Company’s satisfaction of all listing criteria following the Business Combination.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noted above, an aggregate of approximately $10,863,000.50 was paid from the Company’s trust account to holders that properly exercised their right to have Initial Shares redeemed, and the remaining balance immediately prior to the Closing of approximately $3,619,173.85 remained in the trust account (not including $33.1 million remaining in the trust account in connection with the NRA Financing). The remaining amount in the trust account was used to fund the Business Combination.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7"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10 INFORMATION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Item 2.01(f) of Form 8-K states that if the registrant was a shell company, as the Company was immediately before the Business Combination, then the registrant must disclose the information that would be required if the registrant were filing a general form for registration of securities on Form 10. As a result of the consummation of the Business Combination, and as discussed below in Item 5.06 of this Report, the Company has ceased to be a shell company. Accordingly, the Company is providing below the information that would be included in a Form 10 if it were to file a Form 10. Please note that the information provided below relates to the combined company after the consummation of the Business Combination, unless otherwise specifically indicated or the context otherwise requires.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This Report includes statements that express the Company’s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“continues,” “could,” “estimates,” “anticipates,” “expects,” “seeks,” “projects,” “intends,” “predicts,” “plans,” “may,” “might,” “possible,” “potential,” “would,” or “should” or, in each case, their negative or other variations or comparable terminology. These forward-looking statements include all matters that are not historical facts. They appear in a number of places throughout this Report (including in information that is incorporated by reference into this Report) and include statements regarding our intentions, beliefs or current expectations concerning, among other things, the Transactions and the benefits of the Transactions, including results of operations, financial condition, liquidity, prospects, growth, strategies and the markets in which the Company operates. Such forward-looking statements are based on available current market material and management’s expectations, beliefs and forecasts concerning future events impacting the Company.</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the actual results or performance of the Company may be materially different from those expressed or implied by these forward-looking statements. The following important factors, in addition to those discussed under the heading “Risk Factors” in the Proxy Statement/Prospectus, could affect the future results of the Company and cause those results or other outcomes to differ materially from those expressed or implied in the forward-looking statements:</w:t>
      </w:r>
    </w:p>
    <w:p>
      <w:pPr>
        <w:spacing w:after="0" w:line="8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of the Company on Nasdaq;</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3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 retain existing customers, terminate existing customer or partnership contracts or expand sales to existing customers;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Proxy Statement/Prospectus, including those under the section entitled “Risk Factors.”</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the Company’s current expectations and beliefs concerning future developments and their potential effects on the Company. There can be no assurance that future developments affecting the Company will be those that the Company has anticipated. These forward-looking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3" w:right="45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or incorporated by reference under the heading “Risk Factors” below. Should one or more of these risks or uncertainties materialize, or should any of the assumptions prove incorrect, actual results may vary in material respects from those projected in these forward-looking statements. The Company will not and does not undertake any obligation to update or revise any forward-looking statements, whether as a result of new information, future events or otherwise, except as may be required under applicable securities 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business of the Company is described in the Proxy Statement/Prospectus in the section entitled “Information About Blaize” beginning on page 209 thereof and that information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risks associated with the Company’s business are described in the Proxy Statement/Prospectus in the section entitled “Risk Factors” beginning on page 51 thereof and are incorporated herein by reference. A summary of the risks associated with the Company’s business are also described on pages 45-46 of the Proxy Statement/Prospectus under the heading “Summary of Risk Factors”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and for the three and nine months ended September 30, 2024 of Legacy Blaize set forth in Exhibit 99.1 hereto have been prepared in accordance with U.S. generally accepted accounting principles and pursuant to the regulations of the SEC. The unaudited financial information reflects, in the opinion of management, all adjustments, consisting of normal recurring adjustments, considered necessary for a fair statement of Legacy Blaize’s financial position, results of operations and cash flows for the period indicated. The results reported for the interim period presented are not necessarily indicative of results that may be expected for the full year.</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historical audited consolidated financial statements of Legacy Blaize as of and for the years ended December 31, 2023 and 2022 and the related notes included in the Proxy Statement/Prospectus, the section entitled “Blaize Management’s Discussion and Analysis of Financial Condition and Results of Operations” beginning on page 228 of the Proxy Statement/Prospectus and the section entitled “Management’s Discussion and Analysis of Financial Condition and Results of Operations” included herein.</w:t>
      </w:r>
    </w:p>
    <w:p>
      <w:pPr>
        <w:spacing w:after="0" w:line="183"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audited consolidated financial statements of Legacy Blaize as of and for the years ended December 31, 2023 and 2022 and the related notes are included in the Proxy Statement/Prospectus beginning on page F-2 of the Proxy Statement/Prospectus, which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as of and for the year ended December 31, 2023 is included in the Proxy Statement/Prospectus in the section entitled “Unaudited Pro Forma Condensed Combined Financial Information” beginning on page 108 of the Proxy Statement/Prospectus and is incorporated herein by reference.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as of and for the three and nine months ended September 30, 2024 is set forth in Exhibit 99.2 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 of Legacy Blaize as of and for the nine months ended September 30, 2024 and for the year ended December 31, 2023 is included in the Proxy Statement/Prospectus in the section titled “Blaize Management’s Discussion and Analysis of Financial Condition and Results of Operations” beginning on page 228 of the Proxy Statement/Prospectus, which is incorporated herein by reference.</w:t>
      </w:r>
    </w:p>
    <w:p>
      <w:pPr>
        <w:spacing w:after="0" w:line="18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Additionally, our historical results are not necessarily indicative of the results that may be expected for any period in the future. References in this section to “Blaize,” “we,” “our,” “us” and the “Company” generally refer to Legacy Blaize and its consolidated subsidiaries prior to the Business Combination and to the Company and its consolidated subsidiaries after giving effect to the Business Combination.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Properties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properties of the Company are described in the Proxy Statement/Prospectus in the section entitled “Information About Blaize” beginning on page 209 thereof and that information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immediately following consummation of the Transactions by:</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beneficial ownership of our Common Stock is based on 101,588,967 shares of Common Stock issued and outstanding immediately following consummation of the Transactions, including the redemption of Initial Shares as described above and the consummation of the NRA Financing and Private Placements.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93" w:right="49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Beneficial Ownership Table</w:t>
      </w:r>
    </w:p>
    <w:p>
      <w:pPr>
        <w:spacing w:after="0" w:line="23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4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89"/>
        </w:trPr>
        <w:tc>
          <w:tcPr>
            <w:tcW w:w="54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(1)</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9,574,251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Rizvi Traverse CI Manager, LLC</w:t>
            </w:r>
            <w:r>
              <w:rPr>
                <w:rFonts w:ascii="Times New Roman" w:cs="Times New Roman" w:eastAsia="Times New Roman" w:hAnsi="Times New Roman"/>
                <w:sz w:val="25"/>
                <w:szCs w:val="25"/>
                <w:color w:val="auto"/>
                <w:vertAlign w:val="superscript"/>
              </w:rPr>
              <w:t>(2)</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7,439,433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Ava Investors SA</w:t>
            </w:r>
            <w:r>
              <w:rPr>
                <w:rFonts w:ascii="Times New Roman" w:cs="Times New Roman" w:eastAsia="Times New Roman" w:hAnsi="Times New Roman"/>
                <w:sz w:val="25"/>
                <w:szCs w:val="25"/>
                <w:color w:val="auto"/>
                <w:vertAlign w:val="superscript"/>
              </w:rPr>
              <w:t>(3)</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17,716,892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(4)</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12,345,767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(5)</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9,195,111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Anderson Investments Pte. Ltd.</w:t>
            </w:r>
            <w:r>
              <w:rPr>
                <w:rFonts w:ascii="Times New Roman" w:cs="Times New Roman" w:eastAsia="Times New Roman" w:hAnsi="Times New Roman"/>
                <w:sz w:val="25"/>
                <w:szCs w:val="25"/>
                <w:color w:val="auto"/>
                <w:vertAlign w:val="superscript"/>
              </w:rPr>
              <w:t>(6)</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6,353,023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Lane M. Bess</w:t>
            </w:r>
            <w:r>
              <w:rPr>
                <w:rFonts w:ascii="Times New Roman" w:cs="Times New Roman" w:eastAsia="Times New Roman" w:hAnsi="Times New Roman"/>
                <w:sz w:val="25"/>
                <w:szCs w:val="25"/>
                <w:color w:val="auto"/>
                <w:vertAlign w:val="superscript"/>
              </w:rPr>
              <w:t>(1)</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9,574,251</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Tony Cannestra</w:t>
            </w:r>
            <w:r>
              <w:rPr>
                <w:rFonts w:ascii="Times New Roman" w:cs="Times New Roman" w:eastAsia="Times New Roman" w:hAnsi="Times New Roman"/>
                <w:sz w:val="25"/>
                <w:szCs w:val="25"/>
                <w:color w:val="auto"/>
                <w:vertAlign w:val="superscript"/>
              </w:rPr>
              <w:t>(7)</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733,350</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Frank</w:t>
            </w:r>
            <w:r>
              <w:rPr>
                <w:rFonts w:ascii="Times New Roman" w:cs="Times New Roman" w:eastAsia="Times New Roman" w:hAnsi="Times New Roman"/>
                <w:sz w:val="25"/>
                <w:szCs w:val="25"/>
                <w:color w:val="auto"/>
                <w:vertAlign w:val="superscript"/>
              </w:rPr>
              <w:t>(8)</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722,035</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Juergen Hambrecht</w:t>
            </w:r>
            <w:r>
              <w:rPr>
                <w:rFonts w:ascii="Times New Roman" w:cs="Times New Roman" w:eastAsia="Times New Roman" w:hAnsi="Times New Roman"/>
                <w:sz w:val="25"/>
                <w:szCs w:val="25"/>
                <w:color w:val="auto"/>
                <w:vertAlign w:val="superscript"/>
              </w:rPr>
              <w:t>(9)</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722,035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3,421,625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Harminder Sehmi</w:t>
            </w:r>
            <w:r>
              <w:rPr>
                <w:rFonts w:ascii="Times New Roman" w:cs="Times New Roman" w:eastAsia="Times New Roman" w:hAnsi="Times New Roman"/>
                <w:sz w:val="25"/>
                <w:szCs w:val="25"/>
                <w:color w:val="auto"/>
                <w:vertAlign w:val="superscript"/>
              </w:rPr>
              <w:t>(11)</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506,514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4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Santiago Fernandez-Gomez</w:t>
            </w:r>
            <w:r>
              <w:rPr>
                <w:rFonts w:ascii="Times New Roman" w:cs="Times New Roman" w:eastAsia="Times New Roman" w:hAnsi="Times New Roman"/>
                <w:sz w:val="25"/>
                <w:szCs w:val="25"/>
                <w:color w:val="auto"/>
                <w:vertAlign w:val="superscript"/>
              </w:rPr>
              <w:t>(12)</w:t>
            </w: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819,683</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Val Cook</w:t>
            </w:r>
            <w:r>
              <w:rPr>
                <w:rFonts w:ascii="Times New Roman" w:cs="Times New Roman" w:eastAsia="Times New Roman" w:hAnsi="Times New Roman"/>
                <w:sz w:val="25"/>
                <w:szCs w:val="25"/>
                <w:color w:val="auto"/>
                <w:vertAlign w:val="superscript"/>
              </w:rPr>
              <w:t>(13)</w:t>
            </w:r>
          </w:p>
        </w:tc>
        <w:tc>
          <w:tcPr>
            <w:tcW w:w="4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1,054,038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 (10 individuals)</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17,553,531</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24"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8,946,783 shares of Common Stock held by Bess Ventures, (b) 389,968 shares of Common Stock held by the Trust and (c) 237,500 shares of Common Stock underlying options exercisable within 60 days of the Closing.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 Lane M. Bess, 1928 Sunset Harbor Drive, Miami Beach, FL 33139. The address of the Trust is 255 Alhambra Circle, Ste 333, Coral Gables, FL 33134.</w:t>
      </w:r>
    </w:p>
    <w:p>
      <w:pPr>
        <w:spacing w:after="0" w:line="1"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12,345,767 shares of Common Stock held by the Sponsor and related parties. BurTech LP LLC, the Sponsor, is the record holder of the securities reported herein. Shahal Khan, Patrick Orlando and Roman Livson are the managing members of our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Acquisition Corp., 1300 Pennsylvania Ave NW, Suite 700, Washington, DC 20004.</w:t>
      </w:r>
    </w:p>
    <w:p>
      <w:pPr>
        <w:spacing w:after="0" w:line="1"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93" w:right="479" w:bottom="1440" w:gutter="0" w:footer="0" w:header="0"/>
        </w:sectPr>
      </w:pPr>
    </w:p>
    <w:bookmarkStart w:id="13" w:name="page14"/>
    <w:bookmarkEnd w:id="13"/>
    <w:p>
      <w:pPr>
        <w:ind w:left="424"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3" w:lineRule="exact"/>
        <w:rPr>
          <w:sz w:val="20"/>
          <w:szCs w:val="20"/>
          <w:color w:val="auto"/>
        </w:rPr>
      </w:pPr>
    </w:p>
    <w:p>
      <w:pPr>
        <w:ind w:left="424"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733,350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722,035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722,035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553,422 shares of Common Stock held directly by Dinakar Munagala and (b) 2,868,203 shares of Common Stock underlying options exercisable within 60 days of the Closing.</w:t>
      </w: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506,514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819,683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1,054,038 shares of Common Stock underlying options exercisable within 60 days of the Closing.</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Company’s directors and executive officers upon the Closing are described in the Proxy Statement/Prospectus in the section entitled “Directors and Officers After the Business Combination” beginning on page 277 thereof and that information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21"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Pursuant to the approval of BurTech stockholders from the Special Meeting, the following persons will constitute the Company’s Board effective upon the Closing: Dinakar Munagala, Harminder Sehmi, Edward Frank, Lane Bess, Juergen Hambrecht, Tony Cannestra, George de Urioste and Yoshiaki Fujimori. Biographical information for these individuals (other than Mr. Fujimori) is set forth in the Proxy Statement/Prospectus in the section titled “Directors and Executive Officers After the Business Combination” beginning on page 277, which is incorporated herein by reference.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w:t>
      </w:r>
    </w:p>
    <w:p>
      <w:pPr>
        <w:spacing w:after="0" w:line="117"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Yoshiaki Fujimori</w:t>
      </w:r>
      <w:r>
        <w:rPr>
          <w:rFonts w:ascii="Times New Roman" w:cs="Times New Roman" w:eastAsia="Times New Roman" w:hAnsi="Times New Roman"/>
          <w:sz w:val="18"/>
          <w:szCs w:val="18"/>
          <w:color w:val="auto"/>
        </w:rPr>
        <w:t>, age 74, joined as a member of our board of directors following the closing of the Business Combination. He is currently an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for Takeda Pharmaceutical Company Limited since June 2016. He is also an outside director for Boston Scientific Corporation since July 2016, and also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97" w:right="43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Independence of Directors</w:t>
      </w:r>
    </w:p>
    <w:p>
      <w:pPr>
        <w:spacing w:after="0" w:line="121"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any other individual having a relationship which, in the opinion of the company’s board of directors, would interfere with the exercise of independent judgment in carrying out the responsibilities of a director. Our board of directors has determined that each of the directors qualify as “independent directors” as defined in the Nasdaq listing standards and applicable SEC rules, other than Dinakar Munagala and Lane M. Bess. Our independent directors will have regularly scheduled meetings at which only independent directors are present.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21" w:lineRule="exact"/>
        <w:rPr>
          <w:sz w:val="20"/>
          <w:szCs w:val="20"/>
          <w:color w:val="auto"/>
        </w:rPr>
      </w:pPr>
    </w:p>
    <w:p>
      <w:pPr>
        <w:ind w:left="4" w:right="1020"/>
        <w:spacing w:after="0" w:line="282" w:lineRule="auto"/>
        <w:rPr>
          <w:sz w:val="20"/>
          <w:szCs w:val="20"/>
          <w:color w:val="auto"/>
        </w:rPr>
      </w:pPr>
      <w:r>
        <w:rPr>
          <w:rFonts w:ascii="Times New Roman" w:cs="Times New Roman" w:eastAsia="Times New Roman" w:hAnsi="Times New Roman"/>
          <w:sz w:val="18"/>
          <w:szCs w:val="18"/>
          <w:color w:val="auto"/>
        </w:rPr>
        <w:t>Effective as of the Closing, the standing committees of the Company’s Board consist of an audit committee (the “Audit Committee”) and a compensation committee (the “Compensation Committee”). Each of the committees report to the Board.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as of the Closing, the Board appointed Messrs. de Urioste, Frank and Cannestra to serve on the Audit Committee, with Mr. de Urioste as chair.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appointed Messrs. Frank, de Urioste and Cannestra to serve on the Compensation Committee, with Mr. Frank as chair.</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Effective as of the Closing, the Company will not have a nominating and corporate governance committee of the Company’s Board. Pursuant to Nasdaq Rule 5605-6(e)(1), the nomination of directors shall be made, or recommended to the board of directors, by a Nominating Committee of the board of directors consisting solely of independent directors, or by a majority of independent directors. Effective as of the Closing, the Company will not have a nominating and corporate governance committee of the Company’s Board; rather, the nomination of directors shall be made, or recommended to the board of directors by a majority of our independent directors. The Company may in the future establish a nominating and corporate governance committee for the nomination of directors.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4" w:right="540"/>
        <w:spacing w:after="0" w:line="261" w:lineRule="auto"/>
        <w:rPr>
          <w:sz w:val="20"/>
          <w:szCs w:val="20"/>
          <w:color w:val="auto"/>
        </w:rPr>
      </w:pPr>
      <w:r>
        <w:rPr>
          <w:rFonts w:ascii="Times New Roman" w:cs="Times New Roman" w:eastAsia="Times New Roman" w:hAnsi="Times New Roman"/>
          <w:sz w:val="18"/>
          <w:szCs w:val="18"/>
          <w:color w:val="auto"/>
        </w:rPr>
        <w:t>Effective as of the Closing, Mr. Shahal Khan resigned as Chairman and Chief Executive Officer. Effective as of the Closing, the Board appointed Mr. Munagala to serve as Chief Executive Officer and Harminder Sehmi to serve as Chief Financial Officer. Biographical information for these individuals is set forth in the Proxy Statement/Prospectus in the section titled “Directors and Executive Officers After the Business Combination” beginning on page 277, which is incorporated herein by reference.</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67" w:lineRule="exact"/>
        <w:rPr>
          <w:sz w:val="20"/>
          <w:szCs w:val="20"/>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240" w:type="dxa"/>
            <w:vAlign w:val="bottom"/>
          </w:tcPr>
          <w:p>
            <w:pPr>
              <w:spacing w:after="0"/>
              <w:rPr>
                <w:sz w:val="15"/>
                <w:szCs w:val="15"/>
                <w:color w:val="auto"/>
              </w:rPr>
            </w:pPr>
          </w:p>
        </w:tc>
        <w:tc>
          <w:tcPr>
            <w:tcW w:w="900" w:type="dxa"/>
            <w:vAlign w:val="bottom"/>
          </w:tcPr>
          <w:p>
            <w:pPr>
              <w:jc w:val="right"/>
              <w:ind w:right="21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595,833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3,798,428</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4,394,285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1,337,142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 Cook</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397,570</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781,714</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476,724</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447,917</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730,817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20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0" w:lineRule="exact"/>
        <w:rPr>
          <w:sz w:val="20"/>
          <w:szCs w:val="20"/>
          <w:color w:val="auto"/>
        </w:rPr>
      </w:pPr>
    </w:p>
    <w:p>
      <w:pPr>
        <w:ind w:left="424" w:right="60" w:hanging="424"/>
        <w:spacing w:after="0" w:line="255"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 12 to Blaize’s consolidated financial statements incorporated herein by reference.</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 value of life insurance premiums paid by Blaize with respect to each named executive officer during 2024.</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 Mr. Fernandez-Gomez: $450,000. The Summary Compensation Table above shows the actual base salaries paid to each named executive officer in fiscal year 2024.</w:t>
      </w:r>
    </w:p>
    <w:p>
      <w:pPr>
        <w:sectPr>
          <w:pgSz w:w="11900" w:h="16838" w:orient="portrait"/>
          <w:cols w:equalWidth="0" w:num="1">
            <w:col w:w="11024"/>
          </w:cols>
          <w:pgMar w:left="436" w:top="293" w:right="439" w:bottom="1"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Blaize, Inc. Amended and Restated 2011 Stock Plan (the “2011 Stock Plan”). On October 24, 2024, we granted each of Messrs. Munagala, Cook, and Fernandez-Gomez stock options covering 7,379,065, 1,517,044, and 1,418,448 shares of Blaize common stock, respectively.</w:t>
      </w:r>
    </w:p>
    <w:p>
      <w:pPr>
        <w:spacing w:after="0" w:line="176" w:lineRule="exact"/>
        <w:rPr>
          <w:sz w:val="20"/>
          <w:szCs w:val="20"/>
          <w:color w:val="auto"/>
        </w:rPr>
      </w:pPr>
    </w:p>
    <w:p>
      <w:pPr>
        <w:ind w:left="4" w:right="140" w:firstLine="440"/>
        <w:spacing w:after="0" w:line="216"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of the shares subject to the option on the first anniversary of the vesting commencement date and with respect to one-thirty-sixth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8"/>
          <w:szCs w:val="18"/>
          <w:i w:val="1"/>
          <w:iCs w:val="1"/>
          <w:color w:val="auto"/>
        </w:rPr>
        <w:t>Offer Letters</w:t>
      </w:r>
      <w:r>
        <w:rPr>
          <w:rFonts w:ascii="Times New Roman" w:cs="Times New Roman" w:eastAsia="Times New Roman" w:hAnsi="Times New Roman"/>
          <w:sz w:val="18"/>
          <w:szCs w:val="18"/>
          <w:color w:val="auto"/>
        </w:rPr>
        <w:t>” below.</w:t>
      </w:r>
    </w:p>
    <w:p>
      <w:pPr>
        <w:spacing w:after="0" w:line="199"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31" w:lineRule="exact"/>
        <w:rPr>
          <w:sz w:val="20"/>
          <w:szCs w:val="20"/>
          <w:color w:val="auto"/>
        </w:rPr>
      </w:pPr>
    </w:p>
    <w:p>
      <w:pPr>
        <w:ind w:left="964" w:hanging="424"/>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4" w:right="1000" w:firstLine="44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gridSpan w:val="2"/>
          </w:tcPr>
          <w:p>
            <w:pPr>
              <w:jc w:val="right"/>
              <w:ind w:right="35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gridSpan w:val="2"/>
          </w:tcPr>
          <w:p>
            <w:pPr>
              <w:jc w:val="center"/>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0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3/15/2017</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1/1/2017</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147,000</w:t>
            </w: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(1)</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3/14/2027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11/12/2018</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9/1/2018</w:t>
            </w:r>
          </w:p>
        </w:tc>
        <w:tc>
          <w:tcPr>
            <w:tcW w:w="180" w:type="dxa"/>
            <w:vAlign w:val="bottom"/>
          </w:tcPr>
          <w:p>
            <w:pPr>
              <w:spacing w:after="0"/>
              <w:rPr>
                <w:sz w:val="18"/>
                <w:szCs w:val="18"/>
                <w:color w:val="auto"/>
              </w:rPr>
            </w:pPr>
          </w:p>
        </w:tc>
        <w:tc>
          <w:tcPr>
            <w:tcW w:w="118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226,305</w:t>
            </w:r>
            <w:r>
              <w:rPr>
                <w:rFonts w:ascii="Times New Roman" w:cs="Times New Roman" w:eastAsia="Times New Roman" w:hAnsi="Times New Roman"/>
                <w:sz w:val="25"/>
                <w:szCs w:val="25"/>
                <w:color w:val="auto"/>
                <w:vertAlign w:val="superscript"/>
              </w:rPr>
              <w:t>(1)</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11/11/2028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9/19/2023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9/19/2023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2,197,372</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3,124,027</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9/18/2033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10/24/2024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180" w:type="dxa"/>
            <w:vAlign w:val="bottom"/>
          </w:tcPr>
          <w:p>
            <w:pPr>
              <w:spacing w:after="0"/>
              <w:rPr>
                <w:sz w:val="18"/>
                <w:szCs w:val="18"/>
                <w:color w:val="auto"/>
              </w:rPr>
            </w:pPr>
          </w:p>
        </w:tc>
        <w:tc>
          <w:tcPr>
            <w:tcW w:w="11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68"/>
              <w:spacing w:after="0" w:line="216" w:lineRule="exact"/>
              <w:rPr>
                <w:sz w:val="20"/>
                <w:szCs w:val="20"/>
                <w:color w:val="auto"/>
              </w:rPr>
            </w:pPr>
            <w:r>
              <w:rPr>
                <w:rFonts w:ascii="Times New Roman" w:cs="Times New Roman" w:eastAsia="Times New Roman" w:hAnsi="Times New Roman"/>
                <w:sz w:val="17"/>
                <w:szCs w:val="17"/>
                <w:color w:val="auto"/>
              </w:rPr>
              <w:t>7,379,065</w:t>
            </w:r>
            <w:r>
              <w:rPr>
                <w:rFonts w:ascii="Times New Roman" w:cs="Times New Roman" w:eastAsia="Times New Roman" w:hAnsi="Times New Roman"/>
                <w:sz w:val="25"/>
                <w:szCs w:val="25"/>
                <w:color w:val="auto"/>
                <w:vertAlign w:val="superscript"/>
              </w:rPr>
              <w:t>(3)</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10/23/2034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 Cook</w:t>
            </w:r>
          </w:p>
        </w:tc>
        <w:tc>
          <w:tcPr>
            <w:tcW w:w="10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3/15/2017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1/1/2017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40,038</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3/14/2027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11/12/2018</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9/1/2018</w:t>
            </w:r>
          </w:p>
        </w:tc>
        <w:tc>
          <w:tcPr>
            <w:tcW w:w="180" w:type="dxa"/>
            <w:vAlign w:val="bottom"/>
          </w:tcPr>
          <w:p>
            <w:pPr>
              <w:spacing w:after="0"/>
              <w:rPr>
                <w:sz w:val="18"/>
                <w:szCs w:val="18"/>
                <w:color w:val="auto"/>
              </w:rPr>
            </w:pPr>
          </w:p>
        </w:tc>
        <w:tc>
          <w:tcPr>
            <w:tcW w:w="118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113,152</w:t>
            </w:r>
            <w:r>
              <w:rPr>
                <w:rFonts w:ascii="Times New Roman" w:cs="Times New Roman" w:eastAsia="Times New Roman" w:hAnsi="Times New Roman"/>
                <w:sz w:val="25"/>
                <w:szCs w:val="25"/>
                <w:color w:val="auto"/>
                <w:vertAlign w:val="superscript"/>
              </w:rPr>
              <w:t>(1)</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11/11/2028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9/19/2023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9/19/2023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794,866</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1,112,814</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9/18/2033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10/24/2024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180" w:type="dxa"/>
            <w:vAlign w:val="bottom"/>
          </w:tcPr>
          <w:p>
            <w:pPr>
              <w:spacing w:after="0"/>
              <w:rPr>
                <w:sz w:val="18"/>
                <w:szCs w:val="18"/>
                <w:color w:val="auto"/>
              </w:rPr>
            </w:pPr>
          </w:p>
        </w:tc>
        <w:tc>
          <w:tcPr>
            <w:tcW w:w="11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68"/>
              <w:spacing w:after="0" w:line="216" w:lineRule="exact"/>
              <w:rPr>
                <w:sz w:val="20"/>
                <w:szCs w:val="20"/>
                <w:color w:val="auto"/>
              </w:rPr>
            </w:pPr>
            <w:r>
              <w:rPr>
                <w:rFonts w:ascii="Times New Roman" w:cs="Times New Roman" w:eastAsia="Times New Roman" w:hAnsi="Times New Roman"/>
                <w:sz w:val="17"/>
                <w:szCs w:val="17"/>
                <w:color w:val="auto"/>
              </w:rPr>
              <w:t>1,517,044</w:t>
            </w:r>
            <w:r>
              <w:rPr>
                <w:rFonts w:ascii="Times New Roman" w:cs="Times New Roman" w:eastAsia="Times New Roman" w:hAnsi="Times New Roman"/>
                <w:sz w:val="25"/>
                <w:szCs w:val="25"/>
                <w:color w:val="auto"/>
                <w:vertAlign w:val="superscript"/>
              </w:rPr>
              <w:t>(3)</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10/23/2034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10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1/2/2017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5,000</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1/1/2027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8/27/2018</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7/9/2018</w:t>
            </w:r>
          </w:p>
        </w:tc>
        <w:tc>
          <w:tcPr>
            <w:tcW w:w="180" w:type="dxa"/>
            <w:vAlign w:val="bottom"/>
          </w:tcPr>
          <w:p>
            <w:pPr>
              <w:spacing w:after="0"/>
              <w:rPr>
                <w:sz w:val="18"/>
                <w:szCs w:val="18"/>
                <w:color w:val="auto"/>
              </w:rPr>
            </w:pPr>
          </w:p>
        </w:tc>
        <w:tc>
          <w:tcPr>
            <w:tcW w:w="118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67,935</w:t>
            </w:r>
            <w:r>
              <w:rPr>
                <w:rFonts w:ascii="Times New Roman" w:cs="Times New Roman" w:eastAsia="Times New Roman" w:hAnsi="Times New Roman"/>
                <w:sz w:val="25"/>
                <w:szCs w:val="25"/>
                <w:color w:val="auto"/>
                <w:vertAlign w:val="superscript"/>
              </w:rPr>
              <w:t>(4)</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11/17/2021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4,896</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11/16/2031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9/19/2023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9/19/2023</w:t>
            </w:r>
          </w:p>
        </w:tc>
        <w:tc>
          <w:tcPr>
            <w:tcW w:w="180" w:type="dxa"/>
            <w:vAlign w:val="bottom"/>
          </w:tcPr>
          <w:p>
            <w:pPr>
              <w:spacing w:after="0"/>
              <w:rPr>
                <w:sz w:val="18"/>
                <w:szCs w:val="18"/>
                <w:color w:val="auto"/>
              </w:rPr>
            </w:pPr>
          </w:p>
        </w:tc>
        <w:tc>
          <w:tcPr>
            <w:tcW w:w="118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654,484</w:t>
            </w:r>
            <w:r>
              <w:rPr>
                <w:rFonts w:ascii="Times New Roman" w:cs="Times New Roman" w:eastAsia="Times New Roman" w:hAnsi="Times New Roman"/>
                <w:sz w:val="25"/>
                <w:szCs w:val="25"/>
                <w:color w:val="auto"/>
                <w:vertAlign w:val="superscript"/>
              </w:rPr>
              <w:t>(2)</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916,278</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9/18/2033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10/24/2024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168"/>
              <w:spacing w:after="0" w:line="216" w:lineRule="exact"/>
              <w:rPr>
                <w:sz w:val="20"/>
                <w:szCs w:val="20"/>
                <w:color w:val="auto"/>
              </w:rPr>
            </w:pPr>
            <w:r>
              <w:rPr>
                <w:rFonts w:ascii="Times New Roman" w:cs="Times New Roman" w:eastAsia="Times New Roman" w:hAnsi="Times New Roman"/>
                <w:sz w:val="17"/>
                <w:szCs w:val="17"/>
                <w:color w:val="auto"/>
              </w:rPr>
              <w:t>1,418,448</w:t>
            </w:r>
            <w:r>
              <w:rPr>
                <w:rFonts w:ascii="Times New Roman" w:cs="Times New Roman" w:eastAsia="Times New Roman" w:hAnsi="Times New Roman"/>
                <w:sz w:val="25"/>
                <w:szCs w:val="25"/>
                <w:color w:val="auto"/>
                <w:vertAlign w:val="superscript"/>
              </w:rPr>
              <w:t>(3)</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120" w:hanging="424"/>
        <w:spacing w:after="0" w:line="25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sectPr>
          <w:pgSz w:w="11900" w:h="16838" w:orient="portrait"/>
          <w:cols w:equalWidth="0" w:num="1">
            <w:col w:w="11024"/>
          </w:cols>
          <w:pgMar w:left="436" w:top="117" w:right="439" w:bottom="0" w:gutter="0" w:footer="0" w:header="0"/>
        </w:sectPr>
      </w:pPr>
    </w:p>
    <w:bookmarkStart w:id="16" w:name="page17"/>
    <w:bookmarkEnd w:id="16"/>
    <w:p>
      <w:pPr>
        <w:spacing w:after="0" w:line="39" w:lineRule="exact"/>
        <w:rPr>
          <w:sz w:val="20"/>
          <w:szCs w:val="20"/>
          <w:color w:val="auto"/>
        </w:rPr>
      </w:pPr>
    </w:p>
    <w:p>
      <w:pPr>
        <w:ind w:left="424" w:right="280" w:hanging="424"/>
        <w:spacing w:after="0" w:line="257"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4"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Chief Software Architect. Pursuant to the Cook Offer Letter, Mr. Cook is entitled to receive a base salary which, as of January 1, 2024, was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$400,000 and is eligible to be considered for annual incentive bonuses. The Cook Offer Letter provides that Mr. Cook is also eligible to participate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Blaize-sponsored benefit plans and for paid vacation in accordance with Blaize policy.</w:t>
      </w:r>
    </w:p>
    <w:p>
      <w:pPr>
        <w:spacing w:after="0" w:line="20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40" w:type="dxa"/>
            <w:vAlign w:val="bottom"/>
          </w:tcPr>
          <w:p>
            <w:pPr>
              <w:jc w:val="center"/>
              <w:ind w:left="2708"/>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6"/>
              </w:rPr>
              <w:t>Total ($)</w:t>
            </w:r>
          </w:p>
        </w:tc>
        <w:tc>
          <w:tcPr>
            <w:tcW w:w="0" w:type="dxa"/>
            <w:vAlign w:val="bottom"/>
          </w:tcPr>
          <w:p>
            <w:pPr>
              <w:spacing w:after="0"/>
              <w:rPr>
                <w:sz w:val="1"/>
                <w:szCs w:val="1"/>
                <w:color w:val="auto"/>
              </w:rPr>
            </w:pPr>
          </w:p>
        </w:tc>
      </w:tr>
      <w:tr>
        <w:trPr>
          <w:trHeight w:val="173"/>
        </w:trPr>
        <w:tc>
          <w:tcPr>
            <w:tcW w:w="3360" w:type="dxa"/>
            <w:vAlign w:val="bottom"/>
            <w:vMerge w:val="continue"/>
          </w:tcPr>
          <w:p>
            <w:pPr>
              <w:spacing w:after="0"/>
              <w:rPr>
                <w:sz w:val="15"/>
                <w:szCs w:val="15"/>
                <w:color w:val="auto"/>
              </w:rPr>
            </w:pPr>
          </w:p>
        </w:tc>
        <w:tc>
          <w:tcPr>
            <w:tcW w:w="414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78" w:orient="portrait"/>
          <w:cols w:equalWidth="0" w:num="1">
            <w:col w:w="11004"/>
          </w:cols>
          <w:pgMar w:left="436" w:top="121" w:right="459" w:bottom="0" w:gutter="0" w:footer="0" w:header="0"/>
        </w:sectPr>
      </w:pPr>
    </w:p>
    <w:tbl>
      <w:tblPr>
        <w:tblLayout w:type="fixed"/>
        <w:tblInd w:w="1324" w:type="dxa"/>
        <w:tblCellMar>
          <w:top w:w="0" w:type="dxa"/>
          <w:left w:w="0" w:type="dxa"/>
          <w:bottom w:w="0" w:type="dxa"/>
          <w:right w:w="0" w:type="dxa"/>
        </w:tblCellMar>
      </w:tblPr>
      <w:tr>
        <w:trPr>
          <w:trHeight w:val="209"/>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318,472</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6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318,472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6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318,472</w:t>
            </w:r>
          </w:p>
        </w:tc>
      </w:tr>
    </w:tbl>
    <w:p>
      <w:pPr>
        <w:sectPr>
          <w:pgSz w:w="11900" w:h="16878" w:orient="portrait"/>
          <w:cols w:equalWidth="0" w:num="1">
            <w:col w:w="11004"/>
          </w:cols>
          <w:pgMar w:left="436" w:top="121" w:right="459" w:bottom="0" w:gutter="0" w:footer="0" w:header="0"/>
          <w:type w:val="continuous"/>
        </w:sectPr>
      </w:pPr>
    </w:p>
    <w:bookmarkStart w:id="17" w:name="page18"/>
    <w:bookmarkEnd w:id="17"/>
    <w:p>
      <w:pPr>
        <w:spacing w:after="0" w:line="1" w:lineRule="exact"/>
        <w:rPr>
          <w:sz w:val="20"/>
          <w:szCs w:val="20"/>
          <w:color w:val="auto"/>
        </w:rPr>
      </w:pPr>
    </w:p>
    <w:tbl>
      <w:tblPr>
        <w:tblLayout w:type="fixed"/>
        <w:tblInd w:w="1324"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Lane Bess</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242,571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4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incorporated herein by reference.</w:t>
      </w:r>
    </w:p>
    <w:p>
      <w:pPr>
        <w:spacing w:after="0" w:line="180"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Fiscal Year</w:t>
            </w:r>
          </w:p>
        </w:tc>
        <w:tc>
          <w:tcPr>
            <w:tcW w:w="0" w:type="dxa"/>
            <w:vAlign w:val="bottom"/>
          </w:tcPr>
          <w:p>
            <w:pPr>
              <w:spacing w:after="0"/>
              <w:rPr>
                <w:sz w:val="1"/>
                <w:szCs w:val="1"/>
                <w:color w:val="auto"/>
              </w:rPr>
            </w:pPr>
          </w:p>
        </w:tc>
      </w:tr>
      <w:tr>
        <w:trPr>
          <w:trHeight w:val="180"/>
        </w:trPr>
        <w:tc>
          <w:tcPr>
            <w:tcW w:w="614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909,535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3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Lane Bess</w:t>
            </w: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67" w:lineRule="exact"/>
        <w:rPr>
          <w:sz w:val="20"/>
          <w:szCs w:val="20"/>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4" w:right="40" w:firstLine="44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20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Annual Awards. </w:t>
      </w:r>
      <w:r>
        <w:rPr>
          <w:rFonts w:ascii="Times New Roman" w:cs="Times New Roman" w:eastAsia="Times New Roman" w:hAnsi="Times New Roman"/>
          <w:sz w:val="18"/>
          <w:szCs w:val="18"/>
          <w:color w:val="auto"/>
        </w:rPr>
        <w:t>Under the Director Compensation Program, each non-employee director who is serving on the Board as of the date of each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w:t>
      </w:r>
    </w:p>
    <w:p>
      <w:pPr>
        <w:spacing w:after="0" w:line="18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None of our executive officers serves as a member of a compensation committee (or other committee performing equivalent functions) of any entity that has one or more executive officers serving on our compensation committee.</w:t>
      </w:r>
    </w:p>
    <w:p>
      <w:pPr>
        <w:sectPr>
          <w:pgSz w:w="11900" w:h="16838" w:orient="portrait"/>
          <w:cols w:equalWidth="0" w:num="1">
            <w:col w:w="11004"/>
          </w:cols>
          <w:pgMar w:left="436" w:top="121" w:right="459" w:bottom="1440" w:gutter="0" w:footer="0" w:header="0"/>
        </w:sectPr>
      </w:pP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121"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Certain Relationships and Related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Person Transactions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Certain relationships and related person transactions are described in the Proxy Statement/Prospectus in the section entitled “Certain BurTech Relationships and Related Person Transactions” beginning on page 274 thereof and are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as described in Item 1.01 above, on January 13, 2025, the Sponsor issued the Sponsor Note to BurTech in the principal amount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US$8,753,744.21,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set forth in the Sponsor Note. As consideration for entry into the Sponsor Note, BurTech issued 750,000 shares of Class A Stock to the Sponsor in accordance with the terms of the Sponsor Note.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the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risk management oversight is described in the Proxy Statement/Prospectus in the section entitled “Directors and Executive Officers After the Business Combination—Role of the New Blaize Board in Risk Oversight/Risk Committee” beginning on page 279 thereof and that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regarding legal proceedings in the section of the Proxy Statement/Prospectus titled “Information About Blaize— Legal Proceedings” beginning on page 221, which is incorporated herein by reference.</w:t>
      </w:r>
    </w:p>
    <w:p>
      <w:pPr>
        <w:spacing w:after="0" w:line="266" w:lineRule="exact"/>
        <w:rPr>
          <w:sz w:val="20"/>
          <w:szCs w:val="20"/>
          <w:color w:val="auto"/>
        </w:rPr>
      </w:pPr>
    </w:p>
    <w:p>
      <w:pPr>
        <w:ind w:right="31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Market Price of and Dividends on the Registrant’s Common Equity and Related Stockholder Matters </w:t>
      </w:r>
      <w:r>
        <w:rPr>
          <w:rFonts w:ascii="Times New Roman" w:cs="Times New Roman" w:eastAsia="Times New Roman" w:hAnsi="Times New Roman"/>
          <w:sz w:val="18"/>
          <w:szCs w:val="18"/>
          <w:b w:val="1"/>
          <w:bCs w:val="1"/>
          <w:i w:val="1"/>
          <w:iCs w:val="1"/>
          <w:color w:val="auto"/>
        </w:rPr>
        <w:t>Market Price and Dividend Information</w:t>
      </w:r>
    </w:p>
    <w:p>
      <w:pPr>
        <w:ind w:right="60"/>
        <w:spacing w:after="0" w:line="266" w:lineRule="auto"/>
        <w:rPr>
          <w:sz w:val="20"/>
          <w:szCs w:val="20"/>
          <w:color w:val="auto"/>
        </w:rPr>
      </w:pPr>
      <w:r>
        <w:rPr>
          <w:rFonts w:ascii="Times New Roman" w:cs="Times New Roman" w:eastAsia="Times New Roman" w:hAnsi="Times New Roman"/>
          <w:sz w:val="18"/>
          <w:szCs w:val="18"/>
          <w:color w:val="auto"/>
        </w:rPr>
        <w:t>The market price of and dividends on BurTech’s common equity, warrants and units and related stockholder matters is described in the Proxy Statement/Prospectus in the Section entitled “Ticker Symbol, Market Price and Dividend Policy” beginning on page 302 thereof and that information is incorporated herein by reference.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Common Stock and Warrants commenced trading on Nasdaq under the symbols “BZAI” and “BZAIW,” respectively, on January 14, 2025, subject to ongoing review of the Company’s satisfaction of all listing criteria following the Business Combination, in lieu of the Class A Stock and warrants of BurTech. BurTech’s units ceased trading separately on OTC Markets Group, Inc. (“OTC”) on January 13,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the Closing and following the completion of the Transactions, including the redemption of Initial Shares, the NRA Financing and the Private Placements, each as described above, the Company had 101,588,967 shares of Common Stock issued and outstanding held of record by 307 holders, no shares of preferred stock outstanding and 29,648,250 warrants outstanding held of record by 2 holders. Such amounts do not include DTC participants or beneficial owners holding shares through nominee names.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93"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Securities Authorized for Issuance Under Equity Compensation Plans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Reference is made to the disclosure described in the Proxy Statement/Prospectus in the section entitled “Proposal No. 5—The Incentive Award Plan Proposal” beginning on page 196 thereof, which is incorporated herein by reference. As described below, the Blaize Holdings, Inc. 2025 Incentive Award Plan (the “2025 Plan”) and the material terms thereunder, including the authorization of the initial share reserve thereunder, were approved by BurTech’s stockholders at the Special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set forth under Item 3.02 of this Report relating to the issuance of (i) PIPE Shares pursuant to the PIPE Investment and (ii) Sponsor Note Shares pursuant to the Sponsor Note, each of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to be Registered</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Company’s securities are described in the Proxy Statement/Prospectus in the section entitled “Description of BurTech’s Securities—New Blaize Common Stock Following the Business Combination” beginning on page 285 thereof and that information is incorporated herein by reference. As described below, the Company’s Third Amended and Restated Certificate of Incorporation was approved by BurTech’s stockholders at the Special Meeting and became effective as of the Closing.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indemnification of our directors and officers is described in the Proxy Statement/Prospectus in the section entitled “Directors and Executive Officers After the Business Combination—Limitation on Liability and Indemnification of Directors and Officers” beginning on page 284 thereof and that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set forth under Item 4.01 of this Report relating to the change in the Company’s certifying accountant, which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the Closing, the Company consummated (i) the PIPE Investment and (ii) the Sponsor Note Issuance. The disclosure under Item 2.01 of this Report relating to each of (i) the PIPE Investment and (ii) the Sponsor Note Issuance is incorporated into this Item 3.02 by reference.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issued the foregoing securities under Section 4(a)(2) of the Securities Act of 1933, as amended (the “Securities Act”), and/or Rule 506 of Regulation D promulgated under the Securities Act, as transactions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to this Report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Certified Accountant.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13, 2025, the Audit Committee approved the engagement of UHY LLP (“UHY”) as the Company’s independent registered public accounting firm to audit the Company’s financial statements, effective following Marcum LLP, BurTech’s independent registered public accounting firm prior to the Business Combination, audit of BurTech’s financials statements for the year ended December 31, 2024. UHY served as the independent registered public accounting firm of Legacy Blaize prior to the Business Combination. Accordingly, Marcum LLP was informed that it would be replaced by UHY as the Company’s independent registered public accounting firm.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93" w:right="439" w:bottom="1440" w:gutter="0" w:footer="0" w:header="0"/>
        </w:sectPr>
      </w:pPr>
    </w:p>
    <w:bookmarkStart w:id="20" w:name="page21"/>
    <w:bookmarkEnd w:id="20"/>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Marcum LLP’s report on the Company’s financial statements as of December 31, 2023 and for the period from March 2, 2021 (inception) through December 31, 2023 did not contain any adverse opinion or disclaimer of opinion, nor were they qualified or modified as to uncertainty, audit scope or accounting principles.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period from March 2, 2021 (inception) through December 31, 2023 and the subsequent period through September 30, 2024, there were no:</w:t>
      </w:r>
    </w:p>
    <w:p>
      <w:pPr>
        <w:spacing w:after="0" w:line="27" w:lineRule="exact"/>
        <w:rPr>
          <w:sz w:val="20"/>
          <w:szCs w:val="20"/>
          <w:color w:val="auto"/>
        </w:rPr>
      </w:pPr>
    </w:p>
    <w:p>
      <w:pPr>
        <w:ind w:left="4" w:right="80" w:hanging="4"/>
        <w:spacing w:after="0" w:line="255"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Marcum LLP on any matter of accounting principles or practices, financial statement disclosures or audited scope or procedures, which disagreements if not resolved to Marcum LLP’s satisfaction would have caused Marcum LLP to make reference to the subject matter of the disagreement in connection with its report or (ii) reportable events as defined in Item 304(a)(1)(v) of Regulation S-K.</w:t>
      </w:r>
    </w:p>
    <w:p>
      <w:pPr>
        <w:spacing w:after="0" w:line="186"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During the year period from March 2, 2021 (inception) to December 31, 2023 and the interim period through September 30, 2024, the Company did not consult UHY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UHY that UHY concluded was an important factor considered by the Company in reaching a decision as to the accounting, auditing or financial reporting issue; or (ii) any matter that was either the subject of a disagreement, as that term is described in Item 304(a)(1)(iv) of Regulation S-K under the Securities Exchange Act of 1934, as amended (the “Exchange Act”), and the related instructions to Item 304 of Regulation S-K under the Exchange Act, or a reportable event, as that term is defined in Item 304(a)(1)(v) of Regulation S-K under the Exchange Act.</w:t>
      </w:r>
    </w:p>
    <w:p>
      <w:pPr>
        <w:spacing w:after="0" w:line="18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Company has provided Marcum LLP with a copy of the disclosures made by the Company in response to this Item 4.01 and has requested that Marcum LLP furnish the Company with a letter addressed to the SEC stating whether it agrees with the statements made by the registrant in response to this Item 304(a) and, if not, stating the respects in which it does not agree. A letter from Marcum LLP is attached as Exhibit 16.1 to this Report.</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the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above under Item 1.01 and Item 2.01 of this Report is incorporated herein by reference.</w:t>
      </w:r>
    </w:p>
    <w:p>
      <w:pPr>
        <w:sectPr>
          <w:pgSz w:w="11900" w:h="16838" w:orient="portrait"/>
          <w:cols w:equalWidth="0" w:num="1">
            <w:col w:w="11004"/>
          </w:cols>
          <w:pgMar w:left="436" w:top="297" w:right="459" w:bottom="1440" w:gutter="0" w:footer="0" w:header="0"/>
        </w:sectPr>
      </w:pP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ectPr>
          <w:pgSz w:w="11900" w:h="16838" w:orient="portrait"/>
          <w:cols w:equalWidth="0" w:num="2">
            <w:col w:w="764" w:space="440"/>
            <w:col w:w="9800"/>
          </w:cols>
          <w:pgMar w:left="436" w:top="297" w:right="459" w:bottom="1440" w:gutter="0" w:footer="0" w:header="0"/>
          <w:type w:val="continuous"/>
        </w:sectPr>
      </w:pPr>
    </w:p>
    <w:p>
      <w:pPr>
        <w:ind w:left="4" w:right="720"/>
        <w:spacing w:after="0" w:line="315" w:lineRule="auto"/>
        <w:rPr>
          <w:sz w:val="20"/>
          <w:szCs w:val="20"/>
          <w:color w:val="auto"/>
        </w:rPr>
      </w:pPr>
      <w:r>
        <w:rPr>
          <w:rFonts w:ascii="Times New Roman" w:cs="Times New Roman" w:eastAsia="Times New Roman" w:hAnsi="Times New Roman"/>
          <w:sz w:val="17"/>
          <w:szCs w:val="17"/>
          <w:color w:val="auto"/>
        </w:rPr>
        <w:t>The information set forth above in the sections titled “</w:t>
      </w:r>
      <w:r>
        <w:rPr>
          <w:rFonts w:ascii="Times New Roman" w:cs="Times New Roman" w:eastAsia="Times New Roman" w:hAnsi="Times New Roman"/>
          <w:sz w:val="17"/>
          <w:szCs w:val="17"/>
          <w:i w:val="1"/>
          <w:iCs w:val="1"/>
          <w:color w:val="auto"/>
        </w:rPr>
        <w:t>Directors and Officers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Certain Relationships and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Transactions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Indemnification of Directors and Executive Officers</w:t>
      </w:r>
      <w:r>
        <w:rPr>
          <w:rFonts w:ascii="Times New Roman" w:cs="Times New Roman" w:eastAsia="Times New Roman" w:hAnsi="Times New Roman"/>
          <w:sz w:val="17"/>
          <w:szCs w:val="17"/>
          <w:color w:val="auto"/>
        </w:rPr>
        <w:t>” in Item 2.01 to this Report is incorporated herein by reference.</w:t>
      </w:r>
    </w:p>
    <w:p>
      <w:pPr>
        <w:spacing w:after="0" w:line="137"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As previously disclosed, at the Special Meeting, the stockholders of BurTech considered and approved the 2025 Plan which became effective immediately upon the Closing. A description of the 2025 Plan is included in the Proxy Statement/Prospectus in the section entitled “Proposal No. 5— The Equity Incentive Plan Proposal” beginning on page 196 thereof, which is incorporated herein by reference.</w:t>
      </w:r>
    </w:p>
    <w:p>
      <w:pPr>
        <w:spacing w:after="0" w:line="17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2025 Plan is qualified in its entirety by the full text of the 2025 Plan and the related forms of award agreements under the 2025 Plan, which are attached hereto as Exhibits 10.7, 10.8 and 10.9, respectively,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both"/>
        <w:ind w:left="4" w:right="360"/>
        <w:spacing w:after="0" w:line="312" w:lineRule="auto"/>
        <w:rPr>
          <w:sz w:val="20"/>
          <w:szCs w:val="20"/>
          <w:color w:val="auto"/>
        </w:rPr>
      </w:pPr>
      <w:r>
        <w:rPr>
          <w:rFonts w:ascii="Times New Roman" w:cs="Times New Roman" w:eastAsia="Times New Roman" w:hAnsi="Times New Roman"/>
          <w:sz w:val="17"/>
          <w:szCs w:val="17"/>
          <w:color w:val="auto"/>
        </w:rPr>
        <w:t>On January 13, 2025, in connection with the consummation of the Transactions, the Company amended and restated its certificate of incorporation, effective as of the Closing (the “A&amp;R Charter”), and amended and restated its bylaws (as amended, the “A&amp;R Bylaws”) effective as of the Closing.</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97" w:right="459" w:bottom="1440" w:gutter="0" w:footer="0" w:header="0"/>
          <w:type w:val="continuous"/>
        </w:sectPr>
      </w:pPr>
    </w:p>
    <w:bookmarkStart w:id="21" w:name="page22"/>
    <w:bookmarkEnd w:id="21"/>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Copies of the A&amp;R Charter and the A&amp;R Bylaws are attached as Exhibit 3.1 and Exhibit 3.2 to this Report, respectively, and are incorporated herein by reference.</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material terms of each of the A&amp;R Charter and the A&amp;R Bylaws and the general effect upon the rights of holders of the Company’s capital stock are included in the Proxy Statement/Prospectus under the sections titled “Proposal No. 2—The Organizational Documents Proposal,” “Proposal No. 3— The Advisory Organizational Documents Proposal,” “Description of BurTech’s Securities,” and “Comparison of Corporate Governance and Stockholders’ Rights” beginning on pages 190, 191, 285 and 298 of the Proxy Statement/Prospectus, respectively, which are incorporated herein by reference.</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5.05.</w:t>
      </w:r>
      <w:r>
        <w:rPr>
          <w:sz w:val="20"/>
          <w:szCs w:val="20"/>
          <w:color w:val="auto"/>
        </w:rPr>
        <w:tab/>
      </w:r>
      <w:r>
        <w:rPr>
          <w:rFonts w:ascii="Times New Roman" w:cs="Times New Roman" w:eastAsia="Times New Roman" w:hAnsi="Times New Roman"/>
          <w:sz w:val="18"/>
          <w:szCs w:val="18"/>
          <w:b w:val="1"/>
          <w:bCs w:val="1"/>
          <w:color w:val="auto"/>
        </w:rPr>
        <w:t>Amendments to the Registrant’s Code of Ethics, or Waiver of a Provision of the Code of Ethics.</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on January 13, 2025, the Board approved and adopted a new Code of Business Ethics and Conduct applicable to all employees, officers and directors of the Company. A copy of the Code of Business Ethics and Conduct can be found at https://ir.blaize.com/ under the link “Governance.” The above description of the Code of Business Ethics and Conduct does not purport to be complete and is qualified in its entirety by reference to the full text of the Code of Business Ethics and Conduct, a copy of which is filed as Exhibit 14.1 hereto and incorporated herein by reference.</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5.06.</w:t>
      </w:r>
      <w:r>
        <w:rPr>
          <w:sz w:val="20"/>
          <w:szCs w:val="20"/>
          <w:color w:val="auto"/>
        </w:rPr>
        <w:tab/>
      </w:r>
      <w:r>
        <w:rPr>
          <w:rFonts w:ascii="Times New Roman" w:cs="Times New Roman" w:eastAsia="Times New Roman" w:hAnsi="Times New Roman"/>
          <w:sz w:val="18"/>
          <w:szCs w:val="18"/>
          <w:b w:val="1"/>
          <w:bCs w:val="1"/>
          <w:color w:val="auto"/>
        </w:rPr>
        <w:t>Change in Shell Company Status.</w:t>
      </w:r>
    </w:p>
    <w:p>
      <w:pPr>
        <w:spacing w:after="0" w:line="121" w:lineRule="exact"/>
        <w:rPr>
          <w:sz w:val="20"/>
          <w:szCs w:val="20"/>
          <w:color w:val="auto"/>
        </w:rPr>
      </w:pPr>
    </w:p>
    <w:p>
      <w:pPr>
        <w:ind w:left="4" w:right="760"/>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the Company ceased to be a shell company. Reference is made to the disclosure in the Proxy Statement/Prospectus in the sections entitled “Proposal No. 1—The Business Combination Proposal” beginning on page 137 thereof, which is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a press release announcing the completion of the Business Combination, a copy of which is furnished as Exhibit 99.3 hereto.</w:t>
      </w:r>
    </w:p>
    <w:p>
      <w:pPr>
        <w:spacing w:after="0" w:line="16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On January 14, 2025, the Company issued a press release announcing a new partnership with VSBLTY Groupe Technologies Corp., a leading software provider of AI-driven security and retail analytics technology, a copy of which is furnished as Exhibit 99.4 hereto.</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8.01 (including Exhibit 99.3)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 and Exhibits.</w:t>
      </w:r>
    </w:p>
    <w:p>
      <w:pPr>
        <w:spacing w:after="0" w:line="135" w:lineRule="exact"/>
        <w:rPr>
          <w:sz w:val="20"/>
          <w:szCs w:val="20"/>
          <w:color w:val="auto"/>
        </w:rPr>
      </w:pPr>
    </w:p>
    <w:p>
      <w:pPr>
        <w:ind w:left="544" w:hanging="544"/>
        <w:spacing w:after="0"/>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of Businesses Acquired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40"/>
        <w:spacing w:after="0" w:line="312" w:lineRule="auto"/>
        <w:rPr>
          <w:sz w:val="20"/>
          <w:szCs w:val="20"/>
          <w:color w:val="auto"/>
        </w:rPr>
      </w:pPr>
      <w:r>
        <w:rPr>
          <w:rFonts w:ascii="Times New Roman" w:cs="Times New Roman" w:eastAsia="Times New Roman" w:hAnsi="Times New Roman"/>
          <w:sz w:val="17"/>
          <w:szCs w:val="17"/>
          <w:color w:val="auto"/>
        </w:rPr>
        <w:t>The audited consolidated financial statements of Legacy Blaize as of and for the years ended December 31, 2023 and 2022 and the related notes are included in the Proxy Statement/Prospectus beginning on page F-2 of the Proxy Statement/Prospectus, which is incorporated herein by reference.</w:t>
      </w:r>
    </w:p>
    <w:p>
      <w:pPr>
        <w:spacing w:after="0" w:line="140"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Legacy Blaize as of and for the three and nine months ended September 30, 2024 and 2023 are set forth in Exhibit 99.1 hereto and are incorporated herein by reference.</w:t>
      </w:r>
    </w:p>
    <w:p>
      <w:pPr>
        <w:spacing w:after="0" w:line="189" w:lineRule="exact"/>
        <w:rPr>
          <w:sz w:val="20"/>
          <w:szCs w:val="20"/>
          <w:color w:val="auto"/>
        </w:rPr>
      </w:pPr>
    </w:p>
    <w:p>
      <w:pPr>
        <w:ind w:left="544" w:hanging="544"/>
        <w:spacing w:after="0"/>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as of September 30, 2024 and for the nine months ended September 30, 2024 and for the year ended December 31, 2023 is filed as Exhibit 99.2 and incorporated herein by reference.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97" w:right="479" w:bottom="1440" w:gutter="0" w:footer="0" w:header="0"/>
        </w:sectPr>
      </w:pPr>
    </w:p>
    <w:bookmarkStart w:id="22" w:name="page23"/>
    <w:bookmarkEnd w:id="22"/>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unaudited pro forma condensed combined financial information of the Company for the nine months ended September 30, 2024 are set forth in Exhibit 99.2 hereto and are incorporated herein by reference.</w:t>
      </w:r>
    </w:p>
    <w:p>
      <w:pPr>
        <w:sectPr>
          <w:pgSz w:w="11900" w:h="16838" w:orient="portrait"/>
          <w:cols w:equalWidth="0" w:num="1">
            <w:col w:w="11004"/>
          </w:cols>
          <w:pgMar w:left="436" w:top="297" w:right="459" w:bottom="1440" w:gutter="0" w:footer="0" w:header="0"/>
        </w:sectPr>
      </w:pPr>
    </w:p>
    <w:p>
      <w:pPr>
        <w:spacing w:after="0" w:line="189"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39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80" w:type="dxa"/>
            <w:vAlign w:val="bottom"/>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0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190"/>
        </w:trPr>
        <w:tc>
          <w:tcPr>
            <w:tcW w:w="2480" w:type="dxa"/>
            <w:vAlign w:val="bottom"/>
          </w:tcPr>
          <w:p>
            <w:pPr>
              <w:jc w:val="center"/>
              <w:ind w:right="190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ind w:left="824" w:right="280" w:hanging="824"/>
        <w:spacing w:after="0" w:line="312" w:lineRule="auto"/>
        <w:tabs>
          <w:tab w:leader="none" w:pos="91" w:val="left"/>
        </w:tabs>
        <w:numPr>
          <w:ilvl w:val="0"/>
          <w:numId w:val="2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hyperlink r:id="rId40">
        <w:r>
          <w:rPr>
            <w:rFonts w:ascii="Times New Roman" w:cs="Times New Roman" w:eastAsia="Times New Roman" w:hAnsi="Times New Roman"/>
            <w:sz w:val="17"/>
            <w:szCs w:val="17"/>
            <w:u w:val="single" w:color="auto"/>
            <w:color w:val="0000EE"/>
          </w:rPr>
          <w:t>Agreement and Plan of Merger, dated as of December 22, 2023, by and among BurTech Acquisition Corp.,</w:t>
        </w:r>
      </w:hyperlink>
      <w:r>
        <w:rPr>
          <w:rFonts w:ascii="Times New Roman" w:cs="Times New Roman" w:eastAsia="Times New Roman" w:hAnsi="Times New Roman"/>
          <w:sz w:val="17"/>
          <w:szCs w:val="17"/>
          <w:u w:val="single" w:color="auto"/>
          <w:color w:val="0000EE"/>
        </w:rPr>
        <w:t xml:space="preserve"> </w:t>
      </w:r>
      <w:hyperlink r:id="rId40">
        <w:r>
          <w:rPr>
            <w:rFonts w:ascii="Times New Roman" w:cs="Times New Roman" w:eastAsia="Times New Roman" w:hAnsi="Times New Roman"/>
            <w:sz w:val="17"/>
            <w:szCs w:val="17"/>
            <w:u w:val="single" w:color="auto"/>
            <w:color w:val="0000EE"/>
          </w:rPr>
          <w:t>BurTech Merger Sub, Inc. Blaize, Inc. and for the limited purposes set forth therein, Burkhan Capital LLC.</w:t>
        </w:r>
      </w:hyperlink>
    </w:p>
    <w:p>
      <w:pPr>
        <w:spacing w:after="0" w:line="31" w:lineRule="exact"/>
        <w:rPr>
          <w:rFonts w:ascii="Times New Roman" w:cs="Times New Roman" w:eastAsia="Times New Roman" w:hAnsi="Times New Roman"/>
          <w:sz w:val="17"/>
          <w:szCs w:val="17"/>
          <w:u w:val="single" w:color="auto"/>
          <w:color w:val="0000EE"/>
        </w:rPr>
      </w:pPr>
    </w:p>
    <w:p>
      <w:pPr>
        <w:ind w:left="824" w:hanging="824"/>
        <w:spacing w:after="0" w:line="266" w:lineRule="auto"/>
        <w:tabs>
          <w:tab w:leader="none" w:pos="91" w:val="left"/>
        </w:tabs>
        <w:numPr>
          <w:ilvl w:val="0"/>
          <w:numId w:val="2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hyperlink r:id="rId41">
        <w:r>
          <w:rPr>
            <w:rFonts w:ascii="Times New Roman" w:cs="Times New Roman" w:eastAsia="Times New Roman" w:hAnsi="Times New Roman"/>
            <w:sz w:val="18"/>
            <w:szCs w:val="18"/>
            <w:u w:val="single" w:color="auto"/>
            <w:color w:val="0000EE"/>
          </w:rPr>
          <w:t>Amendment to Agreement and Plan of Merger, dated as of April 22, 2024, by and among BurTech Acquisition</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Corp., BurTech Merger Sub, Inc. Blaize, Inc. and for the limited purposes set forth therein, Burkhan Capital</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LLC.</w:t>
        </w:r>
      </w:hyperlink>
    </w:p>
    <w:p>
      <w:pPr>
        <w:spacing w:after="0" w:line="67" w:lineRule="exact"/>
        <w:rPr>
          <w:rFonts w:ascii="Times New Roman" w:cs="Times New Roman" w:eastAsia="Times New Roman" w:hAnsi="Times New Roman"/>
          <w:sz w:val="18"/>
          <w:szCs w:val="18"/>
          <w:u w:val="single" w:color="auto"/>
          <w:color w:val="0000EE"/>
        </w:rPr>
      </w:pPr>
    </w:p>
    <w:p>
      <w:pPr>
        <w:ind w:left="824" w:right="240" w:hanging="824"/>
        <w:spacing w:after="0" w:line="266" w:lineRule="auto"/>
        <w:tabs>
          <w:tab w:leader="none" w:pos="91" w:val="left"/>
        </w:tabs>
        <w:numPr>
          <w:ilvl w:val="0"/>
          <w:numId w:val="2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hyperlink r:id="rId42">
        <w:r>
          <w:rPr>
            <w:rFonts w:ascii="Times New Roman" w:cs="Times New Roman" w:eastAsia="Times New Roman" w:hAnsi="Times New Roman"/>
            <w:sz w:val="18"/>
            <w:szCs w:val="18"/>
            <w:u w:val="single" w:color="auto"/>
            <w:color w:val="0000EE"/>
          </w:rPr>
          <w:t>Amendment No. 2 to Agreement and Plan of Merger, dated as of October 24, 2024, by and among BurTech</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Acquisition Corp., BurTech Merger Sub, Inc. Blaize, Inc. and for the limited purposes set forth therein,</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Burkhan Capital LLC.</w:t>
        </w:r>
      </w:hyperlink>
    </w:p>
    <w:p>
      <w:pPr>
        <w:spacing w:after="0" w:line="67" w:lineRule="exact"/>
        <w:rPr>
          <w:rFonts w:ascii="Times New Roman" w:cs="Times New Roman" w:eastAsia="Times New Roman" w:hAnsi="Times New Roman"/>
          <w:sz w:val="18"/>
          <w:szCs w:val="18"/>
          <w:u w:val="single" w:color="auto"/>
          <w:color w:val="0000EE"/>
        </w:rPr>
      </w:pPr>
    </w:p>
    <w:p>
      <w:pPr>
        <w:ind w:left="824" w:right="60" w:hanging="824"/>
        <w:spacing w:after="0" w:line="266" w:lineRule="auto"/>
        <w:tabs>
          <w:tab w:leader="none" w:pos="91" w:val="left"/>
        </w:tabs>
        <w:numPr>
          <w:ilvl w:val="0"/>
          <w:numId w:val="2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w:t>
      </w:r>
      <w:hyperlink r:id="rId43">
        <w:r>
          <w:rPr>
            <w:rFonts w:ascii="Times New Roman" w:cs="Times New Roman" w:eastAsia="Times New Roman" w:hAnsi="Times New Roman"/>
            <w:sz w:val="18"/>
            <w:szCs w:val="18"/>
            <w:u w:val="single" w:color="auto"/>
            <w:color w:val="0000EE"/>
          </w:rPr>
          <w:t>Amendment No. 3 to Agreement and Plan of Merger, dated as of November 21, 2024, by and among BurTech</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Acquisition Corp., BurTech Merger Sub, Inc. Blaize, Inc. and for the limited purposes set forth therein,</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Burkhan Capital LLC.</w:t>
        </w:r>
      </w:hyperlink>
    </w:p>
    <w:p>
      <w:pPr>
        <w:spacing w:after="0" w:line="67"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Third Amended and Restated Certificate of Incorporation of Blaize Holdings, Inc.</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7"/>
          <w:szCs w:val="17"/>
          <w:u w:val="single" w:color="auto"/>
          <w:color w:val="0000EE"/>
        </w:rPr>
        <w:t>Amended and Restated Bylaws of Blaize Holdings, Inc.</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4.1</w:t>
      </w:r>
      <w:hyperlink r:id="rId44">
        <w:r>
          <w:rPr>
            <w:rFonts w:ascii="Times New Roman" w:cs="Times New Roman" w:eastAsia="Times New Roman" w:hAnsi="Times New Roman"/>
            <w:sz w:val="17"/>
            <w:szCs w:val="17"/>
            <w:u w:val="single" w:color="auto"/>
            <w:color w:val="0000EE"/>
          </w:rPr>
          <w:t>Specimen Common Stock Certificate.</w:t>
        </w:r>
      </w:hyperlink>
    </w:p>
    <w:p>
      <w:pPr>
        <w:spacing w:after="0" w:line="128" w:lineRule="exact"/>
        <w:rPr>
          <w:rFonts w:ascii="Times New Roman" w:cs="Times New Roman" w:eastAsia="Times New Roman" w:hAnsi="Times New Roman"/>
          <w:sz w:val="17"/>
          <w:szCs w:val="17"/>
          <w:u w:val="single" w:color="auto"/>
          <w:color w:val="0000EE"/>
        </w:rPr>
      </w:pPr>
    </w:p>
    <w:p>
      <w:pPr>
        <w:ind w:left="84" w:hanging="84"/>
        <w:spacing w:after="0"/>
        <w:tabs>
          <w:tab w:leader="none" w:pos="84" w:val="left"/>
        </w:tabs>
        <w:numPr>
          <w:ilvl w:val="0"/>
          <w:numId w:val="2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4.2</w:t>
      </w:r>
      <w:hyperlink r:id="rId45">
        <w:r>
          <w:rPr>
            <w:rFonts w:ascii="Times New Roman" w:cs="Times New Roman" w:eastAsia="Times New Roman" w:hAnsi="Times New Roman"/>
            <w:sz w:val="17"/>
            <w:szCs w:val="17"/>
            <w:u w:val="single" w:color="auto"/>
            <w:color w:val="0000EE"/>
          </w:rPr>
          <w:t>Specimen Warrant Certificate.</w:t>
        </w:r>
      </w:hyperlink>
    </w:p>
    <w:p>
      <w:pPr>
        <w:spacing w:after="0" w:line="128" w:lineRule="exact"/>
        <w:rPr>
          <w:rFonts w:ascii="Times New Roman" w:cs="Times New Roman" w:eastAsia="Times New Roman" w:hAnsi="Times New Roman"/>
          <w:sz w:val="17"/>
          <w:szCs w:val="17"/>
          <w:u w:val="single" w:color="auto"/>
          <w:color w:val="0000EE"/>
        </w:rPr>
      </w:pPr>
    </w:p>
    <w:p>
      <w:pPr>
        <w:ind w:left="824" w:right="360" w:hanging="824"/>
        <w:spacing w:after="0" w:line="282" w:lineRule="auto"/>
        <w:tabs>
          <w:tab w:leader="none" w:pos="91" w:val="left"/>
        </w:tabs>
        <w:numPr>
          <w:ilvl w:val="0"/>
          <w:numId w:val="2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46">
        <w:r>
          <w:rPr>
            <w:rFonts w:ascii="Times New Roman" w:cs="Times New Roman" w:eastAsia="Times New Roman" w:hAnsi="Times New Roman"/>
            <w:sz w:val="18"/>
            <w:szCs w:val="18"/>
            <w:u w:val="single" w:color="auto"/>
            <w:color w:val="0000EE"/>
          </w:rPr>
          <w:t>Warrant Agreement, dated as of December 10, 2021, by and between the Company and Continental Stock</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Transfer &amp; Trust Company, as warrant agent.</w:t>
        </w:r>
      </w:hyperlink>
    </w:p>
    <w:p>
      <w:pPr>
        <w:spacing w:after="0" w:line="54" w:lineRule="exact"/>
        <w:rPr>
          <w:rFonts w:ascii="Times New Roman" w:cs="Times New Roman" w:eastAsia="Times New Roman" w:hAnsi="Times New Roman"/>
          <w:sz w:val="18"/>
          <w:szCs w:val="18"/>
          <w:color w:val="auto"/>
        </w:rPr>
      </w:pPr>
    </w:p>
    <w:p>
      <w:pPr>
        <w:ind w:left="824" w:right="240" w:hanging="822"/>
        <w:spacing w:after="0" w:line="266" w:lineRule="auto"/>
        <w:tabs>
          <w:tab w:leader="none" w:pos="80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Amended and Restated Registration Rights Agreement, dated as of January 13, 2025, by and among the Company, certain stockholders of BurTech named therein and certain stockholders of Legacy Blaize named therein.</w:t>
      </w:r>
    </w:p>
    <w:p>
      <w:pPr>
        <w:spacing w:after="0" w:line="68" w:lineRule="exact"/>
        <w:rPr>
          <w:rFonts w:ascii="Times New Roman" w:cs="Times New Roman" w:eastAsia="Times New Roman" w:hAnsi="Times New Roman"/>
          <w:sz w:val="18"/>
          <w:szCs w:val="18"/>
          <w:color w:val="auto"/>
        </w:rPr>
      </w:pPr>
    </w:p>
    <w:p>
      <w:pPr>
        <w:ind w:left="824" w:right="520" w:hanging="822"/>
        <w:spacing w:after="0" w:line="282" w:lineRule="auto"/>
        <w:tabs>
          <w:tab w:leader="none" w:pos="8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47">
        <w:r>
          <w:rPr>
            <w:rFonts w:ascii="Times New Roman" w:cs="Times New Roman" w:eastAsia="Times New Roman" w:hAnsi="Times New Roman"/>
            <w:sz w:val="18"/>
            <w:szCs w:val="18"/>
            <w:u w:val="single" w:color="auto"/>
            <w:color w:val="0000EE"/>
          </w:rPr>
          <w:t>Letter Agreement, dated as of December 10, 2021, by and among BurTech, its officers and its directors,</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Sponsor and certain other stockholders party thereto.</w:t>
        </w:r>
      </w:hyperlink>
    </w:p>
    <w:p>
      <w:pPr>
        <w:spacing w:after="0" w:line="54"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Form of Indemnification Agreement.</w:t>
      </w:r>
    </w:p>
    <w:p>
      <w:pPr>
        <w:spacing w:after="0" w:line="117"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Blaize, Inc. Amended and Restated 2011 Stock Plan.</w:t>
      </w:r>
    </w:p>
    <w:p>
      <w:pPr>
        <w:spacing w:after="0" w:line="117"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0000EE"/>
        </w:rPr>
        <w:t>Blaize Holdings, Inc. 2025 Incentive Award Plan.</w:t>
      </w:r>
    </w:p>
    <w:p>
      <w:pPr>
        <w:spacing w:after="0" w:line="117"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0000EE"/>
        </w:rPr>
        <w:t>Blaize Holdings, Inc. 2025 Employee Stock Purchase Plan.</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left="160" w:right="140"/>
        <w:spacing w:after="0" w:line="244" w:lineRule="auto"/>
        <w:rPr>
          <w:sz w:val="20"/>
          <w:szCs w:val="20"/>
          <w:color w:val="auto"/>
        </w:rPr>
      </w:pPr>
      <w:r>
        <w:rPr>
          <w:rFonts w:ascii="Times New Roman" w:cs="Times New Roman" w:eastAsia="Times New Roman" w:hAnsi="Times New Roman"/>
          <w:sz w:val="14"/>
          <w:szCs w:val="14"/>
          <w:b w:val="1"/>
          <w:bCs w:val="1"/>
          <w:color w:val="auto"/>
        </w:rPr>
        <w:t>Incorporated by Reference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12515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40"/>
        <w:spacing w:after="0"/>
        <w:tabs>
          <w:tab w:leader="none" w:pos="640" w:val="left"/>
          <w:tab w:leader="none" w:pos="148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9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7/19/24</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7/19/24</w:t>
            </w:r>
          </w:p>
        </w:tc>
      </w:tr>
      <w:tr>
        <w:trPr>
          <w:trHeight w:val="7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10/30/24</w:t>
            </w:r>
          </w:p>
        </w:tc>
      </w:tr>
      <w:tr>
        <w:trPr>
          <w:trHeight w:val="7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11/26/24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S-1/A 4.2 11/19/21 S-1/A 4.3 11/19/21</w:t>
      </w:r>
    </w:p>
    <w:p>
      <w:pPr>
        <w:spacing w:after="0" w:line="1" w:lineRule="exact"/>
        <w:rPr>
          <w:sz w:val="20"/>
          <w:szCs w:val="20"/>
          <w:color w:val="auto"/>
        </w:rPr>
      </w:pPr>
    </w:p>
    <w:p>
      <w:pPr>
        <w:ind w:left="80"/>
        <w:spacing w:after="0"/>
        <w:tabs>
          <w:tab w:leader="none" w:pos="740" w:val="left"/>
          <w:tab w:leader="none" w:pos="13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12/16/21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tabs>
          <w:tab w:leader="none" w:pos="700" w:val="left"/>
          <w:tab w:leader="none" w:pos="13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12/16/21</w:t>
      </w:r>
    </w:p>
    <w:p>
      <w:pPr>
        <w:sectPr>
          <w:pgSz w:w="11900" w:h="16838" w:orient="portrait"/>
          <w:cols w:equalWidth="0" w:num="2">
            <w:col w:w="8804" w:space="240"/>
            <w:col w:w="1960"/>
          </w:cols>
          <w:pgMar w:left="436" w:top="297" w:right="459" w:bottom="1440" w:gutter="0" w:footer="0" w:header="0"/>
          <w:type w:val="continuous"/>
        </w:sectPr>
      </w:pPr>
    </w:p>
    <w:bookmarkStart w:id="23" w:name="page24"/>
    <w:bookmarkEnd w:id="23"/>
    <w:tbl>
      <w:tblPr>
        <w:tblLayout w:type="fixed"/>
        <w:tblInd w:w="4" w:type="dxa"/>
        <w:tblCellMar>
          <w:top w:w="0" w:type="dxa"/>
          <w:left w:w="0" w:type="dxa"/>
          <w:bottom w:w="0" w:type="dxa"/>
          <w:right w:w="0" w:type="dxa"/>
        </w:tblCellMar>
      </w:tblPr>
      <w:tr>
        <w:trPr>
          <w:trHeight w:val="173"/>
        </w:trPr>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00" w:type="dxa"/>
            <w:vAlign w:val="bottom"/>
            <w:gridSpan w:val="18"/>
            <w:vMerge w:val="restart"/>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60" w:type="dxa"/>
            <w:vAlign w:val="bottom"/>
            <w:gridSpan w:val="3"/>
          </w:tcPr>
          <w:p>
            <w:pPr>
              <w:jc w:val="center"/>
              <w:ind w:left="58"/>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3900" w:type="dxa"/>
            <w:vAlign w:val="bottom"/>
            <w:gridSpan w:val="18"/>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81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Form of Stock Option Grant Agreement (Installment Exercise) and Grant Notice under the Blaize, Inc. Amended</w:t>
            </w:r>
          </w:p>
        </w:tc>
        <w:tc>
          <w:tcPr>
            <w:tcW w:w="2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and Restated 2011 Stock Plan.</w:t>
            </w:r>
          </w:p>
        </w:tc>
        <w:tc>
          <w:tcPr>
            <w:tcW w:w="6220" w:type="dxa"/>
            <w:vAlign w:val="bottom"/>
            <w:gridSpan w:val="28"/>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80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Grant Agreement and Grant Notice under the Blaize, Inc. Amended and Restated</w:t>
            </w:r>
          </w:p>
        </w:tc>
        <w:tc>
          <w:tcPr>
            <w:tcW w:w="34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2011 Stock Plan.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2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Non-Redemption Agreement</w:t>
              </w:r>
            </w:hyperlink>
          </w:p>
        </w:tc>
        <w:tc>
          <w:tcPr>
            <w:tcW w:w="5680" w:type="dxa"/>
            <w:vAlign w:val="bottom"/>
            <w:gridSpan w:val="25"/>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12/31/24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PIPE Subscription Agreement</w:t>
              </w:r>
            </w:hyperlink>
          </w:p>
        </w:tc>
        <w:tc>
          <w:tcPr>
            <w:tcW w:w="5600" w:type="dxa"/>
            <w:vAlign w:val="bottom"/>
            <w:gridSpan w:val="2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4"/>
                <w:szCs w:val="24"/>
                <w:color w:val="auto"/>
              </w:rPr>
            </w:pPr>
          </w:p>
        </w:tc>
        <w:tc>
          <w:tcPr>
            <w:tcW w:w="83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January 13, 2025, by and among the Company and certain stockholders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of Legacy Blaize named therein.</w:t>
            </w:r>
          </w:p>
        </w:tc>
        <w:tc>
          <w:tcPr>
            <w:tcW w:w="6060" w:type="dxa"/>
            <w:vAlign w:val="bottom"/>
            <w:gridSpan w:val="26"/>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Stockholder Lock-Up Agreement, dated as of January 13, 2025, by and among the Company and certain</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stockholders of Legacy Blaize named therein.</w:t>
            </w:r>
          </w:p>
        </w:tc>
        <w:tc>
          <w:tcPr>
            <w:tcW w:w="90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Noteholder Lock-Up Agreement, dated as of January 13, 2025, by and among the Company and certain</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securityholders of Legacy Blaize named therein.</w:t>
            </w:r>
          </w:p>
        </w:tc>
        <w:tc>
          <w:tcPr>
            <w:tcW w:w="3960" w:type="dxa"/>
            <w:vAlign w:val="bottom"/>
            <w:tcBorders>
              <w:top w:val="single" w:sz="8" w:color="0000EE"/>
            </w:tcBorders>
            <w:gridSpan w:val="11"/>
          </w:tcPr>
          <w:p>
            <w:pPr>
              <w:spacing w:after="0"/>
              <w:rPr>
                <w:sz w:val="17"/>
                <w:szCs w:val="17"/>
                <w:color w:val="auto"/>
              </w:rPr>
            </w:pPr>
          </w:p>
        </w:tc>
        <w:tc>
          <w:tcPr>
            <w:tcW w:w="96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10.14*</w:t>
            </w:r>
          </w:p>
        </w:tc>
        <w:tc>
          <w:tcPr>
            <w:tcW w:w="220" w:type="dxa"/>
            <w:vAlign w:val="bottom"/>
          </w:tcPr>
          <w:p>
            <w:pPr>
              <w:spacing w:after="0"/>
              <w:rPr>
                <w:sz w:val="24"/>
                <w:szCs w:val="24"/>
                <w:color w:val="auto"/>
              </w:rPr>
            </w:pPr>
          </w:p>
        </w:tc>
        <w:tc>
          <w:tcPr>
            <w:tcW w:w="808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Secured Promissory Note and Pledge Agreement, dated as of January 13, 2025, by and among BurTech LP LLC</w:t>
            </w:r>
          </w:p>
        </w:tc>
        <w:tc>
          <w:tcPr>
            <w:tcW w:w="3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and BurTech.</w:t>
            </w:r>
          </w:p>
        </w:tc>
        <w:tc>
          <w:tcPr>
            <w:tcW w:w="7440" w:type="dxa"/>
            <w:vAlign w:val="bottom"/>
            <w:gridSpan w:val="3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10.15*</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Letter Agreement, dated as of January 13, 2025, by and among BurTech, Merger Sub, Blaize and Burkhan</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4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BurTech LP LLC and Blaize.</w:t>
            </w:r>
          </w:p>
        </w:tc>
        <w:tc>
          <w:tcPr>
            <w:tcW w:w="76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24"/>
                <w:szCs w:val="24"/>
                <w:color w:val="auto"/>
              </w:rPr>
            </w:pPr>
          </w:p>
        </w:tc>
        <w:tc>
          <w:tcPr>
            <w:tcW w:w="66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Offer Letter, dated as of June 18, 2018, by and between ThinCI, Inc. and Dinakar Munagala.</w:t>
            </w:r>
          </w:p>
        </w:tc>
        <w:tc>
          <w:tcPr>
            <w:tcW w:w="174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Offer Letter, dated as of June 20, 2018, by and between ThinCI, Inc. and Val Cook.</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24"/>
                <w:szCs w:val="24"/>
                <w:color w:val="auto"/>
              </w:rPr>
            </w:pPr>
          </w:p>
        </w:tc>
        <w:tc>
          <w:tcPr>
            <w:tcW w:w="73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Offer Letter, dated as of November 15, 2018, by and between ThinCI, Inc. and Dmitry Zakharchenko.</w:t>
            </w:r>
          </w:p>
        </w:tc>
        <w:tc>
          <w:tcPr>
            <w:tcW w:w="106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Amendment to Offer Letter, dated as of February 22, 2022, by and between ThinCI, Inc. and Dmitry</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Zakharchenko.</w:t>
            </w:r>
          </w:p>
        </w:tc>
        <w:tc>
          <w:tcPr>
            <w:tcW w:w="118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Offer Letter, dated as of July 4, 2018, by and between ThinCI, Inc. and Santiago Fernandez-Gomez</w:t>
            </w:r>
            <w:r>
              <w:rPr>
                <w:rFonts w:ascii="Times New Roman" w:cs="Times New Roman" w:eastAsia="Times New Roman" w:hAnsi="Times New Roman"/>
                <w:sz w:val="18"/>
                <w:szCs w:val="18"/>
                <w:color w:val="000000"/>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24"/>
                <w:szCs w:val="24"/>
                <w:color w:val="auto"/>
              </w:rPr>
            </w:pPr>
          </w:p>
        </w:tc>
        <w:tc>
          <w:tcPr>
            <w:tcW w:w="71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Blaize Holdings, Inc. Non-Employee Director Compensation Program.</w:t>
            </w:r>
          </w:p>
        </w:tc>
        <w:tc>
          <w:tcPr>
            <w:tcW w:w="126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Form of Stock Option Grant Agreement (Contingent Exercise) and Grant Notice under the Blaize, Inc. Amended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and Restated 2011 Stock Plan.</w:t>
            </w:r>
          </w:p>
        </w:tc>
        <w:tc>
          <w:tcPr>
            <w:tcW w:w="5940" w:type="dxa"/>
            <w:vAlign w:val="bottom"/>
            <w:tcBorders>
              <w:top w:val="single" w:sz="8" w:color="0000EE"/>
            </w:tcBorders>
            <w:gridSpan w:val="25"/>
          </w:tcPr>
          <w:p>
            <w:pPr>
              <w:spacing w:after="0"/>
              <w:rPr>
                <w:sz w:val="17"/>
                <w:szCs w:val="17"/>
                <w:color w:val="auto"/>
              </w:rPr>
            </w:pPr>
          </w:p>
        </w:tc>
        <w:tc>
          <w:tcPr>
            <w:tcW w:w="2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Code of Business Ethics and Conduct of Blaize Holdings, Inc.</w:t>
            </w:r>
          </w:p>
        </w:tc>
        <w:tc>
          <w:tcPr>
            <w:tcW w:w="3920" w:type="dxa"/>
            <w:vAlign w:val="bottom"/>
            <w:gridSpan w:val="19"/>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4"/>
                <w:szCs w:val="24"/>
                <w:color w:val="auto"/>
              </w:rPr>
            </w:pPr>
          </w:p>
        </w:tc>
        <w:tc>
          <w:tcPr>
            <w:tcW w:w="49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Letter from CBIZ, Inc. to the Securities and Exchange Commission.</w:t>
            </w:r>
          </w:p>
        </w:tc>
        <w:tc>
          <w:tcPr>
            <w:tcW w:w="350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Subsidiaries of the Company.</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2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 of Legacy Blaize for the three and nine months ended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2024 and 2023.</w:t>
            </w:r>
          </w:p>
        </w:tc>
        <w:tc>
          <w:tcPr>
            <w:tcW w:w="5680" w:type="dxa"/>
            <w:vAlign w:val="bottom"/>
            <w:tcBorders>
              <w:top w:val="single" w:sz="8" w:color="0000EE"/>
            </w:tcBorders>
            <w:gridSpan w:val="21"/>
          </w:tcPr>
          <w:p>
            <w:pPr>
              <w:spacing w:after="0"/>
              <w:rPr>
                <w:sz w:val="17"/>
                <w:szCs w:val="17"/>
                <w:color w:val="auto"/>
              </w:rPr>
            </w:pPr>
          </w:p>
        </w:tc>
        <w:tc>
          <w:tcPr>
            <w:tcW w:w="52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4"/>
                <w:szCs w:val="24"/>
                <w:color w:val="auto"/>
              </w:rPr>
            </w:pPr>
          </w:p>
        </w:tc>
        <w:tc>
          <w:tcPr>
            <w:tcW w:w="77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of the Company for the nine months ended</w:t>
            </w:r>
          </w:p>
        </w:tc>
        <w:tc>
          <w:tcPr>
            <w:tcW w:w="64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660" w:type="dxa"/>
            <w:vAlign w:val="bottom"/>
            <w:gridSpan w:val="2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24"/>
                <w:szCs w:val="24"/>
                <w:color w:val="auto"/>
              </w:rPr>
            </w:pPr>
          </w:p>
        </w:tc>
        <w:tc>
          <w:tcPr>
            <w:tcW w:w="2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Press Release dated January 13, 2025.</w:t>
            </w:r>
          </w:p>
        </w:tc>
        <w:tc>
          <w:tcPr>
            <w:tcW w:w="5660" w:type="dxa"/>
            <w:vAlign w:val="bottom"/>
            <w:gridSpan w:val="24"/>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24"/>
                <w:szCs w:val="24"/>
                <w:color w:val="auto"/>
              </w:rPr>
            </w:pPr>
          </w:p>
        </w:tc>
        <w:tc>
          <w:tcPr>
            <w:tcW w:w="2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Press Release dated January 14, 2025.</w:t>
            </w:r>
          </w:p>
        </w:tc>
        <w:tc>
          <w:tcPr>
            <w:tcW w:w="5660" w:type="dxa"/>
            <w:vAlign w:val="bottom"/>
            <w:gridSpan w:val="24"/>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84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224" w:right="200" w:hanging="224"/>
        <w:spacing w:after="0" w:line="282" w:lineRule="auto"/>
        <w:tabs>
          <w:tab w:leader="none" w:pos="2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90" w:right="4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17, 2025</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65"/>
        </w:trPr>
        <w:tc>
          <w:tcPr>
            <w:tcW w:w="3540" w:type="dxa"/>
            <w:vAlign w:val="bottom"/>
          </w:tcPr>
          <w:p>
            <w:pPr>
              <w:spacing w:after="0"/>
              <w:rPr>
                <w:sz w:val="24"/>
                <w:szCs w:val="24"/>
                <w:color w:val="auto"/>
              </w:rPr>
            </w:pPr>
          </w:p>
        </w:tc>
        <w:tc>
          <w:tcPr>
            <w:tcW w:w="26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13, 2025</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54" w:lineRule="exact"/>
        <w:rPr>
          <w:sz w:val="20"/>
          <w:szCs w:val="20"/>
          <w:color w:val="auto"/>
        </w:rPr>
      </w:pPr>
    </w:p>
    <w:p>
      <w:pPr>
        <w:ind w:right="20" w:firstLine="436"/>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incorporated under the name “BurTech Acquisition Corp.” by the filing of its original Certificate of Incorporation with the Secretary of State of the State of Delaware on March 2, 2021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40" w:firstLine="436"/>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and Restated Certificate of Incorporation, which amended and restated the Original Certificate in its entirety, was filed with the Secretary of State of the State of Delaware on May 19, 2021 (the “</w:t>
      </w:r>
      <w:r>
        <w:rPr>
          <w:rFonts w:ascii="Times New Roman" w:cs="Times New Roman" w:eastAsia="Times New Roman" w:hAnsi="Times New Roman"/>
          <w:sz w:val="18"/>
          <w:szCs w:val="18"/>
          <w:u w:val="single" w:color="auto"/>
          <w:color w:val="auto"/>
        </w:rPr>
        <w:t>First Amended and Restated Certificate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80" w:firstLine="436"/>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Amended and Restated Certificate of Incorporation, which amended and restated the First Amended and Restated Certificate in its entirety, was filed with the Secretary of State of the State of Delaware on December 13, 2021 (the “</w:t>
      </w:r>
      <w:r>
        <w:rPr>
          <w:rFonts w:ascii="Times New Roman" w:cs="Times New Roman" w:eastAsia="Times New Roman" w:hAnsi="Times New Roman"/>
          <w:sz w:val="18"/>
          <w:szCs w:val="18"/>
          <w:u w:val="single" w:color="auto"/>
          <w:color w:val="auto"/>
        </w:rPr>
        <w:t>Existing Certificate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360" w:firstLine="436"/>
        <w:spacing w:after="0" w:line="266"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Amended and Restated Certificate of Incorporation (this “</w:t>
      </w:r>
      <w:r>
        <w:rPr>
          <w:rFonts w:ascii="Times New Roman" w:cs="Times New Roman" w:eastAsia="Times New Roman" w:hAnsi="Times New Roman"/>
          <w:sz w:val="18"/>
          <w:szCs w:val="18"/>
          <w:u w:val="single" w:color="auto"/>
          <w:color w:val="auto"/>
        </w:rPr>
        <w:t>Third Amended and Restated Certificate</w:t>
      </w:r>
      <w:r>
        <w:rPr>
          <w:rFonts w:ascii="Times New Roman" w:cs="Times New Roman" w:eastAsia="Times New Roman" w:hAnsi="Times New Roman"/>
          <w:sz w:val="18"/>
          <w:szCs w:val="18"/>
          <w:color w:val="auto"/>
        </w:rPr>
        <w:t>”), which both amends and restates the provisions of the Existing Certificate, was duly adopted in accordance with Sections 242 and 245 of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140" w:firstLine="436"/>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Existing Certificate is hereby amended and restated by this Third Amended and Restated Certificate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Amended and Restated Certificate shall become effective upon its filing with Secretary of State of Delaware.</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Third Amended and Restated Certificate has been executed by a duly authorized officer of the Corporation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Certificate of Incorporation]</w:t>
      </w:r>
    </w:p>
    <w:p>
      <w:pPr>
        <w:sectPr>
          <w:pgSz w:w="11900" w:h="16838" w:orient="portrait"/>
          <w:cols w:equalWidth="0" w:num="1">
            <w:col w:w="11020"/>
          </w:cols>
          <w:pgMar w:left="440" w:top="117" w:right="4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Blaize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REGISTERED OFFICE AND AGENT</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Delaware 19808, and the name of its registered agent at such address is Corporation Service Company.</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w:t>
      </w:r>
      <w:r>
        <w:rPr>
          <w:rFonts w:ascii="Times New Roman" w:cs="Times New Roman" w:eastAsia="Times New Roman" w:hAnsi="Times New Roman"/>
          <w:sz w:val="18"/>
          <w:szCs w:val="18"/>
          <w:color w:val="auto"/>
        </w:rPr>
        <w:t>k.” The total number of shares of capital stock which the Corporation shall have authority to issue is 620,000,000. The total number of shares of Common Stock that the Corporation is authorized to issue is 600,000,000, having a par value of $0.0001 per share, and the total number of shares of Preferred Stock that the Corporation is authorized to issue is 20,000,000, having a par value of $0.0001 per share. Upon the filing of this Third Amended and Restated Certificate, each outstanding share of Class A common stock and Class B common stock shall be redesignated as Common Stock.</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of Directors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ectPr>
          <w:pgSz w:w="11900" w:h="16838" w:orient="portrait"/>
          <w:cols w:equalWidth="0" w:num="1">
            <w:col w:w="10960"/>
          </w:cols>
          <w:pgMar w:left="440" w:top="266" w:right="499" w:bottom="1440" w:gutter="0" w:footer="0" w:header="0"/>
        </w:sectPr>
      </w:pPr>
    </w:p>
    <w:bookmarkStart w:id="27" w:name="page28"/>
    <w:bookmarkEnd w:id="27"/>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designations and the powers, privileges and rights, and the qualifications, limitations or restrictions thereof in respect of each class of capital stock of the Corporation are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right="120" w:firstLine="987"/>
        <w:spacing w:after="0" w:line="282" w:lineRule="auto"/>
        <w:tabs>
          <w:tab w:leader="none" w:pos="11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and outstanding from time to time.</w:t>
      </w:r>
    </w:p>
    <w:p>
      <w:pPr>
        <w:spacing w:after="0" w:line="53"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w:t>
      </w:r>
    </w:p>
    <w:p>
      <w:pPr>
        <w:spacing w:after="0" w:line="81" w:lineRule="exact"/>
        <w:rPr>
          <w:rFonts w:ascii="Times New Roman" w:cs="Times New Roman" w:eastAsia="Times New Roman" w:hAnsi="Times New Roman"/>
          <w:sz w:val="18"/>
          <w:szCs w:val="18"/>
          <w:color w:val="auto"/>
        </w:rPr>
      </w:pPr>
    </w:p>
    <w:p>
      <w:pPr>
        <w:ind w:left="1420" w:right="180" w:hanging="439"/>
        <w:spacing w:after="0" w:line="261"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(including any Certificate of Designation) or otherwise required by law or a stockholder agreement, the holders of the shares of Common Stock shall exclusively possess all voting power with respect to the Corporation, and at any annual or special meeting of the stockholders of the Corporation, holders of the Common Stock shall have the exclusive right to vote for the election of directors and on all other matters properly submitted to a vote of the stockholders.</w:t>
      </w:r>
    </w:p>
    <w:p>
      <w:pPr>
        <w:spacing w:after="0" w:line="85" w:lineRule="exact"/>
        <w:rPr>
          <w:rFonts w:ascii="Times New Roman" w:cs="Times New Roman" w:eastAsia="Times New Roman" w:hAnsi="Times New Roman"/>
          <w:sz w:val="18"/>
          <w:szCs w:val="18"/>
          <w:color w:val="auto"/>
        </w:rPr>
      </w:pPr>
    </w:p>
    <w:p>
      <w:pPr>
        <w:ind w:left="1420" w:hanging="439"/>
        <w:spacing w:after="0" w:line="256"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Common Stock, as such, shall not be entitled to vote on any amendment to this Third Amended and Restated Certificate of Incorporation (this “</w:t>
      </w:r>
      <w:r>
        <w:rPr>
          <w:rFonts w:ascii="Times New Roman" w:cs="Times New Roman" w:eastAsia="Times New Roman" w:hAnsi="Times New Roman"/>
          <w:sz w:val="18"/>
          <w:szCs w:val="18"/>
          <w:u w:val="single" w:color="auto"/>
          <w:color w:val="auto"/>
        </w:rPr>
        <w:t>Third Amended and Restated Certificate</w:t>
      </w:r>
      <w:r>
        <w:rPr>
          <w:rFonts w:ascii="Times New Roman" w:cs="Times New Roman" w:eastAsia="Times New Roman" w:hAnsi="Times New Roman"/>
          <w:sz w:val="18"/>
          <w:szCs w:val="18"/>
          <w:color w:val="auto"/>
        </w:rPr>
        <w:t>”)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Third Amended and Restated Certificate (including any Certificate of Designation) or pursuant to the DGCL.</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68" w:lineRule="exact"/>
        <w:rPr>
          <w:sz w:val="20"/>
          <w:szCs w:val="20"/>
          <w:color w:val="auto"/>
        </w:rPr>
      </w:pPr>
    </w:p>
    <w:p>
      <w:pPr>
        <w:ind w:right="340" w:firstLine="987"/>
        <w:spacing w:after="0" w:line="266" w:lineRule="auto"/>
        <w:tabs>
          <w:tab w:leader="none" w:pos="11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shall be entitled to the payment of dividends on the Common Stock when, as and if declared by the Board of Directors in accordance with applicable law.</w:t>
      </w:r>
    </w:p>
    <w:p>
      <w:pPr>
        <w:sectPr>
          <w:pgSz w:w="11900" w:h="16838" w:orient="portrait"/>
          <w:cols w:equalWidth="0" w:num="1">
            <w:col w:w="11020"/>
          </w:cols>
          <w:pgMar w:left="440" w:top="270" w:right="439" w:bottom="1440" w:gutter="0" w:footer="0" w:header="0"/>
        </w:sectPr>
      </w:pPr>
    </w:p>
    <w:bookmarkStart w:id="28" w:name="page29"/>
    <w:bookmarkEnd w:id="28"/>
    <w:p>
      <w:pPr>
        <w:ind w:right="60" w:firstLine="987"/>
        <w:spacing w:after="0" w:line="261" w:lineRule="auto"/>
        <w:tabs>
          <w:tab w:leader="none" w:pos="11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71"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11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arm’s length transactions in a commercially reasonable manner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fullest extent permitted by law and this Third Amended and Restated Certificate (including any Certificate of Designation). Except as otherwise required by law, holders of any series of Preferred Stock shall be entitled only to such voting rights, if any, as shall expressly be granted thereto by this Third Amended and Restated Certificate (including any Certificate of Designation).</w:t>
      </w:r>
    </w:p>
    <w:p>
      <w:pPr>
        <w:spacing w:after="0" w:line="19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number of authorized shares of Preferred Stock may be decreased (but not below the number of shares thereof then outstanding) by the affirmative vote of the holders of a majority of the stock of the Corporation entitled to vote, irrespective of the provisions of Section 242(b)(2) of the DGCL.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 Except as otherwise expressly provided by the DGCL or this Third Amended and Restated Certificate, the business and affairs of the Corporation shall be managed by or under the direction of the Board of Directors. The number of directors that shall constitute the whole Board of Directors shall be fixed exclusively by one or more resolutions adopted from time to time by the Board of Directors. Beginning with the Corporation’s first annual meeting of stockholders, the directors, including any of those elected by the holders of any series of Preferred Stock, shall be elected to hold office for a term expiring at the next annual meeting of the stockholders of the Corporation and until his or her successor shall be elected and qualified, or until his or her earlier death, resignation, retirement, disqualification or removal from office. Directors shall be elected by a plurality of the votes cast by the stockholders present in person or represented by proxy at the meeting and entitled to vote thereon.</w:t>
      </w:r>
    </w:p>
    <w:p>
      <w:pPr>
        <w:sectPr>
          <w:pgSz w:w="11900" w:h="16838" w:orient="portrait"/>
          <w:cols w:equalWidth="0" w:num="1">
            <w:col w:w="10980"/>
          </w:cols>
          <w:pgMar w:left="440" w:top="270" w:right="479" w:bottom="1440" w:gutter="0" w:footer="0" w:header="0"/>
        </w:sectPr>
      </w:pPr>
    </w:p>
    <w:bookmarkStart w:id="29" w:name="page30"/>
    <w:bookmarkEnd w:id="29"/>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Board of Directors or any individual director may be removed from office at any time, but only for cause and only by the affirmative vote of the holders of at least two thirds (66 and 2/3%) of the voting power of all of the then outstanding shares of voting stock of the Corporation entitled to vote at an election of directors.</w:t>
      </w:r>
    </w:p>
    <w:p>
      <w:pPr>
        <w:spacing w:after="0" w:line="6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Third Amended and Restated Certificate (including any Certificate of Designation). Notwithstanding anything to the contrary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number of directors that may be elected by the holders of any such series of Preferred Stock shall be in addition to the number fixed pursuant to paragraph B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8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 In furtherance and not in limitation of the powers conferred by statute, the Board of Directors is expressly authorized to adopt, amend or repeal the Bylaws of the Corporation (as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addition to any vote of the holders of any class or series of stock of the Corporation required by applicable law or by this Third Amended and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(66 and 2/3%) of the voting power of all of the then outstanding shares of voting stock of the Corporation entitled to vote generally in an election of directors.</w:t>
      </w:r>
    </w:p>
    <w:p>
      <w:pPr>
        <w:sectPr>
          <w:pgSz w:w="11900" w:h="16838" w:orient="portrait"/>
          <w:cols w:equalWidth="0" w:num="1">
            <w:col w:w="10960"/>
          </w:cols>
          <w:pgMar w:left="440" w:top="270" w:right="49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directors of the Corporation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84"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the President, and shall not be called by any other person or persons.</w:t>
      </w:r>
    </w:p>
    <w:p>
      <w:pPr>
        <w:spacing w:after="0" w:line="6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the adoption of any provision of the Third Amended and Restated Certificate inconsistent with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not adversely affect any right or protection of a director or officer of the Corporation with respect to any act or omission occurring prior to such amendment, repeal, modification or adoption. If the DGCL is amended after approval by the stockholders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ectPr>
          <w:pgSz w:w="11900" w:h="16838" w:orient="portrait"/>
          <w:cols w:equalWidth="0" w:num="1">
            <w:col w:w="11000"/>
          </w:cols>
          <w:pgMar w:left="440" w:top="270" w:right="4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0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Third Amended and Restated Certificate (as either may be amended from time to time) or (iv) any action, suit or proceeding asserting a claim against the Corporation governed by the internal affairs doctrine; and (b) subject to the preceding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federal district courts of the United States of America shall be the exclusive forum for the resolution of any complaint asserting a cause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not apply to suits brought to enforce any liability or duty created by the Securities Exchange Act of 1934, as amended, or any other claim for which the federal courts of the United States have exclusive jurisdiction.</w:t>
      </w:r>
    </w:p>
    <w:p>
      <w:pPr>
        <w:sectPr>
          <w:pgSz w:w="11900" w:h="16838" w:orient="portrait"/>
          <w:cols w:equalWidth="0" w:num="1">
            <w:col w:w="10960"/>
          </w:cols>
          <w:pgMar w:left="440" w:top="266" w:right="499" w:bottom="1440" w:gutter="0" w:footer="0" w:header="0"/>
        </w:sectPr>
      </w:pPr>
    </w:p>
    <w:bookmarkStart w:id="32" w:name="page33"/>
    <w:bookmarkEnd w:id="3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provision or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Notwithstanding anything contained in this Third Amended and Restated Certificate to the contrary, in addition to any vote required by applicable law, the following provisions in this Third Amended and Restated Certificate may be amended, altered, repealed or rescinded, in whole or in part, or any provision inconsistent therewith or herewith may be adopted, only by the affirmative vote of the holders of at least two-thirds (66 and 2/3%) of the total voting power of all the then outstanding shares of stock of the Corporation entitled to vote thereon, voting together as a single class: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Third Amended and Restated Certificate shall be held to be invalid, illegal or unenforceable as applied to any circumstance for any reason whatsoever: (i) the validity, legality and enforceability of such provisions in any other circumstance and of the remaining provisions of this Third Amended and Restated Certificate (including, without limitation, each portion of any paragraph of this Third Amended and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Third Amended and Restated Certificate (including, without limitation, each such portion of any paragraph of this Third Amended and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0960"/>
          </w:cols>
          <w:pgMar w:left="440" w:top="270" w:right="4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0020"/>
          </w:cols>
          <w:pgMar w:left="1440" w:top="117"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4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7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Nominations for Election to the Board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Adjourned Meeting;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Proxies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Inspectors of Election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Regular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Meetings;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 Minutes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9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720" w:type="dxa"/>
            <w:vAlign w:val="bottom"/>
            <w:vMerge w:val="continue"/>
          </w:tcPr>
          <w:p>
            <w:pPr>
              <w:spacing w:after="0"/>
              <w:rPr>
                <w:sz w:val="16"/>
                <w:szCs w:val="16"/>
                <w:color w:val="auto"/>
              </w:rPr>
            </w:pPr>
          </w:p>
        </w:tc>
        <w:tc>
          <w:tcPr>
            <w:tcW w:w="99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Vacancies in Offices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Lost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Stock</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Stockholders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Notice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of 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Determination; Claim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99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3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Blaize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and affairs of the Corporation may require.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as permitted by the General Corporation Law of the State of Delaware (the “DGCL”). The Board may, in its sole discretion, determine that a meeting of stockholders may be held solely by means of remote communication as authorized by Section 211(a)(2) of the DGCL. In the absence of any such designation or determination, stockholders’ meetings shall be held at the Corporation’s principal executive office, whether within or outside of the State of Delaware.</w:t>
      </w:r>
    </w:p>
    <w:p>
      <w:pPr>
        <w:spacing w:after="0" w:line="8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shall designate the date and time of the annual meeting. At the annual meeting, the stockholders entitled to vote on such matters shall elect those directors of the Corporation to fill any term of a directorship that expires on the date of such annual meeting and may transact any other business as may properly be brought before the meeting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Board may postpone, reschedule or cancel any previously scheduled annual meeting of stockholders.</w:t>
      </w:r>
    </w:p>
    <w:p>
      <w:pPr>
        <w:spacing w:after="0" w:line="8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for any purpose or purposes may be called only by such persons and only in such manner as set forth in the Certificate of Incorporation.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ectPr>
          <w:pgSz w:w="11900" w:h="16838" w:orient="portrait"/>
          <w:cols w:equalWidth="0" w:num="1">
            <w:col w:w="10880"/>
          </w:cols>
          <w:pgMar w:left="440" w:top="266" w:right="579" w:bottom="1440" w:gutter="0" w:footer="0" w:header="0"/>
        </w:sectPr>
      </w:pPr>
    </w:p>
    <w:bookmarkStart w:id="37" w:name="page38"/>
    <w:bookmarkEnd w:id="37"/>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 annual meeting of the stockholders, only such business shall be conducted as shall have been properly brought before the meeting. To be properly brought before an annual meeting, business must be (i) specified in the Corporation’s notice of meeting (or any supplement thereto) given by or at the direction of the Board, (ii) if not specified in a notice of meeting, otherwise brought before the meeting by or at the direction of the Board or the Chairman of the Board or (iii) otherwise properly brought before the meeting by a stockholder present in person who (A) (1) was a record owner of shares of the Corporation both at the time of giving the notice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at the time of the meeting, (2) is entitled to vote at the meeting and (3) has complied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all applicable respects or (B) properly made such proposal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stockholders shall not be permitted to propose business to be brought before a special meeting of the stockholders.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annual meeting of the Corporation, or a qualified representative of such proposing stockholder, appear at such annual meeting. A “</w:t>
      </w:r>
      <w:r>
        <w:rPr>
          <w:rFonts w:ascii="Times New Roman" w:cs="Times New Roman" w:eastAsia="Times New Roman" w:hAnsi="Times New Roman"/>
          <w:sz w:val="18"/>
          <w:szCs w:val="18"/>
          <w:u w:val="single" w:color="auto"/>
          <w:color w:val="auto"/>
        </w:rPr>
        <w:t>qualified representative</w:t>
      </w:r>
      <w:r>
        <w:rPr>
          <w:rFonts w:ascii="Times New Roman" w:cs="Times New Roman" w:eastAsia="Times New Roman" w:hAnsi="Times New Roman"/>
          <w:sz w:val="18"/>
          <w:szCs w:val="18"/>
          <w:color w:val="auto"/>
        </w:rPr>
        <w:t xml:space="preser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applicable to nominations except as expressly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firstLine="436"/>
        <w:spacing w:after="0" w:line="22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annual meeting was held in the preceding year, to be timely, a stockholder’s notice must be so delivered, or mailed and received, not earlier than the close of business on the one hundred and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to be timely, a stockholder’s notice must be so delivered, or mailed and received, not more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for the giving of Timely Notice as described above.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8" w:name="page39"/>
    <w:bookmarkEnd w:id="38"/>
    <w:p>
      <w:pPr>
        <w:ind w:left="684" w:hanging="244"/>
        <w:spacing w:after="0"/>
        <w:tabs>
          <w:tab w:leader="none" w:pos="6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in proper form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stockholder’s notice to the Secretary of the Corporation shall set forth:</w:t>
      </w:r>
    </w:p>
    <w:p>
      <w:pPr>
        <w:spacing w:after="0" w:line="117" w:lineRule="exact"/>
        <w:rPr>
          <w:rFonts w:ascii="Times New Roman" w:cs="Times New Roman" w:eastAsia="Times New Roman" w:hAnsi="Times New Roman"/>
          <w:sz w:val="18"/>
          <w:szCs w:val="18"/>
          <w:color w:val="auto"/>
        </w:rPr>
      </w:pPr>
    </w:p>
    <w:p>
      <w:pPr>
        <w:ind w:left="4" w:firstLine="987"/>
        <w:spacing w:after="0" w:line="255" w:lineRule="auto"/>
        <w:tabs>
          <w:tab w:leader="none" w:pos="121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60"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7"/>
          <w:szCs w:val="17"/>
          <w:u w:val="single" w:color="auto"/>
          <w:color w:val="auto"/>
        </w:rPr>
        <w:t>Synthetic Equity Position</w:t>
      </w:r>
      <w:r>
        <w:rPr>
          <w:rFonts w:ascii="Times New Roman" w:cs="Times New Roman" w:eastAsia="Times New Roman" w:hAnsi="Times New Roman"/>
          <w:sz w:val="17"/>
          <w:szCs w:val="17"/>
          <w:color w:val="auto"/>
        </w:rPr>
        <w:t xml:space="preserve">”) and that is, directly or indirectly, held or maintained by such Proposing Person with respect to any shares of any class or series of shares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w:t>
      </w:r>
    </w:p>
    <w:p>
      <w:pPr>
        <w:spacing w:after="0" w:line="7" w:lineRule="exact"/>
        <w:rPr>
          <w:rFonts w:ascii="Times New Roman" w:cs="Times New Roman" w:eastAsia="Times New Roman" w:hAnsi="Times New Roman"/>
          <w:sz w:val="17"/>
          <w:szCs w:val="17"/>
          <w:color w:val="auto"/>
        </w:rPr>
      </w:pPr>
    </w:p>
    <w:p>
      <w:pPr>
        <w:ind w:left="4" w:right="20" w:hanging="4"/>
        <w:spacing w:after="0" w:line="251" w:lineRule="auto"/>
        <w:tabs>
          <w:tab w:leader="none" w:pos="2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that intends to deliver a proxy statement or form of proxy to holders of at least the percentage of the Corporation’s outstanding capital stock required to approve or adopt the proposal or otherwise solicit proxies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39" w:name="page40"/>
    <w:bookmarkEnd w:id="39"/>
    <w:p>
      <w:pPr>
        <w:ind w:right="40" w:firstLine="987"/>
        <w:spacing w:after="0" w:line="253" w:lineRule="auto"/>
        <w:tabs>
          <w:tab w:leader="none" w:pos="13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disclosures required by this </w:t>
      </w:r>
      <w:r>
        <w:rPr>
          <w:rFonts w:ascii="Times New Roman" w:cs="Times New Roman" w:eastAsia="Times New Roman" w:hAnsi="Times New Roman"/>
          <w:sz w:val="18"/>
          <w:szCs w:val="18"/>
          <w:u w:val="single" w:color="auto"/>
          <w:color w:val="auto"/>
        </w:rPr>
        <w:t>Section 2.4(c)(iii)</w:t>
      </w:r>
      <w:r>
        <w:rPr>
          <w:rFonts w:ascii="Times New Roman" w:cs="Times New Roman" w:eastAsia="Times New Roman" w:hAnsi="Times New Roman"/>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74" w:lineRule="exact"/>
        <w:rPr>
          <w:sz w:val="20"/>
          <w:szCs w:val="20"/>
          <w:color w:val="auto"/>
        </w:rPr>
      </w:pPr>
    </w:p>
    <w:p>
      <w:pPr>
        <w:ind w:firstLine="436"/>
        <w:spacing w:after="0" w:line="25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request that any Proposing Person furnish such additional information as may be reasonably required by the Board. Such Proposing Person shall provide such additional information within ten (10) days after it has been requested by the Board. 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89"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presiding officer of the meeting shall, if the facts warrant, determine that the business was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he or she should so determine, he or she shall so declare to the meeting and any such business not properly brought before the meeting shall not be transacted.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0" w:name="page41"/>
    <w:bookmarkEnd w:id="40"/>
    <w:p>
      <w:pPr>
        <w:ind w:left="4" w:firstLine="436"/>
        <w:spacing w:after="0" w:line="258" w:lineRule="auto"/>
        <w:tabs>
          <w:tab w:leader="none" w:pos="6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the rights of stockholders to request inclusion of proposals in the Corporation’s proxy statement pursuant to Rule 14a-8 under the Exchange Act.</w:t>
      </w:r>
    </w:p>
    <w:p>
      <w:pPr>
        <w:spacing w:after="0" w:line="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67"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Notice of Nominations for Election to the Board.</w:t>
      </w:r>
    </w:p>
    <w:p>
      <w:pPr>
        <w:spacing w:after="0" w:line="117" w:lineRule="exact"/>
        <w:rPr>
          <w:sz w:val="20"/>
          <w:szCs w:val="20"/>
          <w:color w:val="auto"/>
        </w:rPr>
      </w:pPr>
    </w:p>
    <w:p>
      <w:pPr>
        <w:ind w:left="4" w:firstLine="436"/>
        <w:spacing w:after="0" w:line="253" w:lineRule="auto"/>
        <w:tabs>
          <w:tab w:leader="none" w:pos="6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(A) who was a record owner of shares of the Corporation both at the time of giving the notice provided for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at the time of the meeting, (B) is entitled to vote at the meeting, and (C) has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to such notice and nomination.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meeting of the Corporation, or a qualified representative of such stockholder, appear at such meeting. A “</w:t>
      </w:r>
      <w:r>
        <w:rPr>
          <w:rFonts w:ascii="Times New Roman" w:cs="Times New Roman" w:eastAsia="Times New Roman" w:hAnsi="Times New Roman"/>
          <w:sz w:val="18"/>
          <w:szCs w:val="18"/>
          <w:u w:val="single" w:color="auto"/>
          <w:color w:val="auto"/>
        </w:rPr>
        <w:t>qualified representative</w:t>
      </w:r>
      <w:r>
        <w:rPr>
          <w:rFonts w:ascii="Times New Roman" w:cs="Times New Roman" w:eastAsia="Times New Roman" w:hAnsi="Times New Roman"/>
          <w:sz w:val="18"/>
          <w:szCs w:val="18"/>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81"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Without qualification, for a stockholder to make any nomination of a person or persons for election to the Board at an annual meeting, the stockholder must (1) provide Timely Notice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thereof in writing and in proper form to the Secretary of the Corporation,</w:t>
      </w:r>
    </w:p>
    <w:p>
      <w:pPr>
        <w:ind w:left="4" w:right="120" w:hanging="4"/>
        <w:spacing w:after="0" w:line="260"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the information, agreements and questionnaires with respect to such stockholder and its candidate for nomination as required to be set forth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(3)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4" w:firstLine="419"/>
        <w:spacing w:after="0" w:line="230" w:lineRule="auto"/>
        <w:tabs>
          <w:tab w:leader="none" w:pos="1132"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(iii)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disclosure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of the date of such special meeting was first made.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1" w:name="page42"/>
    <w:bookmarkEnd w:id="41"/>
    <w:p>
      <w:pPr>
        <w:ind w:left="4" w:right="140" w:firstLine="419"/>
        <w:spacing w:after="0" w:line="282" w:lineRule="auto"/>
        <w:tabs>
          <w:tab w:leader="none" w:pos="74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shall any adjournment or postponement of an annual meeting or special meeting or the announcement thereof commence a new time period for the giving of a stockholder’s notice as described above.</w:t>
      </w:r>
    </w:p>
    <w:p>
      <w:pPr>
        <w:spacing w:after="0" w:line="53"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7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 xml:space="preserve"> or (iii) the tenth day following the date of public disclosure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of such increase.</w:t>
      </w:r>
    </w:p>
    <w:p>
      <w:pPr>
        <w:spacing w:after="0" w:line="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stockholder’s notice to the Secretary of the Corporation shall set forth:</w:t>
      </w:r>
    </w:p>
    <w:p>
      <w:pPr>
        <w:spacing w:after="0" w:line="117" w:lineRule="exact"/>
        <w:rPr>
          <w:rFonts w:ascii="Times New Roman" w:cs="Times New Roman" w:eastAsia="Times New Roman" w:hAnsi="Times New Roman"/>
          <w:sz w:val="18"/>
          <w:szCs w:val="18"/>
          <w:color w:val="auto"/>
        </w:rPr>
      </w:pPr>
    </w:p>
    <w:p>
      <w:pPr>
        <w:ind w:left="4" w:right="20" w:firstLine="419"/>
        <w:spacing w:after="0" w:line="312" w:lineRule="auto"/>
        <w:tabs>
          <w:tab w:leader="none" w:pos="64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each Nominating Person (as defined below), the Stockholder Information (as defined in </w:t>
      </w:r>
      <w:r>
        <w:rPr>
          <w:rFonts w:ascii="Times New Roman" w:cs="Times New Roman" w:eastAsia="Times New Roman" w:hAnsi="Times New Roman"/>
          <w:sz w:val="17"/>
          <w:szCs w:val="17"/>
          <w:u w:val="single" w:color="auto"/>
          <w:color w:val="auto"/>
        </w:rPr>
        <w:t>Section 2.4(c)(i)</w:t>
      </w:r>
      <w:r>
        <w:rPr>
          <w:rFonts w:ascii="Times New Roman" w:cs="Times New Roman" w:eastAsia="Times New Roman" w:hAnsi="Times New Roman"/>
          <w:sz w:val="17"/>
          <w:szCs w:val="17"/>
          <w:color w:val="auto"/>
        </w:rPr>
        <w:t xml:space="preserve">, except that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Nominating Person</w:t>
      </w:r>
      <w:r>
        <w:rPr>
          <w:rFonts w:ascii="Times New Roman" w:cs="Times New Roman" w:eastAsia="Times New Roman" w:hAnsi="Times New Roman"/>
          <w:sz w:val="17"/>
          <w:szCs w:val="17"/>
          <w:color w:val="auto"/>
        </w:rPr>
        <w:t>” shall be substituted for the term “</w:t>
      </w:r>
      <w:r>
        <w:rPr>
          <w:rFonts w:ascii="Times New Roman" w:cs="Times New Roman" w:eastAsia="Times New Roman" w:hAnsi="Times New Roman"/>
          <w:sz w:val="17"/>
          <w:szCs w:val="17"/>
          <w:u w:val="single" w:color="auto"/>
          <w:color w:val="auto"/>
        </w:rPr>
        <w:t>Proposing Person</w:t>
      </w:r>
      <w:r>
        <w:rPr>
          <w:rFonts w:ascii="Times New Roman" w:cs="Times New Roman" w:eastAsia="Times New Roman" w:hAnsi="Times New Roman"/>
          <w:sz w:val="17"/>
          <w:szCs w:val="17"/>
          <w:color w:val="auto"/>
        </w:rPr>
        <w:t xml:space="preserve">” in all places it appears in </w:t>
      </w:r>
      <w:r>
        <w:rPr>
          <w:rFonts w:ascii="Times New Roman" w:cs="Times New Roman" w:eastAsia="Times New Roman" w:hAnsi="Times New Roman"/>
          <w:sz w:val="17"/>
          <w:szCs w:val="17"/>
          <w:u w:val="single" w:color="auto"/>
          <w:color w:val="auto"/>
        </w:rPr>
        <w:t>Section 2.4(c)(i)</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jc w:val="both"/>
        <w:ind w:left="4" w:right="20" w:firstLine="419"/>
        <w:spacing w:after="0" w:line="289" w:lineRule="auto"/>
        <w:tabs>
          <w:tab w:leader="none" w:pos="69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each Nominating Person, any Disclosable Interests (as defined in </w:t>
      </w:r>
      <w:r>
        <w:rPr>
          <w:rFonts w:ascii="Times New Roman" w:cs="Times New Roman" w:eastAsia="Times New Roman" w:hAnsi="Times New Roman"/>
          <w:sz w:val="17"/>
          <w:szCs w:val="17"/>
          <w:u w:val="single" w:color="auto"/>
          <w:color w:val="auto"/>
        </w:rPr>
        <w:t>Section 2.4(c)(ii)</w:t>
      </w:r>
      <w:r>
        <w:rPr>
          <w:rFonts w:ascii="Times New Roman" w:cs="Times New Roman" w:eastAsia="Times New Roman" w:hAnsi="Times New Roman"/>
          <w:sz w:val="17"/>
          <w:szCs w:val="17"/>
          <w:color w:val="auto"/>
        </w:rPr>
        <w:t xml:space="preserve">, except that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Nominating Person</w:t>
      </w:r>
      <w:r>
        <w:rPr>
          <w:rFonts w:ascii="Times New Roman" w:cs="Times New Roman" w:eastAsia="Times New Roman" w:hAnsi="Times New Roman"/>
          <w:sz w:val="17"/>
          <w:szCs w:val="17"/>
          <w:color w:val="auto"/>
        </w:rPr>
        <w:t>” shall be substituted for the term “</w:t>
      </w:r>
      <w:r>
        <w:rPr>
          <w:rFonts w:ascii="Times New Roman" w:cs="Times New Roman" w:eastAsia="Times New Roman" w:hAnsi="Times New Roman"/>
          <w:sz w:val="17"/>
          <w:szCs w:val="17"/>
          <w:u w:val="single" w:color="auto"/>
          <w:color w:val="auto"/>
        </w:rPr>
        <w:t>Proposing Person</w:t>
      </w:r>
      <w:r>
        <w:rPr>
          <w:rFonts w:ascii="Times New Roman" w:cs="Times New Roman" w:eastAsia="Times New Roman" w:hAnsi="Times New Roman"/>
          <w:sz w:val="17"/>
          <w:szCs w:val="17"/>
          <w:color w:val="auto"/>
        </w:rPr>
        <w:t xml:space="preserve">” in all places it appears in </w:t>
      </w:r>
      <w:r>
        <w:rPr>
          <w:rFonts w:ascii="Times New Roman" w:cs="Times New Roman" w:eastAsia="Times New Roman" w:hAnsi="Times New Roman"/>
          <w:sz w:val="17"/>
          <w:szCs w:val="17"/>
          <w:u w:val="single" w:color="auto"/>
          <w:color w:val="auto"/>
        </w:rPr>
        <w:t>Section 2.4(c)(ii)</w:t>
      </w:r>
      <w:r>
        <w:rPr>
          <w:rFonts w:ascii="Times New Roman" w:cs="Times New Roman" w:eastAsia="Times New Roman" w:hAnsi="Times New Roman"/>
          <w:sz w:val="17"/>
          <w:szCs w:val="17"/>
          <w:color w:val="auto"/>
        </w:rPr>
        <w:t xml:space="preserve"> and the disclosure with respect to the business to be brought before the meeting in </w:t>
      </w:r>
      <w:r>
        <w:rPr>
          <w:rFonts w:ascii="Times New Roman" w:cs="Times New Roman" w:eastAsia="Times New Roman" w:hAnsi="Times New Roman"/>
          <w:sz w:val="17"/>
          <w:szCs w:val="17"/>
          <w:u w:val="single" w:color="auto"/>
          <w:color w:val="auto"/>
        </w:rPr>
        <w:t>Section 2.4(c)(ii)</w:t>
      </w:r>
      <w:r>
        <w:rPr>
          <w:rFonts w:ascii="Times New Roman" w:cs="Times New Roman" w:eastAsia="Times New Roman" w:hAnsi="Times New Roman"/>
          <w:sz w:val="17"/>
          <w:szCs w:val="17"/>
          <w:color w:val="auto"/>
        </w:rPr>
        <w:t xml:space="preserve"> shall be made with respect to the election of directors at the meeting);</w:t>
      </w:r>
    </w:p>
    <w:p>
      <w:pPr>
        <w:spacing w:after="0" w:line="49" w:lineRule="exact"/>
        <w:rPr>
          <w:rFonts w:ascii="Times New Roman" w:cs="Times New Roman" w:eastAsia="Times New Roman" w:hAnsi="Times New Roman"/>
          <w:sz w:val="17"/>
          <w:szCs w:val="17"/>
          <w:color w:val="auto"/>
        </w:rPr>
      </w:pPr>
    </w:p>
    <w:p>
      <w:pPr>
        <w:jc w:val="both"/>
        <w:ind w:left="4" w:right="200" w:firstLine="419"/>
        <w:spacing w:after="0" w:line="272" w:lineRule="auto"/>
        <w:tabs>
          <w:tab w:leader="none" w:pos="74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Nominating Person, a representation that the Nominating Person will or is part of a group that will (A) solicit proxies from holders of the Corporation’s outstanding capital stock representing at least 67% of the voting power of shares of capital stock entitled to vote on the election of directors, (B) include a statement to that effect in its proxy statement and/or its form of proxy, (C) otherwise comply with Rule</w:t>
      </w:r>
    </w:p>
    <w:p>
      <w:pPr>
        <w:spacing w:after="0" w:line="1" w:lineRule="exact"/>
        <w:rPr>
          <w:rFonts w:ascii="Times New Roman" w:cs="Times New Roman" w:eastAsia="Times New Roman" w:hAnsi="Times New Roman"/>
          <w:sz w:val="17"/>
          <w:szCs w:val="17"/>
          <w:color w:val="auto"/>
        </w:rPr>
      </w:pPr>
    </w:p>
    <w:p>
      <w:pPr>
        <w:ind w:left="4"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14a-19 under the Exchange Act and (D) provide the Secretary of the Corporation not less than five business days prior to the applicable meeting, or any adjournment or postponement thereof, with reasonable documentary evidence that such Nominating Person complied with such representations; and</w:t>
      </w:r>
    </w:p>
    <w:p>
      <w:pPr>
        <w:spacing w:after="0" w:line="77" w:lineRule="exact"/>
        <w:rPr>
          <w:rFonts w:ascii="Times New Roman" w:cs="Times New Roman" w:eastAsia="Times New Roman" w:hAnsi="Times New Roman"/>
          <w:sz w:val="17"/>
          <w:szCs w:val="17"/>
          <w:color w:val="auto"/>
        </w:rPr>
      </w:pPr>
    </w:p>
    <w:p>
      <w:pPr>
        <w:ind w:left="4" w:firstLine="419"/>
        <w:spacing w:after="0" w:line="253" w:lineRule="auto"/>
        <w:tabs>
          <w:tab w:leader="none" w:pos="7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and accompanying proxy card relating to the Corporation’s next meeting of shareholders at which directors are to be elected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42" w:name="page43"/>
    <w:bookmarkEnd w:id="42"/>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68" w:lineRule="exact"/>
        <w:rPr>
          <w:sz w:val="20"/>
          <w:szCs w:val="20"/>
          <w:color w:val="auto"/>
        </w:rPr>
      </w:pPr>
    </w:p>
    <w:p>
      <w:pPr>
        <w:ind w:firstLine="436"/>
        <w:spacing w:after="0" w:line="25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request that any Nominating Person furnish such additional information as may be reasonably required by the Board. Such Nominating Person shall provide such additional information within ten (10) days after it has been requested by the Board. 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89"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then the Corporation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five (5) business days prior to the applicable meeting, reasonable evidence that it has met the requirements of Rule 14a-19(a)(3) promulgated under the Exchange Act.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3" w:name="page44"/>
    <w:bookmarkEnd w:id="43"/>
    <w:p>
      <w:pPr>
        <w:ind w:left="-20" w:firstLine="436"/>
        <w:spacing w:after="0" w:line="268" w:lineRule="auto"/>
        <w:tabs>
          <w:tab w:leader="none" w:pos="64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the candidate for nomination, whether nominated by the Board or by a stockholder of record, must have previously delivered (in accordance with the time period prescribed for delivery in a notice to such candidate given by or on behalf of the Board), to the Secretary of the Corporation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291" w:lineRule="exact"/>
        <w:rPr>
          <w:rFonts w:ascii="Times New Roman" w:cs="Times New Roman" w:eastAsia="Times New Roman" w:hAnsi="Times New Roman"/>
          <w:sz w:val="17"/>
          <w:szCs w:val="17"/>
          <w:color w:val="auto"/>
        </w:rPr>
      </w:pPr>
    </w:p>
    <w:p>
      <w:pPr>
        <w:ind w:left="-20" w:right="20" w:firstLine="436"/>
        <w:spacing w:after="0" w:line="261" w:lineRule="auto"/>
        <w:tabs>
          <w:tab w:leader="none" w:pos="6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w:t>
      </w:r>
    </w:p>
    <w:p>
      <w:pPr>
        <w:spacing w:after="0" w:line="71" w:lineRule="exact"/>
        <w:rPr>
          <w:rFonts w:ascii="Times New Roman" w:cs="Times New Roman" w:eastAsia="Times New Roman" w:hAnsi="Times New Roman"/>
          <w:sz w:val="18"/>
          <w:szCs w:val="18"/>
          <w:color w:val="auto"/>
        </w:rPr>
      </w:pPr>
    </w:p>
    <w:p>
      <w:pPr>
        <w:ind w:left="-20" w:right="100" w:firstLine="436"/>
        <w:spacing w:after="0" w:line="253" w:lineRule="auto"/>
        <w:tabs>
          <w:tab w:leader="none" w:pos="6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candidate for nomination as a director shall further update and supplement the materials delivered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if necessary, so that the information provided or required to be provided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44" w:name="page45"/>
    <w:bookmarkEnd w:id="44"/>
    <w:p>
      <w:pPr>
        <w:ind w:right="60" w:firstLine="436"/>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candidate shall be eligible for nomination as a director of the Corporation unless such candidate for nomination and the Nominating Person seeking to place such candidate’s name in nomination has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presiding officer at the meeting shall, if the facts warrant, determine that a nomination was not properly made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75" w:lineRule="exact"/>
        <w:rPr>
          <w:rFonts w:ascii="Times New Roman" w:cs="Times New Roman" w:eastAsia="Times New Roman" w:hAnsi="Times New Roman"/>
          <w:sz w:val="18"/>
          <w:szCs w:val="18"/>
          <w:color w:val="auto"/>
        </w:rPr>
      </w:pPr>
    </w:p>
    <w:p>
      <w:pPr>
        <w:ind w:right="660" w:firstLine="436"/>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candidate for nomination shall be eligible to be seated as a director of the Corporation unless nominated and elected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stockholder shall also comply with all of the applicable requirements of the Exchange Act and the rules and regulations thereunder with respect to the matters set forth herein.</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provided by law, the Certificate of Incorporation or these bylaws, the notice of any meeting of stockholders shall be sent or otherwise given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until a quorum is present or represented. At any recessed or adjourned meeting at which a quorum is present or represented, any business may be transacted that might have been transacted at the meeting as originally noticed.</w:t>
      </w:r>
    </w:p>
    <w:p>
      <w:pPr>
        <w:spacing w:after="0" w:line="9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5" w:name="page46"/>
    <w:bookmarkEnd w:id="45"/>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93"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w:t>
      </w:r>
    </w:p>
    <w:p>
      <w:pPr>
        <w:spacing w:after="0" w:line="5" w:lineRule="exact"/>
        <w:rPr>
          <w:sz w:val="20"/>
          <w:szCs w:val="20"/>
          <w:color w:val="auto"/>
        </w:rPr>
      </w:pPr>
    </w:p>
    <w:p>
      <w:pPr>
        <w:ind w:left="4" w:right="40" w:hanging="4"/>
        <w:spacing w:after="0" w:line="251" w:lineRule="auto"/>
        <w:tabs>
          <w:tab w:leader="none" w:pos="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99"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vote for each share of capital stock held by such stockholder.</w:t>
      </w:r>
    </w:p>
    <w:p>
      <w:pPr>
        <w:spacing w:after="0" w:line="20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46" w:name="page47"/>
    <w:bookmarkEnd w:id="46"/>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w:t>
      </w:r>
      <w:r>
        <w:rPr>
          <w:sz w:val="20"/>
          <w:szCs w:val="20"/>
          <w:color w:val="auto"/>
        </w:rPr>
        <w:tab/>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89"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w:t>
      </w:r>
    </w:p>
    <w:p>
      <w:pPr>
        <w:spacing w:after="0" w:line="1" w:lineRule="exact"/>
        <w:rPr>
          <w:sz w:val="20"/>
          <w:szCs w:val="20"/>
          <w:color w:val="auto"/>
        </w:rPr>
      </w:pPr>
    </w:p>
    <w:p>
      <w:pPr>
        <w:ind w:left="4" w:right="80" w:hanging="4"/>
        <w:spacing w:after="0" w:line="255"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6"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7" w:name="page48"/>
    <w:bookmarkEnd w:id="47"/>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2.13</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color w:val="auto"/>
        </w:rPr>
        <w:t>The Corporation shall prepare, at least ten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information required to gain access to such list is provided with the notice of the meeting date, or (ii) during ordinary business hours,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to vote in person or by proxy at any meeting of stockholders.</w:t>
      </w:r>
    </w:p>
    <w:p>
      <w:pPr>
        <w:spacing w:after="0" w:line="11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17" w:lineRule="exact"/>
        <w:rPr>
          <w:sz w:val="20"/>
          <w:szCs w:val="20"/>
          <w:color w:val="auto"/>
        </w:rPr>
      </w:pPr>
    </w:p>
    <w:p>
      <w:pPr>
        <w:ind w:right="400" w:firstLine="987"/>
        <w:spacing w:after="0" w:line="282"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5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9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w:t>
      </w:r>
      <w:r>
        <w:rPr>
          <w:rFonts w:ascii="Times New Roman" w:cs="Times New Roman" w:eastAsia="Times New Roman" w:hAnsi="Times New Roman"/>
          <w:sz w:val="18"/>
          <w:szCs w:val="18"/>
          <w:i w:val="1"/>
          <w:iCs w:val="1"/>
          <w:color w:val="auto"/>
        </w:rPr>
        <w:t xml:space="preserve">prima facie </w:t>
      </w:r>
      <w:r>
        <w:rPr>
          <w:rFonts w:ascii="Times New Roman" w:cs="Times New Roman" w:eastAsia="Times New Roman" w:hAnsi="Times New Roman"/>
          <w:sz w:val="18"/>
          <w:szCs w:val="18"/>
          <w:color w:val="auto"/>
        </w:rPr>
        <w:t>evidence of the facts stated therein. The inspectors of election may appoint such persons to assist them in performing their duties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8" w:name="page49"/>
    <w:bookmarkEnd w:id="48"/>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w:t>
      </w:r>
      <w:r>
        <w:rPr>
          <w:sz w:val="20"/>
          <w:szCs w:val="20"/>
          <w:color w:val="auto"/>
        </w:rPr>
        <w:tab/>
      </w:r>
      <w:r>
        <w:rPr>
          <w:rFonts w:ascii="Times New Roman" w:cs="Times New Roman" w:eastAsia="Times New Roman" w:hAnsi="Times New Roman"/>
          <w:sz w:val="17"/>
          <w:szCs w:val="17"/>
          <w:u w:val="single" w:color="auto"/>
          <w:color w:val="auto"/>
        </w:rPr>
        <w:t>Delivery to the Corporation.</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Whenever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Election, Qualification and Term of Office of Directors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or residents of the State of Delaware. The Certificate of Incorporation or these bylaws may prescribe qualifications for directors. A director whose term is expiring is eligible to stand for re-election at the subsequent annual meeting of the stockholders.</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Place of Meetings; Meetings by Telephone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11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9" w:name="page50"/>
    <w:bookmarkEnd w:id="49"/>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w:t>
      </w:r>
      <w:r>
        <w:rPr>
          <w:sz w:val="20"/>
          <w:szCs w:val="20"/>
          <w:color w:val="auto"/>
        </w:rPr>
        <w:tab/>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8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or the Secretary of the Corporation or a majority of the total number of directors constituting the Board.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17" w:lineRule="exact"/>
        <w:rPr>
          <w:sz w:val="20"/>
          <w:szCs w:val="20"/>
          <w:color w:val="auto"/>
        </w:rPr>
      </w:pPr>
    </w:p>
    <w:p>
      <w:pPr>
        <w:ind w:left="1200" w:hanging="213"/>
        <w:spacing w:after="0"/>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8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50" w:name="page51"/>
    <w:bookmarkEnd w:id="50"/>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w:t>
      </w:r>
      <w:r>
        <w:rPr>
          <w:sz w:val="20"/>
          <w:szCs w:val="20"/>
          <w:color w:val="auto"/>
        </w:rPr>
        <w:tab/>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89"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Meetings of the Board shall be presided over by (a) the Chairperson of the Board, or (b) in such person’s absence, by the Chief Executive Officer, or (c) in such person’s absence, by a chairperson chosen by the Board at the meeting. The Secretary shall act as the secretary of the meeting, but in such person’s absence the chairperson of the meeting may appoint any person to act as the secretary of the meeting.</w:t>
      </w:r>
    </w:p>
    <w:p>
      <w:pPr>
        <w:spacing w:after="0" w:line="81"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56"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4" w:right="520" w:hanging="4"/>
        <w:spacing w:after="0" w:line="260" w:lineRule="auto"/>
        <w:tabs>
          <w:tab w:leader="none" w:pos="2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87"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Committee Minutes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51" w:name="page52"/>
    <w:bookmarkEnd w:id="51"/>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17" w:lineRule="exact"/>
        <w:rPr>
          <w:sz w:val="20"/>
          <w:szCs w:val="20"/>
          <w:color w:val="auto"/>
        </w:rPr>
      </w:pPr>
    </w:p>
    <w:p>
      <w:pPr>
        <w:ind w:left="1200" w:hanging="213"/>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(place of meetings; meetings by telephone);</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(regular meetings);</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(special meetings; notice);</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(board action without a meeting);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(waiver of notice),</w:t>
      </w:r>
    </w:p>
    <w:p>
      <w:pPr>
        <w:spacing w:after="0" w:line="22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2" w:lineRule="exact"/>
        <w:rPr>
          <w:sz w:val="20"/>
          <w:szCs w:val="20"/>
          <w:color w:val="auto"/>
        </w:rPr>
      </w:pPr>
    </w:p>
    <w:p>
      <w:pPr>
        <w:ind w:left="1200" w:hanging="213"/>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117" w:lineRule="exact"/>
        <w:rPr>
          <w:rFonts w:ascii="Times New Roman" w:cs="Times New Roman" w:eastAsia="Times New Roman" w:hAnsi="Times New Roman"/>
          <w:sz w:val="18"/>
          <w:szCs w:val="18"/>
          <w:color w:val="auto"/>
        </w:rPr>
      </w:pPr>
    </w:p>
    <w:p>
      <w:pPr>
        <w:ind w:right="520" w:firstLine="987"/>
        <w:spacing w:after="0" w:line="312" w:lineRule="auto"/>
        <w:tabs>
          <w:tab w:leader="none" w:pos="130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may adopt rules for the governance of any committee to override the provisions that would otherwise apply to the committee pursuant to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provided that such rules do not violate the provisions of the Certificate of Incorporation or applicable law.</w:t>
      </w:r>
    </w:p>
    <w:p>
      <w:pPr>
        <w:spacing w:after="0" w:line="4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Subcommittees.</w:t>
      </w:r>
    </w:p>
    <w:p>
      <w:pPr>
        <w:spacing w:after="0" w:line="11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The officers of the Corporation shall include a Chief Executive Officer, a President and a Secretary. The Corporation may also have, at the discretion of the Board, a Chairperson of the Board, a Vice Chairperson of the Board, a Chief Financial Officer, a Chief Operating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Each officer of the Corporation shall hold office for such term as may be prescribed by the Board of Directors and until his or her successor is duly elected and qualified or until his or her earlier death, resignation or removal.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52" w:name="page53"/>
    <w:bookmarkEnd w:id="52"/>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7"/>
          <w:szCs w:val="17"/>
          <w:u w:val="single" w:color="auto"/>
          <w:color w:val="auto"/>
        </w:rPr>
        <w:t>Appointment of Officers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The Board shall appoint the officers of the Corporation, except such officers as may be appointed in accordance with the provisions of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80" w:firstLine="44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4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may fill the pending vacancy before the effective date if the Board provides that the successor shall not take office until the effective date. Any resignation is without prejudice to the rights, if any, of the Corporation under any contract to which the officer is a party.</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or as provided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The Board may from time to time delegate the powers or duties of any officer of the Corporation to any other officers or agents of the Corporation, notwithstanding any provision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53" w:name="page54"/>
    <w:bookmarkEnd w:id="53"/>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5.8</w:t>
      </w:r>
      <w:r>
        <w:rPr>
          <w:sz w:val="20"/>
          <w:szCs w:val="20"/>
          <w:color w:val="auto"/>
        </w:rPr>
        <w:tab/>
      </w:r>
      <w:r>
        <w:rPr>
          <w:rFonts w:ascii="Times New Roman" w:cs="Times New Roman" w:eastAsia="Times New Roman" w:hAnsi="Times New Roman"/>
          <w:sz w:val="18"/>
          <w:szCs w:val="18"/>
          <w:u w:val="single" w:color="auto"/>
          <w:color w:val="auto"/>
        </w:rPr>
        <w:t>Compensation.</w:t>
      </w:r>
    </w:p>
    <w:p>
      <w:pPr>
        <w:spacing w:after="0" w:line="11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4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or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the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54" w:name="page55"/>
    <w:bookmarkEnd w:id="5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9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73"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Shares Without Certificates</w:t>
      </w:r>
    </w:p>
    <w:p>
      <w:pPr>
        <w:spacing w:after="0" w:line="11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u w:val="single" w:color="auto"/>
          <w:color w:val="auto"/>
        </w:rPr>
        <w:t>Construction; Definitions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55" w:name="page56"/>
    <w:bookmarkEnd w:id="55"/>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7.7</w:t>
      </w:r>
      <w:r>
        <w:rPr>
          <w:sz w:val="20"/>
          <w:szCs w:val="20"/>
          <w:color w:val="auto"/>
        </w:rPr>
        <w:tab/>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13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u w:val="single" w:color="auto"/>
          <w:color w:val="auto"/>
        </w:rPr>
        <w:t>Transfer of Stock</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Shares of the stock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9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Stock Transfer Agreements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Registered Stockholders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ind w:right="220" w:firstLine="987"/>
        <w:spacing w:after="0" w:line="282" w:lineRule="auto"/>
        <w:tabs>
          <w:tab w:leader="none" w:pos="12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56" w:name="page57"/>
    <w:bookmarkEnd w:id="56"/>
    <w:p>
      <w:pPr>
        <w:ind w:right="20" w:firstLine="987"/>
        <w:spacing w:after="0" w:line="282" w:lineRule="auto"/>
        <w:tabs>
          <w:tab w:leader="none" w:pos="12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31" w:lineRule="exact"/>
        <w:rPr>
          <w:sz w:val="20"/>
          <w:szCs w:val="20"/>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7" w:name="page58"/>
    <w:bookmarkEnd w:id="57"/>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inadvertent failure to discover such inability shall not invalidate any meeting or other action.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other enterprise or non-profit entity, including service with respect to employee benefit plans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all liability and loss suffered and expenses (including attorneys’ fees, judgments, fines ERISA excise taxes or penalties and amounts paid in settlement) reasonably incurred by such indemnitee in connection with any such Proceeding; provided that such indemnitee acted in good faith and in a manner such indemnitee reasonably believed to be in or not opposed to the best interests of the Corporation, and, with respect to any criminal action or proceeding, had no reasonable cause to believe such indemnitee’s conduct was unlawful. Notwithstanding the preceding sentence, except as otherwise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Corporation shall be required to indemnify a person in connection with a Proceeding initiated by such indemnitee only if the Proceeding was authorized in the specific case by the Board.</w:t>
      </w:r>
    </w:p>
    <w:p>
      <w:pPr>
        <w:spacing w:after="0" w:line="9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the DGCL or any other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 profit entity, including service with respect to employee benefit plans, against all liability and loss suffered and expenses reasonably incurred by such person in connection with any such Proceeding.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58" w:name="page59"/>
    <w:bookmarkEnd w:id="58"/>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obligation to indemnify conferred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Corporation shall to the fullest extent not prohibited by the DGCL or any other applicable law pay the expenses (including attorneys’ fees) incurred by any indemnitee, and may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payment of expenses in advance of the final disposition of the Proceeding shall be made only upon receipt of an undertaking by or on behalf of the person to repay all amounts advanced if it should be ultimately determined that the person is not entitled to be indemnified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Notwithstanding the preceding sentence, except as otherwise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Corporation shall be required to advance expenses to a person in connection with a Proceeding initiated by such indemnitee only if the Proceeding was authorized in the specific case by the Board.</w:t>
      </w:r>
    </w:p>
    <w:p>
      <w:pPr>
        <w:spacing w:after="0" w:line="9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Determination; Claim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 claim for indemnification (following the final disposition of such Proceeding)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not paid in full within sixty (60) days, or a claim for advancement of expenses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not paid in full within thirty (30) days, after a written claim therefor has been received by the Corporation the indemnitee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rights conferred on any person by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not be exclusive of any other rights which such person may have or hereafter acquire under any statute, provision of the Certificate of Incorporation, these bylaws, agreement, vote of stockholders or disinterested directors or otherwise.</w:t>
      </w:r>
    </w:p>
    <w:p>
      <w:pPr>
        <w:spacing w:after="0" w:line="4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 profit enterprise.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59" w:name="page60"/>
    <w:bookmarkEnd w:id="59"/>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9.8</w:t>
      </w:r>
      <w:r>
        <w:rPr>
          <w:sz w:val="20"/>
          <w:szCs w:val="20"/>
          <w:color w:val="auto"/>
        </w:rPr>
        <w:tab/>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rights to indemnification and to prepayment of expenses provided by, or granted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Corporation intends to be legally bound to each such current or former director or officer of the Corporation. With respect to current and former directors and officers of the Corporation, the rights conferred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Any reference to an officer of the Corporation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to refer exclusively to the Chief Executive Officer, the President and the Secretary of the Corporation, or other officer of the Corporation appointed by (x) the Board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(y) an officer to whom the Board has delegated the power to appoint officers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 - 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The undersigned hereby certifies that he or she is the duly elected, qualified, and acting Secretary of Blaize Holdings, Inc., a Delaware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and that the foregoing bylaws are a true and correct copy of the Bylaws of the Corporation in effect as of the date of this certificate.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this 13th day of January,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Ken Swisstack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Ken Swisstack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Secretary</w:t>
      </w:r>
    </w:p>
    <w:p>
      <w:pPr>
        <w:sectPr>
          <w:pgSz w:w="11900" w:h="16838" w:orient="portrait"/>
          <w:cols w:equalWidth="0" w:num="1">
            <w:col w:w="11000"/>
          </w:cols>
          <w:pgMar w:left="440" w:top="266" w:right="4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13, 2025, is made and entered into by and among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(formerly known as BurTech Acquisition Corp., a Delaware corporation), BurTech LP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the Persons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the Sponsor, the “</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and each member of the Sponsor Group, a “</w:t>
      </w:r>
      <w:r>
        <w:rPr>
          <w:rFonts w:ascii="Times New Roman" w:cs="Times New Roman" w:eastAsia="Times New Roman" w:hAnsi="Times New Roman"/>
          <w:sz w:val="18"/>
          <w:szCs w:val="18"/>
          <w:u w:val="single" w:color="auto"/>
          <w:color w:val="auto"/>
        </w:rPr>
        <w:t>Sponsor Holder</w:t>
      </w:r>
      <w:r>
        <w:rPr>
          <w:rFonts w:ascii="Times New Roman" w:cs="Times New Roman" w:eastAsia="Times New Roman" w:hAnsi="Times New Roman"/>
          <w:sz w:val="18"/>
          <w:szCs w:val="18"/>
          <w:color w:val="auto"/>
        </w:rPr>
        <w:t>”) and certain former stockholders of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(such stockholders, the “</w:t>
      </w:r>
      <w:r>
        <w:rPr>
          <w:rFonts w:ascii="Times New Roman" w:cs="Times New Roman" w:eastAsia="Times New Roman" w:hAnsi="Times New Roman"/>
          <w:sz w:val="18"/>
          <w:szCs w:val="18"/>
          <w:u w:val="single" w:color="auto"/>
          <w:color w:val="auto"/>
        </w:rPr>
        <w:t>Blaize Holders</w:t>
      </w:r>
      <w:r>
        <w:rPr>
          <w:rFonts w:ascii="Times New Roman" w:cs="Times New Roman" w:eastAsia="Times New Roman" w:hAnsi="Times New Roman"/>
          <w:sz w:val="18"/>
          <w:szCs w:val="18"/>
          <w:color w:val="auto"/>
        </w:rPr>
        <w:t xml:space="preserve">” and, collectively with the Sponsor Group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certain Sponsor Holders are party to that certain Registration Rights Agreement, dated as of December 10,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entered into that certain Agreement and Plan of Merger, dated as of December 22, 2023, (as amended on April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October 24, 2024 and November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Blaize, pursuant to which, among other things, on the date hereof, Merger Sub merged with and into Blaize, with Blaize continuing on as the surviving entity and a wholly owned subsidiary of the Company, on the terms and conditions set forth therein;</w:t>
      </w:r>
    </w:p>
    <w:p>
      <w:pPr>
        <w:spacing w:after="0" w:line="179"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pursuant to the Merger Agreement, the Blaize Holders received shares of common stock, par value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5.5 of the Original RRA, the provisions, covenants and conditions set forth therein may be amended or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written consent of the Company and the Holders (as defined in the Original RRA) of at least a majority in interest of the Registrable Securities (as defined in the Original RRA) at the time in question, and the Sponsor Group are collectively Holders in the aggregate of at least a majority in interest of the Registrable Securities as of the date hereof; and</w:t>
      </w:r>
    </w:p>
    <w:p>
      <w:pPr>
        <w:spacing w:after="0" w:line="176"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Group desire to amend and restate the Original RRA in its entirety and enter into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Company shall grant the Holders certain registration rights with respect to certain securities of the Company, as set forth in this Agreement.</w:t>
      </w:r>
    </w:p>
    <w:p>
      <w:pPr>
        <w:spacing w:after="0" w:line="171"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terms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for all purposes of this Agreement, have the respective meanings set forth below: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3" w:name="page64"/>
    <w:bookmarkEnd w:id="6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Holder Common Stock</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Adverse Disclosure</w:t>
      </w:r>
      <w:r>
        <w:rPr>
          <w:rFonts w:ascii="Times New Roman" w:cs="Times New Roman" w:eastAsia="Times New Roman" w:hAnsi="Times New Roman"/>
          <w:sz w:val="17"/>
          <w:szCs w:val="17"/>
          <w:color w:val="auto"/>
        </w:rPr>
        <w:t>” shall mean any public disclosure of material non-public information, which disclosure, in the good faith judgment of the Chief Executive Officer of the Company, the Chief Financial Officer of the Company or the Board, after consultation with counsel to the Company,</w:t>
      </w:r>
    </w:p>
    <w:p>
      <w:pPr>
        <w:spacing w:after="0" w:line="1" w:lineRule="exact"/>
        <w:rPr>
          <w:sz w:val="20"/>
          <w:szCs w:val="20"/>
          <w:color w:val="auto"/>
        </w:rPr>
      </w:pPr>
    </w:p>
    <w:p>
      <w:pPr>
        <w:ind w:left="4" w:hanging="4"/>
        <w:spacing w:after="0" w:line="253"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Blaize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 w:right="9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given in the Preamble hereto and includes the Company’s successors by recapitalization, merger, consolidation, spin-off, reorganization or similar transaction.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have the meaning given in the Preamble hereto, for so long as such person or entity holds any Registrable Securities.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shall mean any person or entity to whom such Holder is permitted to transfer such Registrable Securities, subject to and in accordance with any applicable agreement between such Holder and/or their respective Permitted Transferees and the Company and any transferee thereafter,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Security</w:t>
      </w:r>
      <w:r>
        <w:rPr>
          <w:rFonts w:ascii="Times New Roman" w:cs="Times New Roman" w:eastAsia="Times New Roman" w:hAnsi="Times New Roman"/>
          <w:sz w:val="18"/>
          <w:szCs w:val="18"/>
          <w:color w:val="auto"/>
        </w:rPr>
        <w:t xml:space="preserve">” shall mean (a) any outstanding shares of Common Stock held by a Holder immediately following the Closing (including any shares of Common Stock distributed or distributable pursuant to the Merger Agreement); (b) any shares of Common Stock issuable upon the exercise of any other equity security of the Company held by a Holder immediately following the Closing (including any shares of Common Stock issuable upon the exercise of any other equity security of the Company distributed or distributable pursuant to the Merger Agreement), (c) the Earnout Shares (in each case, upon issuance thereof), (d) any Additional Holder Common Stock; and (e) any shares of Common Stock issued or issuable with respect to any securities referenced in clauses (a), (b), (c) and (d) above by way of a stock dividend or stock split or in connection with a recapitalization, merger, consolidation, spin-off, reorganization or similar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 (ii) new certificates for such securities not bearing (or book-entry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limitation as to volume or manner of sale or the availability of current public information); and (E) such securities have been sold to, or through, a broker, dealer or underwriter in a public distribution or other public securities transaction.</w:t>
      </w:r>
    </w:p>
    <w:p>
      <w:pPr>
        <w:spacing w:after="0" w:line="196" w:lineRule="exact"/>
        <w:rPr>
          <w:sz w:val="20"/>
          <w:szCs w:val="20"/>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the reasonable documented, out-of-pocket expenses of a Registration, including, without limitation, the following: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5" w:name="page66"/>
    <w:bookmarkEnd w:id="65"/>
    <w:p>
      <w:pPr>
        <w:ind w:right="580" w:firstLine="987"/>
        <w:spacing w:after="0" w:line="282" w:lineRule="auto"/>
        <w:tabs>
          <w:tab w:leader="none" w:pos="12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registration and filing fees (including fees with respect to filings required to be made with the Financial Industry Regulatory Authority, Inc.) and any national securities exchange on which the Common Stock is then listed;</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5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1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117" w:lineRule="exact"/>
        <w:rPr>
          <w:rFonts w:ascii="Times New Roman" w:cs="Times New Roman" w:eastAsia="Times New Roman" w:hAnsi="Times New Roman"/>
          <w:sz w:val="18"/>
          <w:szCs w:val="18"/>
          <w:color w:val="auto"/>
        </w:rPr>
      </w:pPr>
    </w:p>
    <w:p>
      <w:pPr>
        <w:ind w:right="40" w:firstLine="987"/>
        <w:spacing w:after="0" w:line="282" w:lineRule="auto"/>
        <w:tabs>
          <w:tab w:leader="none" w:pos="12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5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Underwritten Offering, reasonable and documented fees and expenses of one (1) legal counsel selected by the majority in interest of the Demanding Holders with the approval of the Company (which approval shall not be unreasonably withheld, conditioned or delayed) not to exceed $40,000 in the aggregate for each Registration.</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shall mean an Underwritten Shelf Takedown or any proposed transfer or sale using a Registration Statement, including a Piggyback Registration.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Holder</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66" w:name="page67"/>
    <w:bookmarkEnd w:id="66"/>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REGISTRATIONS AND OFFERINGS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2.1 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t>2.1.1 Filing</w:t>
      </w:r>
      <w:r>
        <w:rPr>
          <w:rFonts w:ascii="Times New Roman" w:cs="Times New Roman" w:eastAsia="Times New Roman" w:hAnsi="Times New Roman"/>
          <w:sz w:val="17"/>
          <w:szCs w:val="17"/>
          <w:color w:val="auto"/>
        </w:rPr>
        <w:t>. Within thirty (30) calendar days following the Closing Date, the Company shall submit to or file with the Commission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Statement for a Shelf Registration on Form S-1 (the “</w:t>
      </w:r>
      <w:r>
        <w:rPr>
          <w:rFonts w:ascii="Times New Roman" w:cs="Times New Roman" w:eastAsia="Times New Roman" w:hAnsi="Times New Roman"/>
          <w:sz w:val="17"/>
          <w:szCs w:val="17"/>
          <w:u w:val="single" w:color="auto"/>
          <w:color w:val="auto"/>
        </w:rPr>
        <w:t>Form S-1 Shelf</w:t>
      </w:r>
      <w:r>
        <w:rPr>
          <w:rFonts w:ascii="Times New Roman" w:cs="Times New Roman" w:eastAsia="Times New Roman" w:hAnsi="Times New Roman"/>
          <w:sz w:val="17"/>
          <w:szCs w:val="17"/>
          <w:color w:val="auto"/>
        </w:rPr>
        <w:t>”) or a Registration Statement for a Shelf Registration on Form S-3 (the “</w:t>
      </w:r>
      <w:r>
        <w:rPr>
          <w:rFonts w:ascii="Times New Roman" w:cs="Times New Roman" w:eastAsia="Times New Roman" w:hAnsi="Times New Roman"/>
          <w:sz w:val="17"/>
          <w:szCs w:val="17"/>
          <w:u w:val="single" w:color="auto"/>
          <w:color w:val="auto"/>
        </w:rPr>
        <w:t>Form S-3 Shelf</w:t>
      </w:r>
      <w:r>
        <w:rPr>
          <w:rFonts w:ascii="Times New Roman" w:cs="Times New Roman" w:eastAsia="Times New Roman" w:hAnsi="Times New Roman"/>
          <w:sz w:val="17"/>
          <w:szCs w:val="17"/>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the one hundred twentieth (120th) calendar day following the filing date thereof if the Commission notifies the Company that it will “review” the Registration Statement and</w:t>
      </w:r>
    </w:p>
    <w:p>
      <w:pPr>
        <w:spacing w:after="0" w:line="4" w:lineRule="exact"/>
        <w:rPr>
          <w:sz w:val="20"/>
          <w:szCs w:val="20"/>
          <w:color w:val="auto"/>
        </w:rPr>
      </w:pPr>
    </w:p>
    <w:p>
      <w:pPr>
        <w:ind w:left="4" w:right="80" w:hanging="4"/>
        <w:spacing w:after="0" w:line="251"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tenth (10th)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2.1.2 Subsequent Shelf Registration</w:t>
      </w:r>
      <w:r>
        <w:rPr>
          <w:rFonts w:ascii="Times New Roman" w:cs="Times New Roman" w:eastAsia="Times New Roman" w:hAnsi="Times New Roman"/>
          <w:sz w:val="18"/>
          <w:szCs w:val="18"/>
          <w:color w:val="auto"/>
        </w:rPr>
        <w:t>. If any Shelf ceases to be effective under the Securities Act for any reason at any time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u w:val="single" w:color="auto"/>
          <w:color w:val="auto"/>
        </w:rPr>
        <w:t>Subsequent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67" w:name="page68"/>
    <w:bookmarkEnd w:id="67"/>
    <w:p>
      <w:pPr>
        <w:ind w:left="4" w:right="60"/>
        <w:spacing w:after="0" w:line="268"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Shelf Registration Statement</w:t>
      </w:r>
      <w:r>
        <w:rPr>
          <w:rFonts w:ascii="Times New Roman" w:cs="Times New Roman" w:eastAsia="Times New Roman" w:hAnsi="Times New Roman"/>
          <w:sz w:val="17"/>
          <w:szCs w:val="17"/>
          <w:color w:val="auto"/>
        </w:rPr>
        <w:t>”)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w:t>
      </w:r>
    </w:p>
    <w:p>
      <w:pPr>
        <w:spacing w:after="0" w:line="5" w:lineRule="exact"/>
        <w:rPr>
          <w:sz w:val="20"/>
          <w:szCs w:val="20"/>
          <w:color w:val="auto"/>
        </w:rPr>
      </w:pPr>
    </w:p>
    <w:p>
      <w:pPr>
        <w:ind w:left="4" w:right="20" w:hanging="4"/>
        <w:spacing w:after="0" w:line="253"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shall, for the avoidance of doubt, be subject to Section 3.4.</w:t>
      </w:r>
    </w:p>
    <w:p>
      <w:pPr>
        <w:spacing w:after="0" w:line="75"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2.1.3 Additional Registrable Securities</w:t>
      </w:r>
      <w:r>
        <w:rPr>
          <w:rFonts w:ascii="Times New Roman" w:cs="Times New Roman" w:eastAsia="Times New Roman" w:hAnsi="Times New Roman"/>
          <w:sz w:val="18"/>
          <w:szCs w:val="18"/>
          <w:color w:val="auto"/>
        </w:rPr>
        <w:t>. Subject to Section 3.4, in the event that any Holder holds Registrable Securities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registered for resale on a delayed or continuous basis, the Company, upon written request of a Sponsor Holder or a Blaize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only be required to cause such Registrable Securities to be so covered twice per calendar year for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Holders and the Blaize Holders, respectively.</w:t>
      </w:r>
    </w:p>
    <w:p>
      <w:pPr>
        <w:spacing w:after="0" w:line="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2.1.4 Requests for Underwritten Shelf Takedowns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is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file with the Commission, a Sponsor Holder or a Blaize Holder (a Sponsor Holder or a Blaize Holder being in such case, a “</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request to sell all or any portion of its Registrable Securities in an Underwritten Offering that is registered pursuant to the Shelf (each,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only be obligated to effect an Underwritten Shelf Takedown if such offering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include Registrable Securities proposed to be sold by the Demanding Holder, either individually or together with other Demanding Holders, with a total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offering price reasonably expected to exceed, in the aggregate, $50 million (the “</w:t>
      </w:r>
      <w:r>
        <w:rPr>
          <w:rFonts w:ascii="Times New Roman" w:cs="Times New Roman" w:eastAsia="Times New Roman" w:hAnsi="Times New Roman"/>
          <w:sz w:val="17"/>
          <w:szCs w:val="17"/>
          <w:u w:val="single" w:color="auto"/>
          <w:color w:val="auto"/>
        </w:rPr>
        <w:t>Minimum Takedown Threshold</w:t>
      </w:r>
      <w:r>
        <w:rPr>
          <w:rFonts w:ascii="Times New Roman" w:cs="Times New Roman" w:eastAsia="Times New Roman" w:hAnsi="Times New Roman"/>
          <w:sz w:val="17"/>
          <w:szCs w:val="17"/>
          <w:color w:val="auto"/>
        </w:rPr>
        <w:t>”), net of all underwriting discounts and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commissions. All requests for Underwritten Shelf Takedowns shall be made by giving written notice to the Company, which shall specify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approximate number of Registrable Securities proposed to be sold in the Underwritten Shelf Takedown. The Company shall have the right to select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Underwriters for such offering (which shall consist of one or more reputable nationally recognized investment banks), subject to the initial Demanding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Holder’s prior approval (which shall not be unreasonably withheld, conditioned or delayed). The Sponsor Holders may demand not more than two</w:t>
      </w:r>
    </w:p>
    <w:p>
      <w:pPr>
        <w:spacing w:after="0" w:line="9" w:lineRule="exact"/>
        <w:rPr>
          <w:sz w:val="20"/>
          <w:szCs w:val="20"/>
          <w:color w:val="auto"/>
        </w:rPr>
      </w:pPr>
    </w:p>
    <w:p>
      <w:pPr>
        <w:ind w:left="4" w:right="120" w:hanging="4"/>
        <w:spacing w:after="0" w:line="255"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Blaize Holders may demand not more than two (2)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any twelve (12) month period. Notwithstanding anything to the contrary in this Agreement, the Company may effect any Underwritten Offering pursuant to any then effective Registration Statement, including a Form S-3, that is then available for such offering.</w:t>
      </w:r>
    </w:p>
    <w:p>
      <w:pPr>
        <w:spacing w:after="0" w:line="74" w:lineRule="exact"/>
        <w:rPr>
          <w:sz w:val="20"/>
          <w:szCs w:val="20"/>
          <w:color w:val="auto"/>
        </w:rPr>
      </w:pPr>
    </w:p>
    <w:p>
      <w:pPr>
        <w:ind w:left="4"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2.1.5 Reduction of Underwritten Offering</w:t>
      </w:r>
      <w:r>
        <w:rPr>
          <w:rFonts w:ascii="Times New Roman" w:cs="Times New Roman" w:eastAsia="Times New Roman" w:hAnsi="Times New Roman"/>
          <w:sz w:val="18"/>
          <w:szCs w:val="18"/>
          <w:color w:val="auto"/>
        </w:rPr>
        <w:t>. If the managing Underwriter or Underwriters in an Underwritten Shelf Takedown,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(pro rata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 To facilitate the allocation of Registrable Securities in accordance with the above provisions, the Company or the Underwriters may round the number of shares allocated to any Holder to the nearest 100 Registrable Securities. The Company shall not be required to include any Registrable Securities in such Underwritten Shelf Takedown unless the Holders accept the terms of the underwriting as agreed upon between the Company and its Underwriters.</w:t>
      </w:r>
    </w:p>
    <w:p>
      <w:pPr>
        <w:spacing w:after="0" w:line="8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2.1.6 Withdrawal</w:t>
      </w:r>
      <w:r>
        <w:rPr>
          <w:rFonts w:ascii="Times New Roman" w:cs="Times New Roman" w:eastAsia="Times New Roman" w:hAnsi="Times New Roman"/>
          <w:sz w:val="18"/>
          <w:szCs w:val="18"/>
          <w:color w:val="auto"/>
        </w:rPr>
        <w:t>. Prior to the filing of the applicable “red herring” prospectus or prospectus supplement used for marketing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Underwritten Shelf Takedown, a majority in interest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Shelf Takedown;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Sponsor Holder or a Blaize Holder may elect to have the Company continue an Underwritten Shelf Takedown if the Minimum Takedown Threshold would still be satisfied by the Registrable Securities proposed to be sold in the Underwritten Shelf Takedown by the Sponsor Holders, the Blaize Holders or any of their respective Permitted Transferees, as applicable.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unless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Sponsor Holder or a Blaize Holder elects to continue an Underwritten Shelf Takedown pursuant to the proviso in the immediately preceding sentence, such Underwritten Shelf Takedown shall instead count as an Underwritten Shelf Takedown demanded by such Sponsor Holder or such Blaize Holder, as applicable,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other than if a withdrawing Demanding Holder elects to pay such Registration Expenses pursuant to the second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69" w:name="page70"/>
    <w:bookmarkEnd w:id="69"/>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Piggyback Registration.</w:t>
      </w:r>
    </w:p>
    <w:p>
      <w:pPr>
        <w:spacing w:after="0" w:line="11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2.2.1 Piggyback Rights</w:t>
      </w:r>
      <w:r>
        <w:rPr>
          <w:rFonts w:ascii="Times New Roman" w:cs="Times New Roman" w:eastAsia="Times New Roman" w:hAnsi="Times New Roman"/>
          <w:sz w:val="18"/>
          <w:szCs w:val="18"/>
          <w:color w:val="auto"/>
        </w:rPr>
        <w:t>. If the Company or any Holder proposes to conduct a registered offering of, or if the Company proposes to file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or (iv) for a dividend reinvestment plan, then the Company shall give written notice of such proposed offering to all of the Holders of Registrable Securities as soon as practicable but not less than five (5)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 Notwithstanding anything to the contrary in this Agreement, the Holders shall have no rights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if the registration statement the Company proposes to file is solely for purposes of a delayed or continuous offering pursuant to Rule 415 under the Securities Act and, at the time of the filing of such registration statement, the Company is in compliance with its obligations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4" w:right="36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t>2.2.2 Reduction of Piggyback Registration</w:t>
      </w:r>
      <w:r>
        <w:rPr>
          <w:rFonts w:ascii="Times New Roman" w:cs="Times New Roman" w:eastAsia="Times New Roman" w:hAnsi="Times New Roman"/>
          <w:sz w:val="17"/>
          <w:szCs w:val="17"/>
          <w:color w:val="auto"/>
        </w:rPr>
        <w:t>. If the managing Underwriter or Underwriters in an Underwritten Offering that is to be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w:t>
      </w:r>
    </w:p>
    <w:p>
      <w:pPr>
        <w:spacing w:after="0" w:line="1" w:lineRule="exact"/>
        <w:rPr>
          <w:sz w:val="20"/>
          <w:szCs w:val="20"/>
          <w:color w:val="auto"/>
        </w:rPr>
      </w:pPr>
    </w:p>
    <w:p>
      <w:pPr>
        <w:ind w:left="4" w:right="140" w:hanging="4"/>
        <w:spacing w:after="0" w:line="253"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spacing w:after="0" w:line="78"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691"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(as nearly as practicable), based on the respective number of Registrable Securities that each Holder has requested be included in such Underwritten Offering and the aggregate number of Registrable Securities that the Holders have requested to be included in such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70" w:name="page71"/>
    <w:bookmarkEnd w:id="70"/>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Underwritten Offering, which can be sold without exceeding the Maximum Number of Securities; and (C) third, to the extent that the Maximum Number of Securities has not been reached under the foregoing clauses (A) and (B),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72" w:lineRule="exact"/>
        <w:rPr>
          <w:sz w:val="20"/>
          <w:szCs w:val="20"/>
          <w:color w:val="auto"/>
        </w:rPr>
      </w:pPr>
    </w:p>
    <w:p>
      <w:pPr>
        <w:ind w:left="4" w:firstLine="1428"/>
        <w:spacing w:after="0" w:line="268" w:lineRule="auto"/>
        <w:tabs>
          <w:tab w:leader="none" w:pos="1701" w:val="left"/>
        </w:tabs>
        <w:numPr>
          <w:ilvl w:val="1"/>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the Registration is pursuant to a demand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pro rata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w:t>
      </w:r>
    </w:p>
    <w:p>
      <w:pPr>
        <w:spacing w:after="0" w:line="2" w:lineRule="exact"/>
        <w:rPr>
          <w:rFonts w:ascii="Times New Roman" w:cs="Times New Roman" w:eastAsia="Times New Roman" w:hAnsi="Times New Roman"/>
          <w:sz w:val="17"/>
          <w:szCs w:val="17"/>
          <w:b w:val="1"/>
          <w:bCs w:val="1"/>
          <w:color w:val="auto"/>
        </w:rPr>
      </w:pPr>
    </w:p>
    <w:p>
      <w:pPr>
        <w:ind w:left="4" w:right="220" w:hanging="4"/>
        <w:spacing w:after="0" w:line="265" w:lineRule="auto"/>
        <w:tabs>
          <w:tab w:leader="none" w:pos="28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to the extent that the Maximum Number of Securities has not been reached under the foregoing clauses (A) and (B), the shares of Common Stock or other equity securities that the Company desires to sell, which can be sold without exceeding the Maximum Number of Securities; and</w:t>
      </w:r>
    </w:p>
    <w:p>
      <w:pPr>
        <w:jc w:val="both"/>
        <w:ind w:left="4" w:right="240" w:hanging="4"/>
        <w:spacing w:after="0" w:line="253" w:lineRule="auto"/>
        <w:tabs>
          <w:tab w:leader="none" w:pos="2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80"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681"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Registration and Underwritten Shelf Takedown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then the Company shall include in any such Registration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2.2.3 Piggyback Registration Withdrawal</w:t>
      </w:r>
      <w:r>
        <w:rPr>
          <w:rFonts w:ascii="Times New Roman" w:cs="Times New Roman" w:eastAsia="Times New Roman" w:hAnsi="Times New Roman"/>
          <w:sz w:val="18"/>
          <w:szCs w:val="18"/>
          <w:color w:val="auto"/>
        </w:rPr>
        <w:t>. Any Holder of Registrable Securities (other than a Demanding Holder, whose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2.2.4 Unlimited Piggyback Registration Rights</w:t>
      </w:r>
      <w:r>
        <w:rPr>
          <w:rFonts w:ascii="Times New Roman" w:cs="Times New Roman" w:eastAsia="Times New Roman" w:hAnsi="Times New Roman"/>
          <w:sz w:val="18"/>
          <w:szCs w:val="18"/>
          <w:color w:val="auto"/>
        </w:rPr>
        <w:t>. For purposes of clarity,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any Piggyback Registration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71" w:name="page72"/>
    <w:bookmarkEnd w:id="71"/>
    <w:p>
      <w:pPr>
        <w:ind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 Market Stand-off</w:t>
      </w:r>
      <w:r>
        <w:rPr>
          <w:rFonts w:ascii="Times New Roman" w:cs="Times New Roman" w:eastAsia="Times New Roman" w:hAnsi="Times New Roman"/>
          <w:sz w:val="18"/>
          <w:szCs w:val="18"/>
          <w:color w:val="auto"/>
        </w:rPr>
        <w:t>. In connection with any Underwritten Offering of equity securities of the Company, if requested by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each Holder that is an executive officer or director of the Company or a Holder of more than five percent (5%) of the outstanding Common Stock (and for which it is customary for such a Holder to agree to a lock-up)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2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3.1 General Procedures</w:t>
      </w:r>
      <w:r>
        <w:rPr>
          <w:rFonts w:ascii="Times New Roman" w:cs="Times New Roman" w:eastAsia="Times New Roman" w:hAnsi="Times New Roman"/>
          <w:sz w:val="18"/>
          <w:szCs w:val="18"/>
          <w:color w:val="auto"/>
        </w:rPr>
        <w:t>. In connection with any Shelf and/or Shelf Takedown, the Company shall use its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such Registration to permit the sale of such Registrable Securities in accordance with the intended plan of distribution thereof, and pursuant thereto the Company shall, as soon as reasonably practicable:</w:t>
      </w:r>
    </w:p>
    <w:p>
      <w:pPr>
        <w:spacing w:after="0" w:line="6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color w:val="auto"/>
        </w:rPr>
        <w:t>prepare and file with the Commission as soon as reasonably practicable a Registration Statement with respect to such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use its commercially reasonable efforts to cause such Registration Statement to become effective and remain effective until all Registrable Securities have ceased to be Registrable Securities;</w:t>
      </w:r>
    </w:p>
    <w:p>
      <w:pPr>
        <w:spacing w:after="0" w:line="63"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color w:val="auto"/>
        </w:rPr>
        <w:t>prepare and file with the Commission such amendments and post-effective amendments to the Registration Statement,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 to the Prospectus, as may be reasonably requested by any Holder that holds at least ten percent (10%) of the then outstanding number of shares of Common Stock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74" w:lineRule="exact"/>
        <w:rPr>
          <w:sz w:val="20"/>
          <w:szCs w:val="20"/>
          <w:color w:val="auto"/>
        </w:rPr>
      </w:pPr>
    </w:p>
    <w:p>
      <w:pPr>
        <w:ind w:right="1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color w:val="auto"/>
        </w:rPr>
        <w:t>prior to filing a Registration Statement or Prospectus, or any amendment or supplement thereto, furnish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74"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color w:val="auto"/>
        </w:rPr>
        <w:t>prior to any public offering of Registrable Securities, use its commercially reasonable efforts to (i) register or qualify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72" w:name="page73"/>
    <w:bookmarkEnd w:id="7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75" w:lineRule="exact"/>
        <w:rPr>
          <w:sz w:val="20"/>
          <w:szCs w:val="20"/>
          <w:color w:val="auto"/>
        </w:rPr>
      </w:pPr>
    </w:p>
    <w:p>
      <w:pPr>
        <w:ind w:right="5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color w:val="auto"/>
        </w:rPr>
        <w:t>cause all such Registrable Securities to be listed on each national securities exchange on which similar securities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then listed;</w:t>
      </w:r>
    </w:p>
    <w:p>
      <w:pPr>
        <w:spacing w:after="0" w:line="47"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3.1.6 </w:t>
      </w:r>
      <w:r>
        <w:rPr>
          <w:rFonts w:ascii="Times New Roman" w:cs="Times New Roman" w:eastAsia="Times New Roman" w:hAnsi="Times New Roman"/>
          <w:sz w:val="18"/>
          <w:szCs w:val="18"/>
          <w:color w:val="auto"/>
        </w:rPr>
        <w:t>provide a transfer agent or warrant agent, as applicable, and registrar for all such Registrable Securities no later than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such Registration Statement;</w:t>
      </w:r>
    </w:p>
    <w:p>
      <w:pPr>
        <w:spacing w:after="0" w:line="47"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3.1.7 </w:t>
      </w:r>
      <w:r>
        <w:rPr>
          <w:rFonts w:ascii="Times New Roman" w:cs="Times New Roman" w:eastAsia="Times New Roman" w:hAnsi="Times New Roman"/>
          <w:sz w:val="18"/>
          <w:szCs w:val="18"/>
          <w:color w:val="auto"/>
        </w:rPr>
        <w:t>advise each seller of such Registrable Securities, promptly after it shall receive notice or obtain knowledge thereof, of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68"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3.1.8 </w:t>
      </w:r>
      <w:r>
        <w:rPr>
          <w:rFonts w:ascii="Times New Roman" w:cs="Times New Roman" w:eastAsia="Times New Roman" w:hAnsi="Times New Roman"/>
          <w:sz w:val="18"/>
          <w:szCs w:val="18"/>
          <w:color w:val="auto"/>
        </w:rPr>
        <w:t>prior to the filing of any Registration Statement or Prospectus or any amendment or supplement to such Registration Statement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furnish a copy thereof to each seller of such Registrable Securities or its counsel (excluding any exhibits thereto and any filing made under the Exchange Act that is to be incorporated by reference therein);</w:t>
      </w:r>
    </w:p>
    <w:p>
      <w:pPr>
        <w:spacing w:after="0" w:line="63"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3.1.9 </w:t>
      </w:r>
      <w:r>
        <w:rPr>
          <w:rFonts w:ascii="Times New Roman" w:cs="Times New Roman" w:eastAsia="Times New Roman" w:hAnsi="Times New Roman"/>
          <w:sz w:val="18"/>
          <w:szCs w:val="18"/>
          <w:color w:val="auto"/>
        </w:rPr>
        <w:t>notify the Holders at any time when a Prospectus relating to such Registration Statement is required to be delivered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3.1.10 </w:t>
      </w:r>
      <w:r>
        <w:rPr>
          <w:rFonts w:ascii="Times New Roman" w:cs="Times New Roman" w:eastAsia="Times New Roman" w:hAnsi="Times New Roman"/>
          <w:sz w:val="18"/>
          <w:szCs w:val="18"/>
          <w:color w:val="auto"/>
        </w:rPr>
        <w:t>in the event of an Underwritten Offering or sale by a broker, placement agent or sales agent pursuant to such Registration, permit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of the Holders, the Underwriters or other financial institutions facilitating such Underwritten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75"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3.1.11 </w:t>
      </w:r>
      <w:r>
        <w:rPr>
          <w:rFonts w:ascii="Times New Roman" w:cs="Times New Roman" w:eastAsia="Times New Roman" w:hAnsi="Times New Roman"/>
          <w:sz w:val="18"/>
          <w:szCs w:val="18"/>
          <w:color w:val="auto"/>
        </w:rPr>
        <w:t>use commercially reasonable efforts to obtain a “comfort” letter (including a bring-down letter dated as of the date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delivered for sale pursuant to such Registration) from the Company’s independent registered public accountants in the event of an Underwritten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as the managing Underwriter may reasonably request, and reasonably satisfactory to a majority in interest of the participating 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3" w:name="page74"/>
    <w:bookmarkEnd w:id="73"/>
    <w:p>
      <w:pPr>
        <w:ind w:left="4" w:right="2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3.1.12 </w:t>
      </w:r>
      <w:r>
        <w:rPr>
          <w:rFonts w:ascii="Times New Roman" w:cs="Times New Roman" w:eastAsia="Times New Roman" w:hAnsi="Times New Roman"/>
          <w:sz w:val="18"/>
          <w:szCs w:val="18"/>
          <w:color w:val="auto"/>
        </w:rPr>
        <w:t>in the event of an Underwritten Offering or sale by a broker, placement agent or sales agent pursuant to such Registration,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Registrable Securities are delivered for sale pursuant to such Registration,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provided such participating Holders provide such information to such counsel as is customarily required for purpose of such opinions;</w:t>
      </w:r>
    </w:p>
    <w:p>
      <w:pPr>
        <w:spacing w:after="0" w:line="74" w:lineRule="exact"/>
        <w:rPr>
          <w:sz w:val="20"/>
          <w:szCs w:val="20"/>
          <w:color w:val="auto"/>
        </w:rPr>
      </w:pPr>
    </w:p>
    <w:p>
      <w:pPr>
        <w:ind w:left="4"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3.1.13 </w:t>
      </w:r>
      <w:r>
        <w:rPr>
          <w:rFonts w:ascii="Times New Roman" w:cs="Times New Roman" w:eastAsia="Times New Roman" w:hAnsi="Times New Roman"/>
          <w:sz w:val="18"/>
          <w:szCs w:val="18"/>
          <w:color w:val="auto"/>
        </w:rPr>
        <w:t>in the event of any Underwritten Offering or sale by a broker, placement agent or sales agent pursuant to such Registration,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and perform its obligations under an underwriting or other purchase or sales agreement, in usual and customary form, with the managing Underwriter or the broker, placement agent or sales agent of such offering or sale;</w:t>
      </w:r>
    </w:p>
    <w:p>
      <w:pPr>
        <w:spacing w:after="0" w:line="6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3.1.14 </w:t>
      </w:r>
      <w:r>
        <w:rPr>
          <w:rFonts w:ascii="Times New Roman" w:cs="Times New Roman" w:eastAsia="Times New Roman" w:hAnsi="Times New Roman"/>
          <w:sz w:val="18"/>
          <w:szCs w:val="18"/>
          <w:color w:val="auto"/>
        </w:rPr>
        <w:t>make available to its security holders, as soon as reasonably practicable, an earnings statement covering the period of at least twelve</w:t>
      </w:r>
    </w:p>
    <w:p>
      <w:pPr>
        <w:spacing w:after="0" w:line="31" w:lineRule="exact"/>
        <w:rPr>
          <w:sz w:val="20"/>
          <w:szCs w:val="20"/>
          <w:color w:val="auto"/>
        </w:rPr>
      </w:pPr>
    </w:p>
    <w:p>
      <w:pPr>
        <w:ind w:left="4" w:right="20" w:hanging="4"/>
        <w:spacing w:after="0" w:line="260" w:lineRule="auto"/>
        <w:tabs>
          <w:tab w:leader="none" w:pos="3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69" w:lineRule="exact"/>
        <w:rPr>
          <w:sz w:val="20"/>
          <w:szCs w:val="20"/>
          <w:color w:val="auto"/>
        </w:rPr>
      </w:pPr>
    </w:p>
    <w:p>
      <w:pPr>
        <w:ind w:left="4" w:right="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3.1.15 </w:t>
      </w:r>
      <w:r>
        <w:rPr>
          <w:rFonts w:ascii="Times New Roman" w:cs="Times New Roman" w:eastAsia="Times New Roman" w:hAnsi="Times New Roman"/>
          <w:sz w:val="17"/>
          <w:szCs w:val="17"/>
          <w:color w:val="auto"/>
        </w:rPr>
        <w:t>if the Registration involves the Registration of Registrable Securities involving gross proceeds in excess of $50 million with respect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an Underwritten Offering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45" w:lineRule="exact"/>
        <w:rPr>
          <w:sz w:val="20"/>
          <w:szCs w:val="20"/>
          <w:color w:val="auto"/>
        </w:rPr>
      </w:pPr>
    </w:p>
    <w:p>
      <w:pPr>
        <w:ind w:left="4" w:right="6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3.1.16 </w:t>
      </w:r>
      <w:r>
        <w:rPr>
          <w:rFonts w:ascii="Times New Roman" w:cs="Times New Roman" w:eastAsia="Times New Roman" w:hAnsi="Times New Roman"/>
          <w:sz w:val="18"/>
          <w:szCs w:val="18"/>
          <w:color w:val="auto"/>
        </w:rPr>
        <w:t>otherwise, in good faith, cooperate reasonably with, and take such customary actions as may reasonably be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Holders, consistent with the terms of this Agreement, in connection with such Registration.</w:t>
      </w:r>
    </w:p>
    <w:p>
      <w:pPr>
        <w:spacing w:after="0" w:line="159"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spacing w:after="0" w:line="64"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3.2 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selling Registrable Securities in any offering shall bear all incremental selling expenses relating to the sale of such Registrable Securities, such as Underwriters’ commissions and discounts, brokerage fees, Underwriter marketing costs and, other than as set forth in the definition of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reasonable and documented fees and expenses of any legal counsel representing the Holders.</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74" w:name="page75"/>
    <w:bookmarkEnd w:id="74"/>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Requirements for Participation in Registration Statements and Offerings</w:t>
      </w:r>
      <w:r>
        <w:rPr>
          <w:rFonts w:ascii="Times New Roman" w:cs="Times New Roman" w:eastAsia="Times New Roman" w:hAnsi="Times New Roman"/>
          <w:sz w:val="17"/>
          <w:szCs w:val="17"/>
          <w:color w:val="auto"/>
        </w:rPr>
        <w:t>. The Holders of Registrable Securities shall provide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in connection with the Company’s obligation to comply with federal and applicable state securities laws.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shall not affect the registration of the other Registrable Securities to be included in such Registration.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3.4 Suspension of Sales; Adverse Disclosure; Restrictions on Registration Rights.</w:t>
      </w:r>
    </w:p>
    <w:p>
      <w:pPr>
        <w:spacing w:after="0" w:line="117"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3.4.1 </w:t>
      </w:r>
      <w:r>
        <w:rPr>
          <w:rFonts w:ascii="Times New Roman" w:cs="Times New Roman" w:eastAsia="Times New Roman" w:hAnsi="Times New Roman"/>
          <w:sz w:val="18"/>
          <w:szCs w:val="18"/>
          <w:color w:val="auto"/>
        </w:rPr>
        <w:t>Upon receipt of written notice from the Company that a Registration Statement or Prospectus contains a Misstatement,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6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3.4.2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if the filing, initial effectiveness or continued use of a Registration Statement in respect of any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74"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3.4.3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(a) during the period starting with the date sixty (60) days prior to the Company’s good faith estimate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of the filing of, and ending on a date one hundred and eighty (180) days after the effective date of, a Company-initiated Registration, and provided that the Company continues to actively employ, in good faith, all reasonable efforts to maintain the effectiveness of the applicable Shelf Registration Statement, or (b) if,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75" w:name="page76"/>
    <w:bookmarkEnd w:id="75"/>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3.4.4 </w:t>
      </w:r>
      <w:r>
        <w:rPr>
          <w:rFonts w:ascii="Times New Roman" w:cs="Times New Roman" w:eastAsia="Times New Roman" w:hAnsi="Times New Roman"/>
          <w:sz w:val="18"/>
          <w:szCs w:val="18"/>
          <w:color w:val="auto"/>
        </w:rPr>
        <w:t>The right to delay or suspend any filing, initial effectiveness or continued use of a Registration Statement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registered offering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6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3.5 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upon written request with true and complete copies of all such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the Electronic Data Gathering, Analysis and Retrieval System shall be deemed to have been furnished or delivered to the Holders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further covenants that it shall use commercially reasonable efforts to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4.1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color w:val="auto"/>
        </w:rPr>
        <w:t>The Company agrees to indemnify, to the extent permitted by law, each Holder of Registrable Securities, its officers,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each person or entity who controls such Holder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filed pursuant to this Agreement or any omission or alleged omission of a material fact required to be stated therein or necessary to make the statements therein, in the case of a Prospectus or preliminary Prospectus in the light of the circumstances under which they were made, not misleading, except insofar as the same are caused by or contained in any information or affidavit so furnished in writing to the Company by such Holder expressly for use therein.</w:t>
      </w:r>
    </w:p>
    <w:p>
      <w:pPr>
        <w:spacing w:after="0" w:line="7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color w:val="auto"/>
        </w:rPr>
        <w:t>In connection with any Registration Statement filed pursuant to this Agreement in which a Holder of Registrable Securities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and, to the extent permitted by law, shall indemnify the Company, its directors, officers and agents and each person or entity who controls the Company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or preliminary Prospectus in the light of the circumstances under which they were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76" w:name="page77"/>
    <w:bookmarkEnd w:id="7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made, not misleading, but only to the extent that such untrue or alleged untrue statement is contained in (or not contained in, in the case of an omission or alleged omission) any information or affidavit so furnished in writing by or on behalf of such Holder expressly for use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7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color w:val="auto"/>
        </w:rPr>
        <w:t>Any person or entity entitled to indemnification herein shall (i) give prompt written notice to the indemnifying party of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77"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color w:val="auto"/>
        </w:rPr>
        <w:t>The indemnification provided for under this Agreement shall remain in full force and effect regardless of any investigation made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7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color w:val="auto"/>
        </w:rPr>
        <w:t>If the indemnification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indemnifying party is unavailable or insufficient to hold harmless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77" w:name="page78"/>
    <w:bookmarkEnd w:id="7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5.1 Notices</w:t>
      </w:r>
      <w:r>
        <w:rPr>
          <w:rFonts w:ascii="Times New Roman" w:cs="Times New Roman" w:eastAsia="Times New Roman" w:hAnsi="Times New Roman"/>
          <w:sz w:val="18"/>
          <w:szCs w:val="18"/>
          <w:color w:val="auto"/>
        </w:rPr>
        <w:t>. Any notice or communication under this Agreement shall be in writing and shall be deemed to have been duly given (i)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Any notice or communication under this Agreement must be addressed, if to the Company, to: Blaize Holdings, Inc., 4659 Golden Foothill Parkway, Suite 206, El Dorado Hills, CA 95762, Attention: Dinakar Munagala Email: Dinakar.Munagala@blaize.com, and, if to any Holder, at such Holder’s address, electronic mail address or facsimile number as set forth in the Company’s books and records. Any party may change its address for notice at any time and from time to time by written notice to the other parties hereto.</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 Assignment; No Third-Party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5.2.1 </w:t>
      </w:r>
      <w:r>
        <w:rPr>
          <w:rFonts w:ascii="Times New Roman" w:cs="Times New Roman" w:eastAsia="Times New Roman" w:hAnsi="Times New Roman"/>
          <w:sz w:val="18"/>
          <w:szCs w:val="18"/>
          <w:color w:val="auto"/>
        </w:rPr>
        <w:t>This Agreement and the rights, duties and obligations of the Company hereunder may not be assigned or delegated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whole or in part without the prior written consent of the other parties hereto.</w:t>
      </w:r>
    </w:p>
    <w:p>
      <w:pPr>
        <w:spacing w:after="0" w:line="47"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5.2.2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this Agreement and the rights, duties and obligations of a Holder hereunder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assigned in whole or in part to such Holder’s Permitted Transferees;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Blaize Holders and the Sponsor Group, the rights hereunder that are personal to such Holders may not be assigned or delegated in whole or in part, except that (x) each of the Holders shall be permitted to transfer its rights hereunder as a Holder to one or more affiliates or any direct or indirect partners, members or equity holders of such Holder (it being understood that no such transfer shall reduce any rights of such Holder or such transferees).</w:t>
      </w:r>
    </w:p>
    <w:p>
      <w:pPr>
        <w:spacing w:after="0" w:line="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5.2.3 </w:t>
      </w:r>
      <w:r>
        <w:rPr>
          <w:rFonts w:ascii="Times New Roman" w:cs="Times New Roman" w:eastAsia="Times New Roman" w:hAnsi="Times New Roman"/>
          <w:sz w:val="18"/>
          <w:szCs w:val="18"/>
          <w:color w:val="auto"/>
        </w:rPr>
        <w:t>This Agreement and the provisions hereof shall be binding upon and shall inure to the benefit of each of the parties and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permitted assigns of the Holders, which shall include Permitted Transferees.</w:t>
      </w:r>
    </w:p>
    <w:p>
      <w:pPr>
        <w:spacing w:after="0" w:line="47"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5.2.4 </w:t>
      </w:r>
      <w:r>
        <w:rPr>
          <w:rFonts w:ascii="Times New Roman" w:cs="Times New Roman" w:eastAsia="Times New Roman" w:hAnsi="Times New Roman"/>
          <w:sz w:val="18"/>
          <w:szCs w:val="18"/>
          <w:color w:val="auto"/>
        </w:rPr>
        <w:t>This Agreement shall not confer any rights or benefits on any persons or entities that are not parties hereto, other than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3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5.2.5 </w:t>
      </w:r>
      <w:r>
        <w:rPr>
          <w:rFonts w:ascii="Times New Roman" w:cs="Times New Roman" w:eastAsia="Times New Roman" w:hAnsi="Times New Roman"/>
          <w:sz w:val="18"/>
          <w:szCs w:val="18"/>
          <w:color w:val="auto"/>
        </w:rPr>
        <w:t>No assignment by any party hereto of such party’s rights, duties and obligations hereunder shall be binding upon or obligate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unless it is permitted under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78" w:name="page79"/>
    <w:bookmarkEnd w:id="78"/>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 Counterparts</w:t>
      </w:r>
      <w:r>
        <w:rPr>
          <w:rFonts w:ascii="Times New Roman" w:cs="Times New Roman" w:eastAsia="Times New Roman" w:hAnsi="Times New Roman"/>
          <w:sz w:val="18"/>
          <w:szCs w:val="18"/>
          <w:color w:val="auto"/>
        </w:rPr>
        <w:t>. This Agreement may be executed (including by electronic signature)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shall constitute one and the same instrument.</w:t>
      </w:r>
    </w:p>
    <w:p>
      <w:pPr>
        <w:spacing w:after="0" w:line="47"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5.4 Governing Law; Venue</w:t>
      </w:r>
      <w:r>
        <w:rPr>
          <w:rFonts w:ascii="Times New Roman" w:cs="Times New Roman" w:eastAsia="Times New Roman" w:hAnsi="Times New Roman"/>
          <w:sz w:val="18"/>
          <w:szCs w:val="18"/>
          <w:color w:val="auto"/>
        </w:rPr>
        <w:t>. This Agreement, and all claims or causes of action based upon, arising out of, or related to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herein,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 TRIAL BY JURY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PARTY HERETO ACKNOWLEDGES AND AGREES THAT ANY CONTROVERSY WHICH MAY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ARISE UNDER THIS AGREEMENT AND THE TRANSACTIONS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spacing w:after="0" w:line="7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5.6 Amendments and Modifications</w:t>
      </w:r>
      <w:r>
        <w:rPr>
          <w:rFonts w:ascii="Times New Roman" w:cs="Times New Roman" w:eastAsia="Times New Roman" w:hAnsi="Times New Roman"/>
          <w:sz w:val="18"/>
          <w:szCs w:val="18"/>
          <w:color w:val="auto"/>
        </w:rPr>
        <w:t>. Upon the written consent of (a) the Company and (b) the Holders of a majority of the total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the foregoing, any amendment hereto or waiver hereof shall also require the written consent of each Holder so long as such Holder and its affiliates hold, in the aggregate, at least ten percent (10%) of the outstanding shares of Common Stock of the Company;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77"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5.7 Other Registration Rights</w:t>
      </w:r>
      <w:r>
        <w:rPr>
          <w:rFonts w:ascii="Times New Roman" w:cs="Times New Roman" w:eastAsia="Times New Roman" w:hAnsi="Times New Roman"/>
          <w:sz w:val="18"/>
          <w:szCs w:val="18"/>
          <w:color w:val="auto"/>
        </w:rPr>
        <w:t>. Other than as provided in the Warrant Agreement, dated as of December 10, 2021, between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Continental Stock Transfer &amp; Trust Company, 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74"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5.8 Term</w:t>
      </w:r>
      <w:r>
        <w:rPr>
          <w:rFonts w:ascii="Times New Roman" w:cs="Times New Roman" w:eastAsia="Times New Roman" w:hAnsi="Times New Roman"/>
          <w:sz w:val="18"/>
          <w:szCs w:val="18"/>
          <w:color w:val="auto"/>
        </w:rPr>
        <w:t>. This Agreement shall terminate on the earlier of (a) the seventh anniversary of the date of this Agreement and (b)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on the date that such Holder no longer holds any Registrable Securities.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79" w:name="page80"/>
    <w:bookmarkEnd w:id="79"/>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5.9 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such Holder in order for the Company to make determinations hereunder.</w:t>
      </w:r>
    </w:p>
    <w:p>
      <w:pPr>
        <w:spacing w:after="0" w:line="4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5.10 Additional Holders; Joinder</w:t>
      </w:r>
      <w:r>
        <w:rPr>
          <w:rFonts w:ascii="Times New Roman" w:cs="Times New Roman" w:eastAsia="Times New Roman" w:hAnsi="Times New Roman"/>
          <w:sz w:val="18"/>
          <w:szCs w:val="18"/>
          <w:color w:val="auto"/>
        </w:rPr>
        <w:t>. In addition to persons or entities who may become Holders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subject to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the Sponsor and each Blaize Holder (in each case, so long as such Holder and its affiliates hold, in the aggregate, at least five percent (5%) of the outstanding shares of Common Stock of the Company), the Company may make any person or entity who has or acquires Common Stock or rights to acquire Common Stock after the date hereof a party to this Agreement (each such person or entity, an “</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Times New Roman" w:cs="Times New Roman" w:eastAsia="Times New Roman" w:hAnsi="Times New Roman"/>
          <w:sz w:val="18"/>
          <w:szCs w:val="18"/>
          <w:u w:val="single" w:color="auto"/>
          <w:color w:val="auto"/>
        </w:rPr>
        <w:t>Additional Holder Common Stock</w:t>
      </w:r>
      <w:r>
        <w:rPr>
          <w:rFonts w:ascii="Times New Roman" w:cs="Times New Roman" w:eastAsia="Times New Roman" w:hAnsi="Times New Roman"/>
          <w:sz w:val="18"/>
          <w:szCs w:val="18"/>
          <w:color w:val="auto"/>
        </w:rPr>
        <w:t>”) shall be Registrable Securities to the extent provided herein and therein and such Additional Holder shall be a Holder under this Agreement with respect to such Additional Holder Common Stock.</w:t>
      </w:r>
    </w:p>
    <w:p>
      <w:pPr>
        <w:spacing w:after="0" w:line="80"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5.11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74"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5.12 Entire Agreement; Restatement</w:t>
      </w:r>
      <w:r>
        <w:rPr>
          <w:rFonts w:ascii="Times New Roman" w:cs="Times New Roman" w:eastAsia="Times New Roman" w:hAnsi="Times New Roman"/>
          <w:sz w:val="18"/>
          <w:szCs w:val="18"/>
          <w:color w:val="auto"/>
        </w:rPr>
        <w:t>. This Agreement constitutes the full and entire agreement and understanding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all prior agreements and understandings relating to such subject matter. Upon the Closing, the Original RRA shall no longer be of any force or effect.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BLAIZE HOLDINGS, INC.</w:t>
      </w:r>
      <w:r>
        <w:rPr>
          <w:rFonts w:ascii="Times New Roman" w:cs="Times New Roman" w:eastAsia="Times New Roman" w:hAnsi="Times New Roman"/>
          <w:sz w:val="17"/>
          <w:szCs w:val="17"/>
          <w:color w:val="auto"/>
        </w:rPr>
        <w:t>, a Delaware corporation</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10100"/>
          </w:cols>
          <w:pgMar w:left="880" w:top="270" w:right="9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Senior Managing Member</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 BORAL CAPITAL LLC (f/k/a EF HUTTON,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DIVISION OF BENCHMARK INVESTMENTS, LLC)</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Gaurav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Gaurav Verma</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Co-Head of Investment Banking</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10440"/>
          </w:cols>
          <w:pgMar w:left="880" w:top="270" w:right="5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Harminder Sehmi</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Lane Bess</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Anthony Cannestra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Anthony Cannestra</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Edward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Edward H. Frank</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Juergen Hambrecht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Juergen Hambrecht</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Yoshiaki Fujimori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Yoshiaki Fujimori</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George de Urioste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George de Urioste</w:t>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DENSO CORPORATION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Takeshi Kuzuhara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Takeshi Kuzuhara</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DENSO INTERNATIONAL AMERICA,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Anthony Cannestra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Anthony Cannestra</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 of Corporate Ventures</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80"/>
          </w:cols>
          <w:pgMar w:left="880" w:top="270" w:right="1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BESS VENTURES AND ADVISORY, LLC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Lane Bess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CORAL GABLES TRUST COMPANY, TRUSTEE OF</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THE DESTIN HUANG IRREVOCABLE TRUST DATED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OCTOBER 19, 2021</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Lane Bess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10460"/>
          </w:cols>
          <w:pgMar w:left="880" w:top="270"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Anderson Investments Pte. Ltd.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Sherlyn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Sherlyn Lim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RT-AI II,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Suhail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Suhail Rizvi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RT-AI III,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Suhail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Suhail Rizvi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RT-AI IV,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Suhail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Suhail Rizvi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RT-AI V,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Suhail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Suhail Rizvi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RIZVI MASTER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Suhail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Suhail Rizvi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 JOINDER</w:t>
      </w:r>
    </w:p>
    <w:p>
      <w:pPr>
        <w:spacing w:after="0" w:line="20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undersigned is executing and delivering 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pursuant to the Amended and Restated Registration Rights Agreement, dated as of January 13, 2025 (as the same may hereafter be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persons or entities named as parties therein. Capitalized terms used but not otherwise defined herein shall have the meanings provided in the Registration Rights Agreement.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undersigned and its permitted assigns (if any) shall not have any rights as Holders, and the undersigned’s (and its transferees’) shares of Common Stock shall not be included as Registrable Securities, for purposes of the Excluded Sections.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Joinder, “</w:t>
      </w:r>
      <w:r>
        <w:rPr>
          <w:rFonts w:ascii="Times New Roman" w:cs="Times New Roman" w:eastAsia="Times New Roman" w:hAnsi="Times New Roman"/>
          <w:sz w:val="18"/>
          <w:szCs w:val="18"/>
          <w:u w:val="single" w:color="auto"/>
          <w:color w:val="auto"/>
        </w:rPr>
        <w:t>Excluded Sections</w:t>
      </w:r>
      <w:r>
        <w:rPr>
          <w:rFonts w:ascii="Times New Roman" w:cs="Times New Roman" w:eastAsia="Times New Roman" w:hAnsi="Times New Roman"/>
          <w:sz w:val="18"/>
          <w:szCs w:val="18"/>
          <w:color w:val="auto"/>
        </w:rPr>
        <w:t>” shall mean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-7620</wp:posOffset>
            </wp:positionV>
            <wp:extent cx="8001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6520" w:val="left"/>
          <w:tab w:leader="none" w:pos="9660" w:val="left"/>
        </w:tabs>
        <w:rPr>
          <w:sz w:val="20"/>
          <w:szCs w:val="20"/>
          <w:color w:val="auto"/>
        </w:rPr>
      </w:pPr>
      <w:r>
        <w:rPr>
          <w:rFonts w:ascii="Times New Roman" w:cs="Times New Roman" w:eastAsia="Times New Roman" w:hAnsi="Times New Roman"/>
          <w:sz w:val="18"/>
          <w:szCs w:val="18"/>
          <w:color w:val="auto"/>
        </w:rPr>
        <w:t xml:space="preserve">Accordingly, the undersigned has executed and delivered this Joinder as of the     </w:t>
        <w:tab/>
        <w:t xml:space="preserve">day of                         , 20 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180340</wp:posOffset>
            </wp:positionV>
            <wp:extent cx="27946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-7620</wp:posOffset>
            </wp:positionV>
            <wp:extent cx="22593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300355</wp:posOffset>
            </wp:positionV>
            <wp:extent cx="2794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308610</wp:posOffset>
            </wp:positionV>
            <wp:extent cx="23145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3138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103" w:name="page104"/>
    <w:bookmarkEnd w:id="103"/>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u w:val="single" w:color="auto"/>
          <w:color w:val="auto"/>
        </w:rPr>
        <w:t>Sponsor Group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LP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 (f/k/a EF Hutton, Division of Benchmark Investments,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 Tree Value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 Tree Capital Opportunity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 Tree Capital Opportunity Master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 SOF XIII (SPAC)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PATRIOT MERRIMACK ST.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Kepos Alpha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Kepos Special Opportunities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Lee Lapp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Radcliffe SPAC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EXOS COLLATERALIZED SPAC HOLDINGS FUND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2nd Exos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Boothbay Absolute Return Strategies,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Boothbay Diversified Alpha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Sandia Crest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Walleye Investments Fund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WALLEYE OPPORTUNITIES MASTER FUND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Crestline Summit Master, SPC - Peak 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Crestline Summit Master, SPC - Crestline Summit APEX 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Harraden Circle Investors,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Walleye Investments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WALLEYE OPPORTUNITIES MASTER FUND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 Hawk Multi-Strategy Master Fund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Arena Finance Markets,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Arena Special Opportunities (Offshore) Master,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Arena Special Opportunities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Arena Special Opportunities Partners 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Arena Special Opportunities Partners (Cayman Master)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AQR Absolute Return Master Account,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AQR Corporate Arbitrage Master Account, L.P.</w:t>
      </w:r>
    </w:p>
    <w:p>
      <w:pPr>
        <w:spacing w:after="0" w:line="9" w:lineRule="exact"/>
        <w:rPr>
          <w:sz w:val="20"/>
          <w:szCs w:val="20"/>
          <w:color w:val="auto"/>
        </w:rPr>
      </w:pPr>
    </w:p>
    <w:p>
      <w:pPr>
        <w:ind w:right="4739"/>
        <w:spacing w:after="0" w:line="263" w:lineRule="auto"/>
        <w:rPr>
          <w:sz w:val="20"/>
          <w:szCs w:val="20"/>
          <w:color w:val="auto"/>
        </w:rPr>
      </w:pPr>
      <w:r>
        <w:rPr>
          <w:rFonts w:ascii="Times New Roman" w:cs="Times New Roman" w:eastAsia="Times New Roman" w:hAnsi="Times New Roman"/>
          <w:sz w:val="18"/>
          <w:szCs w:val="18"/>
          <w:color w:val="auto"/>
        </w:rPr>
        <w:t>AQR Global Alternative Investment Offshore Fund, L.P. – SPACs Sleeve AQR Tax Advantaged Absolute Return Fund, L.P. F&amp;M Star Alliance, Inc.</w:t>
      </w:r>
    </w:p>
    <w:p>
      <w:pPr>
        <w:spacing w:after="0" w:line="111"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[Schedule I to Amended and Restated Registration Rights Agreement]</w:t>
      </w:r>
    </w:p>
    <w:p>
      <w:pPr>
        <w:sectPr>
          <w:pgSz w:w="11900" w:h="16838" w:orient="portrait"/>
          <w:cols w:equalWidth="0" w:num="1">
            <w:col w:w="10019"/>
          </w:cols>
          <w:pgMar w:left="440" w:top="266" w:right="1440" w:bottom="1440" w:gutter="0" w:footer="0" w:header="0"/>
        </w:sectPr>
      </w:pPr>
    </w:p>
    <w:bookmarkStart w:id="104" w:name="page105"/>
    <w:bookmarkEnd w:id="104"/>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u w:val="single" w:color="auto"/>
          <w:color w:val="auto"/>
        </w:rPr>
        <w:t>Blaize 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Harminder Sehmi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Lane M. Bess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Frank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Cannestra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Juergen Hambrecht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de Urioste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Yoshiaki Fujimori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Bess Ventures and Advisory,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Coral Gables Trust Company, Trustee of the Destin Huang Irrevocable Trust Dated October 19,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Anderson Investments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RT-AI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RT-AI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RT-AI 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RT-AI 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Rizvi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DENSO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DENSO International America, Inc.</w:t>
      </w:r>
    </w:p>
    <w:p>
      <w:pPr>
        <w:spacing w:after="0" w:line="153"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color w:val="auto"/>
        </w:rPr>
        <w:t>[Schedule II to Amended and Restated Registration Rights Agreement]</w:t>
      </w:r>
    </w:p>
    <w:p>
      <w:pPr>
        <w:sectPr>
          <w:pgSz w:w="11900" w:h="16838" w:orient="portrait"/>
          <w:cols w:equalWidth="0" w:num="1">
            <w:col w:w="10019"/>
          </w:cols>
          <w:pgMar w:left="440" w:top="266"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INDEMNIFICATION AND ADVANCEMENT AGREEMENT</w:t>
      </w:r>
    </w:p>
    <w:p>
      <w:pPr>
        <w:spacing w:after="0" w:line="225" w:lineRule="exact"/>
        <w:rPr>
          <w:sz w:val="20"/>
          <w:szCs w:val="20"/>
          <w:color w:val="auto"/>
        </w:rPr>
      </w:pPr>
    </w:p>
    <w:p>
      <w:pPr>
        <w:ind w:right="300" w:firstLine="440"/>
        <w:spacing w:after="0" w:line="283" w:lineRule="auto"/>
        <w:rPr>
          <w:sz w:val="20"/>
          <w:szCs w:val="20"/>
          <w:color w:val="auto"/>
        </w:rPr>
      </w:pPr>
      <w:r>
        <w:rPr>
          <w:rFonts w:ascii="Times New Roman" w:cs="Times New Roman" w:eastAsia="Times New Roman" w:hAnsi="Times New Roman"/>
          <w:sz w:val="18"/>
          <w:szCs w:val="18"/>
          <w:color w:val="auto"/>
        </w:rPr>
        <w:t>This Indemnification and Advancement Agreement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January [ ], 2025 by and between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 [a member of the Board of Directors/an officer] of the Company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This Agreement supersedes and replaces any and all previous Agreements between the Company and Indemnitee covering indemnification and advancement of expenses.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120" w:firstLine="440"/>
        <w:spacing w:after="0" w:line="26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Bylaws and Certificate of Incorporation require indemnification of the officers and directors of the Company. Indemnitee may also be entitled to indemnification pursuant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spacing w:after="0" w:line="19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WHEREAS, the uncertainties relating to such insurance, to indemnification, and to advancement of expenses may increase the difficulty of attracting and retaining such persons;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ectPr>
          <w:pgSz w:w="11900" w:h="16838" w:orient="portrait"/>
          <w:cols w:equalWidth="0" w:num="1">
            <w:col w:w="11020"/>
          </w:cols>
          <w:pgMar w:left="440" w:top="117" w:right="439" w:bottom="1440" w:gutter="0" w:footer="0" w:header="0"/>
        </w:sectPr>
      </w:pPr>
    </w:p>
    <w:bookmarkStart w:id="106" w:name="page107"/>
    <w:bookmarkEnd w:id="106"/>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Indemnitee does not regard the protection available under the Bylaws, the Certificate of Incorporation, and available insurance as adequate in the present circumstances, and may not be willing to serve or continue to serve as a director or officer of the Company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64"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contained herein, the Company and Indemnitee do hereby covenant and agree as follows:</w:t>
      </w:r>
    </w:p>
    <w:p>
      <w:pPr>
        <w:spacing w:after="0" w:line="162"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xml:space="preserve"> Indemnitee agrees to serve as a director or 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Agreement:</w:t>
      </w:r>
    </w:p>
    <w:p>
      <w:pPr>
        <w:spacing w:after="0" w:line="113" w:lineRule="exact"/>
        <w:rPr>
          <w:sz w:val="20"/>
          <w:szCs w:val="20"/>
          <w:color w:val="auto"/>
        </w:rPr>
      </w:pPr>
    </w:p>
    <w:p>
      <w:pPr>
        <w:ind w:right="160" w:firstLine="987"/>
        <w:spacing w:after="0" w:line="28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any person who is authorized by the Company or an Enterprise to act for or represent the interests of the Company or an Enterprise, respectively.</w:t>
      </w:r>
    </w:p>
    <w:p>
      <w:pPr>
        <w:spacing w:after="0" w:line="4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occurs upon the earliest to occur after the date of this Agreement of any of the following events:</w:t>
      </w:r>
    </w:p>
    <w:p>
      <w:pPr>
        <w:spacing w:after="0" w:line="121" w:lineRule="exact"/>
        <w:rPr>
          <w:rFonts w:ascii="Times New Roman" w:cs="Times New Roman" w:eastAsia="Times New Roman" w:hAnsi="Times New Roman"/>
          <w:sz w:val="18"/>
          <w:szCs w:val="18"/>
          <w:color w:val="auto"/>
        </w:rPr>
      </w:pPr>
    </w:p>
    <w:p>
      <w:pPr>
        <w:ind w:firstLine="1428"/>
        <w:spacing w:after="0" w:line="261" w:lineRule="auto"/>
        <w:tabs>
          <w:tab w:leader="none" w:pos="15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71" w:lineRule="exact"/>
        <w:rPr>
          <w:rFonts w:ascii="Times New Roman" w:cs="Times New Roman" w:eastAsia="Times New Roman" w:hAnsi="Times New Roman"/>
          <w:sz w:val="18"/>
          <w:szCs w:val="18"/>
          <w:color w:val="auto"/>
        </w:rPr>
      </w:pPr>
    </w:p>
    <w:p>
      <w:pPr>
        <w:ind w:right="40" w:firstLine="1428"/>
        <w:spacing w:after="0" w:line="256" w:lineRule="auto"/>
        <w:tabs>
          <w:tab w:leader="none" w:pos="162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7" w:name="page108"/>
    <w:bookmarkEnd w:id="107"/>
    <w:p>
      <w:pPr>
        <w:ind w:right="20" w:firstLine="1428"/>
        <w:spacing w:after="0" w:line="258" w:lineRule="auto"/>
        <w:tabs>
          <w:tab w:leader="none" w:pos="16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3" w:lineRule="exact"/>
        <w:rPr>
          <w:rFonts w:ascii="Times New Roman" w:cs="Times New Roman" w:eastAsia="Times New Roman" w:hAnsi="Times New Roman"/>
          <w:sz w:val="18"/>
          <w:szCs w:val="18"/>
          <w:color w:val="auto"/>
        </w:rPr>
      </w:pPr>
    </w:p>
    <w:p>
      <w:pPr>
        <w:ind w:right="40" w:firstLine="1428"/>
        <w:spacing w:after="0" w:line="282" w:lineRule="auto"/>
        <w:tabs>
          <w:tab w:leader="none" w:pos="16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The approval by the stockholders of the Company of a complete liquidation of the Company or an agreement for the sale or disposition by the Company of all or substantially all of the Company’s assets; and</w:t>
      </w:r>
    </w:p>
    <w:p>
      <w:pPr>
        <w:spacing w:after="0" w:line="161" w:lineRule="exact"/>
        <w:rPr>
          <w:rFonts w:ascii="Times New Roman" w:cs="Times New Roman" w:eastAsia="Times New Roman" w:hAnsi="Times New Roman"/>
          <w:sz w:val="18"/>
          <w:szCs w:val="18"/>
          <w:color w:val="auto"/>
        </w:rPr>
      </w:pPr>
    </w:p>
    <w:p>
      <w:pPr>
        <w:ind w:right="100" w:firstLine="1428"/>
        <w:spacing w:after="0" w:line="266" w:lineRule="auto"/>
        <w:tabs>
          <w:tab w:leader="none" w:pos="1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5"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2(b), the following terms have the following meanings:</w:t>
      </w:r>
    </w:p>
    <w:p>
      <w:pPr>
        <w:spacing w:after="0" w:line="127" w:lineRule="exact"/>
        <w:rPr>
          <w:sz w:val="20"/>
          <w:szCs w:val="20"/>
          <w:color w:val="auto"/>
        </w:rPr>
      </w:pPr>
    </w:p>
    <w:p>
      <w:pPr>
        <w:ind w:left="2400" w:hanging="433"/>
        <w:spacing w:after="0"/>
        <w:tabs>
          <w:tab w:leader="none" w:pos="2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131" w:lineRule="exact"/>
        <w:rPr>
          <w:sz w:val="20"/>
          <w:szCs w:val="20"/>
          <w:color w:val="auto"/>
        </w:rPr>
      </w:pPr>
    </w:p>
    <w:p>
      <w:pPr>
        <w:ind w:left="2400" w:hanging="433"/>
        <w:spacing w:after="0" w:line="262" w:lineRule="auto"/>
        <w:tabs>
          <w:tab w:leader="none" w:pos="2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p>
      <w:pPr>
        <w:spacing w:after="0" w:line="82" w:lineRule="exact"/>
        <w:rPr>
          <w:sz w:val="20"/>
          <w:szCs w:val="20"/>
          <w:color w:val="auto"/>
        </w:rPr>
      </w:pPr>
    </w:p>
    <w:p>
      <w:pPr>
        <w:jc w:val="both"/>
        <w:ind w:left="2400" w:right="200" w:hanging="433"/>
        <w:spacing w:after="0" w:line="268" w:lineRule="auto"/>
        <w:tabs>
          <w:tab w:leader="none" w:pos="24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acting as a director, officer, employee, or Agent of the Company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w:t>
      </w:r>
    </w:p>
    <w:p>
      <w:pPr>
        <w:spacing w:after="0" w:line="94" w:lineRule="exact"/>
        <w:rPr>
          <w:rFonts w:ascii="Times New Roman" w:cs="Times New Roman" w:eastAsia="Times New Roman" w:hAnsi="Times New Roman"/>
          <w:sz w:val="18"/>
          <w:szCs w:val="18"/>
          <w:color w:val="auto"/>
        </w:rPr>
      </w:pPr>
    </w:p>
    <w:p>
      <w:pPr>
        <w:ind w:right="560" w:firstLine="987"/>
        <w:spacing w:after="0" w:line="28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46" w:lineRule="exact"/>
        <w:rPr>
          <w:rFonts w:ascii="Times New Roman" w:cs="Times New Roman" w:eastAsia="Times New Roman" w:hAnsi="Times New Roman"/>
          <w:sz w:val="18"/>
          <w:szCs w:val="18"/>
          <w:color w:val="auto"/>
        </w:rPr>
      </w:pPr>
    </w:p>
    <w:p>
      <w:pPr>
        <w:ind w:right="220" w:firstLine="987"/>
        <w:spacing w:after="0" w:line="286"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means any other corporation, limited liability company, partnership, joint venture, trust, employee benefit plan or other entity for which Indemnitee is or was serving at the request of the Company as a director, officer, employee, or Agent.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8" w:name="page109"/>
    <w:bookmarkEnd w:id="108"/>
    <w:p>
      <w:pPr>
        <w:ind w:left="4" w:firstLine="987"/>
        <w:spacing w:after="0" w:line="270" w:lineRule="auto"/>
        <w:tabs>
          <w:tab w:leader="none" w:pos="12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Expenses</w:t>
      </w:r>
      <w:r>
        <w:rPr>
          <w:rFonts w:ascii="Times New Roman" w:cs="Times New Roman" w:eastAsia="Times New Roman" w:hAnsi="Times New Roman"/>
          <w:sz w:val="17"/>
          <w:szCs w:val="17"/>
          <w:color w:val="auto"/>
        </w:rPr>
        <w:t>”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prosecuting, defending, preparing to prosecute or defend, investigating, being or preparing to be a witness in, or otherwise participating in, a Proceeding. Expenses also include</w:t>
      </w:r>
    </w:p>
    <w:p>
      <w:pPr>
        <w:spacing w:after="0" w:line="2" w:lineRule="exact"/>
        <w:rPr>
          <w:rFonts w:ascii="Times New Roman" w:cs="Times New Roman" w:eastAsia="Times New Roman" w:hAnsi="Times New Roman"/>
          <w:sz w:val="17"/>
          <w:szCs w:val="17"/>
          <w:color w:val="auto"/>
        </w:rPr>
      </w:pPr>
    </w:p>
    <w:p>
      <w:pPr>
        <w:ind w:left="4" w:right="80" w:hanging="4"/>
        <w:spacing w:after="0" w:line="253"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74" w:lineRule="exact"/>
        <w:rPr>
          <w:rFonts w:ascii="Times New Roman" w:cs="Times New Roman" w:eastAsia="Times New Roman" w:hAnsi="Times New Roman"/>
          <w:sz w:val="18"/>
          <w:szCs w:val="18"/>
          <w:color w:val="auto"/>
        </w:rPr>
      </w:pPr>
    </w:p>
    <w:p>
      <w:pPr>
        <w:ind w:left="4" w:right="140" w:firstLine="987"/>
        <w:spacing w:after="0" w:line="274" w:lineRule="auto"/>
        <w:tabs>
          <w:tab w:leader="none" w:pos="12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ind w:left="4" w:right="100" w:hanging="4"/>
        <w:spacing w:after="0" w:line="253" w:lineRule="auto"/>
        <w:tabs>
          <w:tab w:leader="none" w:pos="2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w:t>
      </w:r>
    </w:p>
    <w:p>
      <w:pPr>
        <w:spacing w:after="0" w:line="76"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9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66" w:right="559" w:bottom="1440" w:gutter="0" w:footer="0" w:header="0"/>
        </w:sectPr>
      </w:pPr>
    </w:p>
    <w:bookmarkStart w:id="109" w:name="page110"/>
    <w:bookmarkEnd w:id="10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Court of Chancery of the state of Delaware (the “</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8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xml:space="preserve">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0" w:name="page111"/>
    <w:bookmarkEnd w:id="110"/>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Additional Indemnification.</w:t>
      </w:r>
      <w:r>
        <w:rPr>
          <w:rFonts w:ascii="Times New Roman" w:cs="Times New Roman" w:eastAsia="Times New Roman" w:hAnsi="Times New Roman"/>
          <w:sz w:val="18"/>
          <w:szCs w:val="18"/>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xml:space="preserve"> Notwithstanding any provision in this Agreement, the Company is not obligated under this Agreement to indemnify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 for:</w:t>
      </w:r>
    </w:p>
    <w:p>
      <w:pPr>
        <w:spacing w:after="0" w:line="99" w:lineRule="exact"/>
        <w:rPr>
          <w:sz w:val="20"/>
          <w:szCs w:val="20"/>
          <w:color w:val="auto"/>
        </w:rPr>
      </w:pPr>
    </w:p>
    <w:p>
      <w:pPr>
        <w:ind w:right="180" w:firstLine="987"/>
        <w:spacing w:after="0" w:line="266"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amount actually paid to or on behalf of Indemnitee under any insurance policy or other indemnity provision, except to the extent provided in Section 15(b) of this Agreement and except with respect to any excess beyond the amount paid under any insurance policy or other indemnity provision;</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of profits made from the purchase and sale (or sale and purchase) by Indemnitee of securities of the Company within the meaning of Section 16(b) of the Exchange Act or similar provisions of state statutory law or common law;</w:t>
      </w:r>
    </w:p>
    <w:p>
      <w:pPr>
        <w:spacing w:after="0" w:line="53"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Sarbanes-Oxley Act);</w:t>
      </w:r>
    </w:p>
    <w:p>
      <w:pPr>
        <w:spacing w:after="0" w:line="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67"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Advances of Expenses.</w:t>
      </w:r>
    </w:p>
    <w:p>
      <w:pPr>
        <w:spacing w:after="0" w:line="117" w:lineRule="exact"/>
        <w:rPr>
          <w:sz w:val="20"/>
          <w:szCs w:val="20"/>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advance, to the extent not prohibited by law, the Expenses incurred by Indemnitee in connection with:</w:t>
      </w:r>
    </w:p>
    <w:p>
      <w:pPr>
        <w:spacing w:after="0" w:line="117" w:lineRule="exact"/>
        <w:rPr>
          <w:rFonts w:ascii="Times New Roman" w:cs="Times New Roman" w:eastAsia="Times New Roman" w:hAnsi="Times New Roman"/>
          <w:sz w:val="18"/>
          <w:szCs w:val="18"/>
          <w:color w:val="auto"/>
        </w:rPr>
      </w:pPr>
    </w:p>
    <w:p>
      <w:pPr>
        <w:ind w:left="1560" w:hanging="132"/>
        <w:spacing w:after="0"/>
        <w:tabs>
          <w:tab w:leader="none" w:pos="15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(or any part of any Proceeding) not initiated by Indemnitee;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11" w:name="page112"/>
    <w:bookmarkEnd w:id="111"/>
    <w:p>
      <w:pPr>
        <w:ind w:left="1180" w:hanging="192"/>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Proceeding (or any part of any Proceeding) initiated by Indemnitee if</w:t>
      </w:r>
    </w:p>
    <w:p>
      <w:pPr>
        <w:spacing w:after="0" w:line="117" w:lineRule="exact"/>
        <w:rPr>
          <w:rFonts w:ascii="Times New Roman" w:cs="Times New Roman" w:eastAsia="Times New Roman" w:hAnsi="Times New Roman"/>
          <w:sz w:val="18"/>
          <w:szCs w:val="18"/>
          <w:color w:val="auto"/>
        </w:rPr>
      </w:pPr>
    </w:p>
    <w:p>
      <w:pPr>
        <w:ind w:left="980" w:right="500" w:firstLine="38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Proceeding or part of any Proceeding is to enforce Indemnitee’s rights to obtain indemnification or advancement of Expenses from the Company or Enterprise, including a proceeding initiated pursuant to Section 14 of this Agreement, or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 the Board authorized the Proceeding (or any part of any Proceeding) prior to its initiation.</w:t>
      </w:r>
    </w:p>
    <w:p>
      <w:pPr>
        <w:spacing w:after="0" w:line="117" w:lineRule="exact"/>
        <w:rPr>
          <w:sz w:val="20"/>
          <w:szCs w:val="20"/>
          <w:color w:val="auto"/>
        </w:rPr>
      </w:pPr>
    </w:p>
    <w:p>
      <w:pPr>
        <w:jc w:val="both"/>
        <w:ind w:left="-440" w:right="660" w:firstLine="987"/>
        <w:spacing w:after="0" w:line="312" w:lineRule="auto"/>
        <w:tabs>
          <w:tab w:leader="none" w:pos="80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31" w:lineRule="exact"/>
        <w:rPr>
          <w:rFonts w:ascii="Times New Roman" w:cs="Times New Roman" w:eastAsia="Times New Roman" w:hAnsi="Times New Roman"/>
          <w:sz w:val="17"/>
          <w:szCs w:val="17"/>
          <w:color w:val="auto"/>
        </w:rPr>
      </w:pPr>
    </w:p>
    <w:p>
      <w:pPr>
        <w:ind w:left="-440" w:right="40" w:firstLine="987"/>
        <w:spacing w:after="0" w:line="258" w:lineRule="auto"/>
        <w:tabs>
          <w:tab w:leader="none" w:pos="7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Procedure for Notification of Claim for Indemnification or Advancement.</w:t>
      </w:r>
    </w:p>
    <w:p>
      <w:pPr>
        <w:spacing w:after="0" w:line="117" w:lineRule="exact"/>
        <w:rPr>
          <w:sz w:val="20"/>
          <w:szCs w:val="20"/>
          <w:color w:val="auto"/>
        </w:rPr>
      </w:pPr>
    </w:p>
    <w:p>
      <w:pPr>
        <w:ind w:left="-440" w:firstLine="987"/>
        <w:spacing w:after="0" w:line="254" w:lineRule="auto"/>
        <w:tabs>
          <w:tab w:leader="none" w:pos="7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8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Procedure Upon Application for Indemnification.</w:t>
      </w:r>
    </w:p>
    <w:p>
      <w:pPr>
        <w:spacing w:after="0" w:line="117" w:lineRule="exact"/>
        <w:rPr>
          <w:sz w:val="20"/>
          <w:szCs w:val="20"/>
          <w:color w:val="auto"/>
        </w:rPr>
      </w:pPr>
    </w:p>
    <w:p>
      <w:pPr>
        <w:ind w:left="800" w:hanging="253"/>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Change of Control has occurred, the determination of Indemnitee’s entitlement to indemnification will be made:</w:t>
      </w:r>
    </w:p>
    <w:p>
      <w:pPr>
        <w:spacing w:after="0" w:line="157" w:lineRule="exact"/>
        <w:rPr>
          <w:rFonts w:ascii="Times New Roman" w:cs="Times New Roman" w:eastAsia="Times New Roman" w:hAnsi="Times New Roman"/>
          <w:sz w:val="18"/>
          <w:szCs w:val="18"/>
          <w:color w:val="auto"/>
        </w:rPr>
      </w:pPr>
    </w:p>
    <w:p>
      <w:pPr>
        <w:ind w:left="4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2" w:name="page113"/>
    <w:bookmarkEnd w:id="112"/>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by a majority vote of the Disinterested Directors, even though less than a quorum of the Board;</w:t>
      </w:r>
    </w:p>
    <w:p>
      <w:pPr>
        <w:spacing w:after="0" w:line="117" w:lineRule="exact"/>
        <w:rPr>
          <w:sz w:val="20"/>
          <w:szCs w:val="20"/>
          <w:color w:val="auto"/>
        </w:rPr>
      </w:pPr>
    </w:p>
    <w:p>
      <w:pPr>
        <w:ind w:left="1620" w:hanging="192"/>
        <w:spacing w:after="0"/>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Disinterested Directors designated by a majority vote of the Disinterested Directors, even though less than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quorum of the Board;</w:t>
      </w:r>
    </w:p>
    <w:p>
      <w:pPr>
        <w:spacing w:after="0" w:line="98" w:lineRule="exact"/>
        <w:rPr>
          <w:rFonts w:ascii="Times New Roman" w:cs="Times New Roman" w:eastAsia="Times New Roman" w:hAnsi="Times New Roman"/>
          <w:sz w:val="18"/>
          <w:szCs w:val="18"/>
          <w:color w:val="auto"/>
        </w:rPr>
      </w:pPr>
    </w:p>
    <w:p>
      <w:pPr>
        <w:ind w:right="780" w:firstLine="1428"/>
        <w:spacing w:after="0" w:line="282" w:lineRule="auto"/>
        <w:tabs>
          <w:tab w:leader="none" w:pos="167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such Disinterested Directors or, if such Disinterested Directors so direct, by written opinion provided by Independent Counsel selected by the Board; or</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directed by the Board, by the stockholders of the Company.</w:t>
      </w:r>
    </w:p>
    <w:p>
      <w:pPr>
        <w:spacing w:after="0" w:line="117"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53"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selecting Independent Counsel pursuant to Section 12(a)(iii) or (b) of this Agreement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of this Agreement and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3" w:name="page114"/>
    <w:bookmarkEnd w:id="113"/>
    <w:p>
      <w:pPr>
        <w:ind w:left="-20" w:firstLine="987"/>
        <w:spacing w:after="0" w:line="282"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it is determined that Indemnitee is entitled to indemnification, the Company will make payment to Indemnitee within thirty (30) days after such determination.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Presumptions and Effect of Certain Proceedings.</w:t>
      </w:r>
    </w:p>
    <w:p>
      <w:pPr>
        <w:spacing w:after="0" w:line="117" w:lineRule="exact"/>
        <w:rPr>
          <w:sz w:val="20"/>
          <w:szCs w:val="20"/>
          <w:color w:val="auto"/>
        </w:rPr>
      </w:pPr>
    </w:p>
    <w:p>
      <w:pPr>
        <w:ind w:left="-20" w:right="40" w:firstLine="987"/>
        <w:spacing w:after="0" w:line="254" w:lineRule="auto"/>
        <w:tabs>
          <w:tab w:leader="none" w:pos="12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83" w:lineRule="exact"/>
        <w:rPr>
          <w:rFonts w:ascii="Times New Roman" w:cs="Times New Roman" w:eastAsia="Times New Roman" w:hAnsi="Times New Roman"/>
          <w:sz w:val="18"/>
          <w:szCs w:val="18"/>
          <w:color w:val="auto"/>
        </w:rPr>
      </w:pPr>
    </w:p>
    <w:p>
      <w:pPr>
        <w:ind w:left="-20" w:right="20" w:firstLine="987"/>
        <w:spacing w:after="0" w:line="252" w:lineRule="auto"/>
        <w:tabs>
          <w:tab w:leader="none" w:pos="12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determination of the Indemnitee’s entitlement to indemnification has not been made pursuant to Section 12 of this Agreement within sixty (60) days after the later of (i) receipt by the Company of Indemnitee’s request for indemnification pursuant to Section 11(a) of this Agreement and (ii) the final disposition of the Proceeding for which Indemnitee requested Indemnification (the “</w:t>
      </w:r>
      <w:r>
        <w:rPr>
          <w:rFonts w:ascii="Times New Roman" w:cs="Times New Roman" w:eastAsia="Times New Roman" w:hAnsi="Times New Roman"/>
          <w:sz w:val="18"/>
          <w:szCs w:val="18"/>
          <w:b w:val="1"/>
          <w:bCs w:val="1"/>
          <w:i w:val="1"/>
          <w:iCs w:val="1"/>
          <w:color w:val="auto"/>
        </w:rPr>
        <w:t>Determination Period</w:t>
      </w:r>
      <w:r>
        <w:rPr>
          <w:rFonts w:ascii="Times New Roman" w:cs="Times New Roman" w:eastAsia="Times New Roman" w:hAnsi="Times New Roman"/>
          <w:sz w:val="18"/>
          <w:szCs w:val="18"/>
          <w:color w:val="auto"/>
        </w:rPr>
        <w:t>”),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 (i) if the determination of entitlement to indemnification is to be made by the stockholders pursuant to Section 12(a)(iv)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114" w:name="page115"/>
    <w:bookmarkEnd w:id="114"/>
    <w:p>
      <w:pPr>
        <w:ind w:left="4" w:firstLine="987"/>
        <w:spacing w:after="0" w:line="258" w:lineRule="auto"/>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will be deemed to have acted in good faith if Indemnitee acted based on</w:t>
      </w:r>
    </w:p>
    <w:p>
      <w:pPr>
        <w:spacing w:after="0" w:line="27" w:lineRule="exact"/>
        <w:rPr>
          <w:rFonts w:ascii="Times New Roman" w:cs="Times New Roman" w:eastAsia="Times New Roman" w:hAnsi="Times New Roman"/>
          <w:sz w:val="18"/>
          <w:szCs w:val="18"/>
          <w:color w:val="auto"/>
        </w:rPr>
      </w:pPr>
    </w:p>
    <w:p>
      <w:pPr>
        <w:ind w:left="4" w:right="80" w:hanging="4"/>
        <w:spacing w:after="0" w:line="251" w:lineRule="auto"/>
        <w:tabs>
          <w:tab w:leader="none" w:pos="2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spacing w:after="0" w:line="85" w:lineRule="exact"/>
        <w:rPr>
          <w:rFonts w:ascii="Times New Roman" w:cs="Times New Roman" w:eastAsia="Times New Roman" w:hAnsi="Times New Roman"/>
          <w:sz w:val="18"/>
          <w:szCs w:val="18"/>
          <w:color w:val="auto"/>
        </w:rPr>
      </w:pPr>
    </w:p>
    <w:p>
      <w:pPr>
        <w:jc w:val="both"/>
        <w:ind w:left="4" w:right="280" w:firstLine="987"/>
        <w:spacing w:after="0" w:line="266" w:lineRule="auto"/>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person affiliated with the Company or an Enterprise (including, but not limited to, a director, officer, trustee, partner, managing member, Agent or employee) may not be imputed to Indemnitee for purposes of determining Indemnitee’s right to indemnification under this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Remedies of Indemnitee.</w:t>
      </w:r>
    </w:p>
    <w:p>
      <w:pPr>
        <w:spacing w:after="0" w:line="117" w:lineRule="exact"/>
        <w:rPr>
          <w:sz w:val="20"/>
          <w:szCs w:val="20"/>
          <w:color w:val="auto"/>
        </w:rPr>
      </w:pPr>
    </w:p>
    <w:p>
      <w:pPr>
        <w:ind w:left="4" w:right="480" w:firstLine="987"/>
        <w:spacing w:after="0" w:line="269" w:lineRule="auto"/>
        <w:tabs>
          <w:tab w:leader="none" w:pos="124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3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receipt by the Company of a written request therefor, (v) the Company does not indemnify Indemnitee pursuant to Section 3, 4, 7, or 8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 (180) days following the date on which Indemnitee first has the right to commence such Proceeding pursuant to this Section 14(a);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15" w:name="page116"/>
    <w:bookmarkEnd w:id="115"/>
    <w:p>
      <w:pPr>
        <w:ind w:right="80" w:firstLine="987"/>
        <w:spacing w:after="0" w:line="258"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is made pursuant to Section 12 of this Agreement that Indemnitee is entitled to indemnification, the Company will be bound by such determination in any judicial proceeding or arbitration commenced pursuant to this Section 14 unless (i) a made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71"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to the fullest extent not prohibited by law, precluded from asserting in any judicial proceeding or arbitration commenced pursuant to this Section 14 that the procedures and presumptions of this Agreement are not valid, binding, or enforceable and will stipulate in any such court or before any such arbitrator that the Company is bound by all the provisions of this Agreement.</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action were made in bad faith or frivolous, or that the Company is prohibited by law from indemnifying Indemnitee for such Expenses.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Non-exclusivity; Survival of Rights; Insurance; Subrogation.</w:t>
      </w:r>
    </w:p>
    <w:p>
      <w:pPr>
        <w:spacing w:after="0" w:line="117" w:lineRule="exact"/>
        <w:rPr>
          <w:sz w:val="20"/>
          <w:szCs w:val="20"/>
          <w:color w:val="auto"/>
        </w:rPr>
      </w:pPr>
    </w:p>
    <w:p>
      <w:pPr>
        <w:ind w:right="100" w:firstLine="987"/>
        <w:spacing w:after="0" w:line="261"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16" w:name="page117"/>
    <w:bookmarkEnd w:id="116"/>
    <w:p>
      <w:pPr>
        <w:ind w:right="20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63" w:lineRule="exact"/>
        <w:rPr>
          <w:sz w:val="20"/>
          <w:szCs w:val="20"/>
          <w:color w:val="auto"/>
        </w:rPr>
      </w:pPr>
    </w:p>
    <w:p>
      <w:pPr>
        <w:ind w:firstLine="987"/>
        <w:spacing w:after="0" w:line="258"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Indemnitee’s rights to indemnification, advancement of Expenses, and insurance is described by this subsection, subject to the provisions of subsection (d) of this Section 15 with respect to a Proceeding concerning Indemnitee’s Corporate Status with an Enterprise.</w:t>
      </w:r>
    </w:p>
    <w:p>
      <w:pPr>
        <w:spacing w:after="0" w:line="75" w:lineRule="exact"/>
        <w:rPr>
          <w:rFonts w:ascii="Times New Roman" w:cs="Times New Roman" w:eastAsia="Times New Roman" w:hAnsi="Times New Roman"/>
          <w:sz w:val="18"/>
          <w:szCs w:val="18"/>
          <w:color w:val="auto"/>
        </w:rPr>
      </w:pPr>
    </w:p>
    <w:p>
      <w:pPr>
        <w:ind w:left="1560" w:hanging="132"/>
        <w:spacing w:after="0"/>
        <w:tabs>
          <w:tab w:leader="none" w:pos="15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and agrees:</w:t>
      </w:r>
    </w:p>
    <w:p>
      <w:pPr>
        <w:spacing w:after="0" w:line="117" w:lineRule="exact"/>
        <w:rPr>
          <w:rFonts w:ascii="Times New Roman" w:cs="Times New Roman" w:eastAsia="Times New Roman" w:hAnsi="Times New Roman"/>
          <w:sz w:val="18"/>
          <w:szCs w:val="18"/>
          <w:color w:val="auto"/>
        </w:rPr>
      </w:pPr>
    </w:p>
    <w:p>
      <w:pPr>
        <w:ind w:right="200" w:firstLine="1979"/>
        <w:spacing w:after="0" w:line="266" w:lineRule="auto"/>
        <w:tabs>
          <w:tab w:leader="none" w:pos="217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w:t>
      </w:r>
    </w:p>
    <w:p>
      <w:pPr>
        <w:spacing w:after="0" w:line="67" w:lineRule="exact"/>
        <w:rPr>
          <w:rFonts w:ascii="Times New Roman" w:cs="Times New Roman" w:eastAsia="Times New Roman" w:hAnsi="Times New Roman"/>
          <w:sz w:val="18"/>
          <w:szCs w:val="18"/>
          <w:color w:val="auto"/>
        </w:rPr>
      </w:pPr>
    </w:p>
    <w:p>
      <w:pPr>
        <w:ind w:right="440" w:firstLine="1979"/>
        <w:spacing w:after="0" w:line="282" w:lineRule="auto"/>
        <w:tabs>
          <w:tab w:leader="none" w:pos="217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primarily liable for all indemnification or advancement of Expenses obligations for any Proceeding, whether created by law, the Bylaws, the Certificate of Incorporation, contract (including this Agreement) or otherwise;</w:t>
      </w:r>
    </w:p>
    <w:p>
      <w:pPr>
        <w:spacing w:after="0" w:line="53" w:lineRule="exact"/>
        <w:rPr>
          <w:rFonts w:ascii="Times New Roman" w:cs="Times New Roman" w:eastAsia="Times New Roman" w:hAnsi="Times New Roman"/>
          <w:sz w:val="18"/>
          <w:szCs w:val="18"/>
          <w:color w:val="auto"/>
        </w:rPr>
      </w:pPr>
    </w:p>
    <w:p>
      <w:pPr>
        <w:ind w:right="180" w:firstLine="1979"/>
        <w:spacing w:after="0" w:line="282" w:lineRule="auto"/>
        <w:tabs>
          <w:tab w:leader="none" w:pos="217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of any other Persons with whom or which Indemnitee may be associated to indemnify Indemnitee and/or advance Expenses to Indemnitee in respect of any proceeding are secondary to the Company’s obligations;</w:t>
      </w:r>
    </w:p>
    <w:p>
      <w:pPr>
        <w:spacing w:after="0" w:line="53" w:lineRule="exact"/>
        <w:rPr>
          <w:rFonts w:ascii="Times New Roman" w:cs="Times New Roman" w:eastAsia="Times New Roman" w:hAnsi="Times New Roman"/>
          <w:sz w:val="18"/>
          <w:szCs w:val="18"/>
          <w:color w:val="auto"/>
        </w:rPr>
      </w:pPr>
    </w:p>
    <w:p>
      <w:pPr>
        <w:ind w:right="200" w:firstLine="1979"/>
        <w:spacing w:after="0" w:line="266" w:lineRule="auto"/>
        <w:tabs>
          <w:tab w:leader="none" w:pos="217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or an insurer of any such Person; and</w:t>
      </w:r>
    </w:p>
    <w:p>
      <w:pPr>
        <w:spacing w:after="0" w:line="67" w:lineRule="exact"/>
        <w:rPr>
          <w:rFonts w:ascii="Times New Roman" w:cs="Times New Roman" w:eastAsia="Times New Roman" w:hAnsi="Times New Roman"/>
          <w:sz w:val="18"/>
          <w:szCs w:val="18"/>
          <w:color w:val="auto"/>
        </w:rPr>
      </w:pPr>
    </w:p>
    <w:p>
      <w:pPr>
        <w:ind w:right="40" w:firstLine="1428"/>
        <w:spacing w:after="0" w:line="256" w:lineRule="auto"/>
        <w:tabs>
          <w:tab w:leader="none" w:pos="162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irrevocably waives, relinquishes and releases (A) any other Person with whom or which Indemnitee may be associated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whether or not such claim, remedy or right arises in equity or under contract, statute or common law, including, without limitation, the right to take or receive from any Person, directly or indirectly, in cash or other property or by set-off or in any other manner, payment or security on account of such claim, remedy or right.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17" w:name="page118"/>
    <w:bookmarkEnd w:id="117"/>
    <w:p>
      <w:pPr>
        <w:ind w:left="-20" w:right="20" w:firstLine="1428"/>
        <w:spacing w:after="0" w:line="258" w:lineRule="auto"/>
        <w:tabs>
          <w:tab w:leader="none" w:pos="1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Expenses to any other Person with whom or which Indemnitee may be associated.</w:t>
      </w:r>
    </w:p>
    <w:p>
      <w:pPr>
        <w:spacing w:after="0" w:line="75" w:lineRule="exact"/>
        <w:rPr>
          <w:rFonts w:ascii="Times New Roman" w:cs="Times New Roman" w:eastAsia="Times New Roman" w:hAnsi="Times New Roman"/>
          <w:sz w:val="18"/>
          <w:szCs w:val="18"/>
          <w:color w:val="auto"/>
        </w:rPr>
      </w:pPr>
    </w:p>
    <w:p>
      <w:pPr>
        <w:ind w:left="-20" w:right="80" w:firstLine="1428"/>
        <w:spacing w:after="0" w:line="266" w:lineRule="auto"/>
        <w:tabs>
          <w:tab w:leader="none" w:pos="16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67" w:lineRule="exact"/>
        <w:rPr>
          <w:rFonts w:ascii="Times New Roman" w:cs="Times New Roman" w:eastAsia="Times New Roman" w:hAnsi="Times New Roman"/>
          <w:sz w:val="18"/>
          <w:szCs w:val="18"/>
          <w:color w:val="auto"/>
        </w:rPr>
      </w:pPr>
    </w:p>
    <w:p>
      <w:pPr>
        <w:ind w:left="-20" w:right="40" w:firstLine="1979"/>
        <w:spacing w:after="0" w:line="254" w:lineRule="auto"/>
        <w:tabs>
          <w:tab w:leader="none" w:pos="22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spacing w:after="0" w:line="80" w:lineRule="exact"/>
        <w:rPr>
          <w:rFonts w:ascii="Times New Roman" w:cs="Times New Roman" w:eastAsia="Times New Roman" w:hAnsi="Times New Roman"/>
          <w:sz w:val="18"/>
          <w:szCs w:val="18"/>
          <w:color w:val="auto"/>
        </w:rPr>
      </w:pPr>
    </w:p>
    <w:p>
      <w:pPr>
        <w:ind w:left="-20" w:firstLine="1979"/>
        <w:spacing w:after="0" w:line="255" w:lineRule="auto"/>
        <w:tabs>
          <w:tab w:leader="none" w:pos="22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60" w:top="270" w:right="479" w:bottom="1440" w:gutter="0" w:footer="0" w:header="0"/>
        </w:sectPr>
      </w:pPr>
    </w:p>
    <w:bookmarkStart w:id="118" w:name="page119"/>
    <w:bookmarkEnd w:id="118"/>
    <w:p>
      <w:pPr>
        <w:ind w:left="4" w:right="140" w:firstLine="987"/>
        <w:spacing w:after="0" w:line="261" w:lineRule="auto"/>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spacing w:after="0" w:line="18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If any provision or provisions of this Agreement is held to be invalid, illegal or unenforceable for any reason whatsoever:</w:t>
      </w:r>
    </w:p>
    <w:p>
      <w:pPr>
        <w:spacing w:after="0" w:line="39" w:lineRule="exact"/>
        <w:rPr>
          <w:sz w:val="20"/>
          <w:szCs w:val="20"/>
          <w:color w:val="auto"/>
        </w:rPr>
      </w:pPr>
    </w:p>
    <w:p>
      <w:pPr>
        <w:ind w:left="4" w:right="100" w:hanging="4"/>
        <w:spacing w:after="0" w:line="252" w:lineRule="auto"/>
        <w:tabs>
          <w:tab w:leader="none" w:pos="2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88"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Enforcement.</w:t>
      </w:r>
    </w:p>
    <w:p>
      <w:pPr>
        <w:spacing w:after="0" w:line="117" w:lineRule="exact"/>
        <w:rPr>
          <w:sz w:val="20"/>
          <w:szCs w:val="20"/>
          <w:color w:val="auto"/>
        </w:rPr>
      </w:pPr>
    </w:p>
    <w:p>
      <w:pPr>
        <w:ind w:left="4" w:right="80" w:firstLine="987"/>
        <w:spacing w:after="0" w:line="266" w:lineRule="auto"/>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director, officer, employee, or Agent of the Company.</w:t>
      </w:r>
    </w:p>
    <w:p>
      <w:pPr>
        <w:spacing w:after="0" w:line="67" w:lineRule="exact"/>
        <w:rPr>
          <w:rFonts w:ascii="Times New Roman" w:cs="Times New Roman" w:eastAsia="Times New Roman" w:hAnsi="Times New Roman"/>
          <w:sz w:val="18"/>
          <w:szCs w:val="18"/>
          <w:color w:val="auto"/>
        </w:rPr>
      </w:pPr>
    </w:p>
    <w:p>
      <w:pPr>
        <w:ind w:left="4" w:right="40" w:firstLine="987"/>
        <w:spacing w:after="0" w:line="281" w:lineRule="auto"/>
        <w:tabs>
          <w:tab w:leader="none" w:pos="125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19" w:name="page120"/>
    <w:bookmarkEnd w:id="119"/>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xml:space="preserve"> No supplement, modification or amendment of this Agreement is binding unless executed in writing by the parties hereto. No waiver of any of the provisions of this Agreement will be deemed to constitute a waiver of any other provision of this Agreement nor will any waiver constitute a continuing waiver.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Indemnitee, at the address indicated on the signature page of this Agreement, or such other address as Indemnitee provides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If to the Company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Name: Blaize Holdings,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Address: 4659 Golden Foothill Parkway, Suite 206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20" w:name="page121"/>
    <w:bookmarkEnd w:id="120"/>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Applicable Law and Consent to Jurisdiction.</w:t>
      </w:r>
      <w:r>
        <w:rPr>
          <w:rFonts w:ascii="Times New Roman" w:cs="Times New Roman" w:eastAsia="Times New Roman" w:hAnsi="Times New Roman"/>
          <w:sz w:val="18"/>
          <w:szCs w:val="18"/>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waive any objection to the laying of venue of any such action, claim, or proceeding in the Delaware Court, and (d) waive, and agree not to plead or to make, any claim that any such action, claim, or proceeding brought in the Delaware Court has been brought in an improper or inconvenient forum.</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xml:space="preserve">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of this Agreement are inserted for convenience only and do not constitute part of this Agreement or affect the construction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signed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tc>
        <w:tc>
          <w:tcPr>
            <w:tcW w:w="196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5"/>
        </w:trPr>
        <w:tc>
          <w:tcPr>
            <w:tcW w:w="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top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452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9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tcPr>
          <w:p>
            <w:pPr>
              <w:spacing w:after="0"/>
              <w:rPr>
                <w:sz w:val="19"/>
                <w:szCs w:val="19"/>
                <w:color w:val="auto"/>
              </w:rPr>
            </w:pPr>
          </w:p>
        </w:tc>
        <w:tc>
          <w:tcPr>
            <w:tcW w:w="36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2011 STOCK PLAN</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AS AMENDED AND RESTATED ON AUGUST 12, 2021</w:t>
      </w:r>
    </w:p>
    <w:p>
      <w:pPr>
        <w:sectPr>
          <w:pgSz w:w="11900" w:h="16838" w:orient="portrait"/>
          <w:cols w:equalWidth="0" w:num="1">
            <w:col w:w="10020"/>
          </w:cols>
          <w:pgMar w:left="1440" w:top="117" w:right="4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74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460" w:type="dxa"/>
            <w:vAlign w:val="bottom"/>
          </w:tcPr>
          <w:p>
            <w:pPr>
              <w:spacing w:after="0"/>
              <w:rPr>
                <w:sz w:val="20"/>
                <w:szCs w:val="20"/>
                <w:color w:val="auto"/>
              </w:rPr>
            </w:pPr>
          </w:p>
        </w:tc>
      </w:tr>
      <w:tr>
        <w:trPr>
          <w:trHeight w:val="408"/>
        </w:trPr>
        <w:tc>
          <w:tcPr>
            <w:tcW w:w="10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ESTABLISHMENT AND PURPOSE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Committees of the Board of Directors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(b)</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of the Board of Directors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SECTION 3.</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Rule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(b)</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Ten-Percent Stockholders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STOCK SUBJECT TO PLAN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Limitation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(b)</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TERMS AND CONDITIONS OF AWARDS OR SALES OF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Grant or Purchase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(b)</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Duration of Offers and Nontransferability of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TERMS AND CONDITIONS OF OPTIONS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(b)</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(d)</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and Exercisability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Term</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Service (Except by Death)</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(g)</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Leaves of Absence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(h)</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Death of Optionee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PAYMENT FOR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Rule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(b)</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 Rendered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Promissory Note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(d)</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Surrender of Stock</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Exercise/Sale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Exercise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(g)</w:t>
            </w: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Forms of Payment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TERMS AND CONDITIONS OF RESTRICTED STOCK UNITS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 Award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for Restricted Stock Units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Vesting Conditions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(d)</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Forfeiture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and Dividend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and Time of Settlement of Restricted Stock Units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(g)</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Death of Recipient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(h)</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Creditors’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3"/>
              </w:rPr>
              <w:t>(i)</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 Extension and Assumption of Restricted Stock Units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3"/>
              </w:rPr>
              <w:t>(j)</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Restrictions on Transfer of Restricted Stock Units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SECTION 9.</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OF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Transactions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Dissolution or Liquidation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(d)</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Reservation of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Law Requirements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Retention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Treatment as Compensation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(d)</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and Restrictions on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DURATION AND AMENDMENTS; STOCKHOLDER APPROVAL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of the Plan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to Amend or Terminate the Plan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Amendment or 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(d)</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 Approval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64"/>
        </w:trPr>
        <w:tc>
          <w:tcPr>
            <w:tcW w:w="1100" w:type="dxa"/>
            <w:vAlign w:val="bottom"/>
          </w:tcPr>
          <w:p>
            <w:pPr>
              <w:spacing w:after="0"/>
              <w:rPr>
                <w:sz w:val="24"/>
                <w:szCs w:val="24"/>
                <w:color w:val="auto"/>
              </w:rPr>
            </w:pPr>
          </w:p>
        </w:tc>
        <w:tc>
          <w:tcPr>
            <w:tcW w:w="740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ii</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4" w:name="page125"/>
    <w:bookmarkEnd w:id="124"/>
    <w:p>
      <w:pPr>
        <w:ind w:left="29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AMENDED AND RESTATED 2011 STOCK PLAN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80" w:firstLine="991"/>
        <w:spacing w:after="0" w:line="289" w:lineRule="auto"/>
        <w:rPr>
          <w:sz w:val="20"/>
          <w:szCs w:val="20"/>
          <w:color w:val="auto"/>
        </w:rPr>
      </w:pPr>
      <w:r>
        <w:rPr>
          <w:rFonts w:ascii="Times New Roman" w:cs="Times New Roman" w:eastAsia="Times New Roman" w:hAnsi="Times New Roman"/>
          <w:sz w:val="17"/>
          <w:szCs w:val="17"/>
          <w:color w:val="auto"/>
        </w:rPr>
        <w:t>The purpose of this Plan is to attract, incentivize and retain Employees, Outside Directors and Consultants through the grant of Awards. The Plan provides for the direct award or sale of Shares, the grant of Options to purchase Shares, and the grant of Restricted Stock Units to acquire Shares. Options granted under the Plan may be ISOs intended to qualify under Code Section 422 or NSOs which are not intended to so qualify.</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Capitalized terms are defined in Section 12.</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 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59" w:lineRule="auto"/>
        <w:tabs>
          <w:tab w:leader="none" w:pos="125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 of the Board of Directors</w:t>
      </w:r>
      <w:r>
        <w:rPr>
          <w:rFonts w:ascii="Times New Roman" w:cs="Times New Roman" w:eastAsia="Times New Roman" w:hAnsi="Times New Roman"/>
          <w:sz w:val="18"/>
          <w:szCs w:val="18"/>
          <w:color w:val="auto"/>
        </w:rPr>
        <w:t>. The Plan may be administered by one or more Committees. Each Committee shall consist,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w:t>
      </w:r>
    </w:p>
    <w:p>
      <w:pPr>
        <w:spacing w:after="0" w:line="71"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 of the Board of Directors</w:t>
      </w:r>
      <w:r>
        <w:rPr>
          <w:rFonts w:ascii="Times New Roman" w:cs="Times New Roman" w:eastAsia="Times New Roman" w:hAnsi="Times New Roman"/>
          <w:sz w:val="18"/>
          <w:szCs w:val="18"/>
          <w:color w:val="auto"/>
        </w:rPr>
        <w:t>. Subject to the provisions of the Plan, the Board of Directors shall have full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 ELIGIBILITY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15" w:lineRule="auto"/>
        <w:tabs>
          <w:tab w:leader="none" w:pos="125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Rule</w:t>
      </w:r>
      <w:r>
        <w:rPr>
          <w:rFonts w:ascii="Times New Roman" w:cs="Times New Roman" w:eastAsia="Times New Roman" w:hAnsi="Times New Roman"/>
          <w:sz w:val="18"/>
          <w:szCs w:val="18"/>
          <w:color w:val="auto"/>
        </w:rPr>
        <w:t>. Employees, Outside Directors and Consultants shall be eligible for the grant of Awards under the Plan.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shall be eligible for the grant of ISOs.</w:t>
      </w:r>
    </w:p>
    <w:p>
      <w:pPr>
        <w:spacing w:after="0" w:line="86" w:lineRule="exact"/>
        <w:rPr>
          <w:rFonts w:ascii="Times New Roman" w:cs="Times New Roman" w:eastAsia="Times New Roman" w:hAnsi="Times New Roman"/>
          <w:sz w:val="18"/>
          <w:szCs w:val="18"/>
          <w:b w:val="1"/>
          <w:bCs w:val="1"/>
          <w:color w:val="auto"/>
        </w:rPr>
      </w:pPr>
    </w:p>
    <w:p>
      <w:pPr>
        <w:jc w:val="both"/>
        <w:ind w:left="4" w:right="80" w:firstLine="987"/>
        <w:spacing w:after="0" w:line="274" w:lineRule="auto"/>
        <w:tabs>
          <w:tab w:leader="none" w:pos="126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Ten-Percent Stockholders</w:t>
      </w:r>
      <w:r>
        <w:rPr>
          <w:rFonts w:ascii="Times New Roman" w:cs="Times New Roman" w:eastAsia="Times New Roman" w:hAnsi="Times New Roman"/>
          <w:sz w:val="17"/>
          <w:szCs w:val="17"/>
          <w:color w:val="auto"/>
        </w:rPr>
        <w:t>. A person who owns more than 10% of the total combined voting power of all classes of outstanding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w:t>
      </w: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purposes of this Subsection (b), in determining stock ownership, the attribution rules of Code Section 424(d) shall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that special considerations apply if the Company proposes to grant awards to an Employee or Consultant of a Parent company.</w:t>
      </w:r>
    </w:p>
    <w:p>
      <w:pPr>
        <w:sectPr>
          <w:pgSz w:w="11900" w:h="16838" w:orient="portrait"/>
          <w:cols w:equalWidth="0" w:num="1">
            <w:col w:w="11024"/>
          </w:cols>
          <w:pgMar w:left="436" w:top="266" w:right="439" w:bottom="1440" w:gutter="0" w:footer="0" w:header="0"/>
        </w:sectPr>
      </w:pPr>
    </w:p>
    <w:bookmarkStart w:id="125" w:name="page126"/>
    <w:bookmarkEnd w:id="12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STOCK SUBJECT TO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37" w:lineRule="auto"/>
        <w:tabs>
          <w:tab w:leader="none" w:pos="125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Basic Limitation</w:t>
      </w:r>
      <w:r>
        <w:rPr>
          <w:rFonts w:ascii="Times New Roman" w:cs="Times New Roman" w:eastAsia="Times New Roman" w:hAnsi="Times New Roman"/>
          <w:sz w:val="17"/>
          <w:szCs w:val="17"/>
          <w:color w:val="auto"/>
        </w:rPr>
        <w:t>. Not more than 20,596,615 Shares may be issued under the Plan, subject to Subsection (b) below and Section 9(a).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of these Shares may be issued upon the exercise of ISOs. The Company, during the term of the Plan, shall at all times reserve and keep available sufficient Shares to satisfy the requirements of the Plan. Shares offered under the Plan may be authorized but unissued Shares or treasury Shares.</w:t>
      </w:r>
    </w:p>
    <w:p>
      <w:pPr>
        <w:spacing w:after="0" w:line="86" w:lineRule="exact"/>
        <w:rPr>
          <w:rFonts w:ascii="Times New Roman" w:cs="Times New Roman" w:eastAsia="Times New Roman" w:hAnsi="Times New Roman"/>
          <w:sz w:val="17"/>
          <w:szCs w:val="17"/>
          <w:b w:val="1"/>
          <w:bCs w:val="1"/>
          <w:color w:val="auto"/>
        </w:rPr>
      </w:pPr>
    </w:p>
    <w:p>
      <w:pPr>
        <w:ind w:left="4" w:right="20" w:firstLine="987"/>
        <w:spacing w:after="0" w:line="255" w:lineRule="auto"/>
        <w:tabs>
          <w:tab w:leader="none" w:pos="125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In the event that Shares previously issued under the Plan are forfeited to or repurchased by the Company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Restricted Stock Unit or other right for any reason expires or is canceled, the Shares allocable to the unexercised or unsettled portion of such Option, Restricted Stock Unit or other right shall remain available for issuance under the Plan. To the extent an Award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TERMS AND CONDITIONS OF AWARDS OR SALES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7" w:lineRule="auto"/>
        <w:tabs>
          <w:tab w:leader="none" w:pos="125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Grant or Purchase Agreement</w:t>
      </w:r>
      <w:r>
        <w:rPr>
          <w:rFonts w:ascii="Times New Roman" w:cs="Times New Roman" w:eastAsia="Times New Roman" w:hAnsi="Times New Roman"/>
          <w:sz w:val="18"/>
          <w:szCs w:val="18"/>
          <w:color w:val="auto"/>
        </w:rPr>
        <w:t>. Each award of Shares under the Plan shall be evidenced by a Stock Grant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74" w:lineRule="exact"/>
        <w:rPr>
          <w:rFonts w:ascii="Times New Roman" w:cs="Times New Roman" w:eastAsia="Times New Roman" w:hAnsi="Times New Roman"/>
          <w:sz w:val="18"/>
          <w:szCs w:val="18"/>
          <w:b w:val="1"/>
          <w:bCs w:val="1"/>
          <w:color w:val="auto"/>
        </w:rPr>
      </w:pPr>
    </w:p>
    <w:p>
      <w:pPr>
        <w:ind w:left="4" w:right="100" w:firstLine="987"/>
        <w:spacing w:after="0" w:line="262" w:lineRule="auto"/>
        <w:tabs>
          <w:tab w:leader="none" w:pos="12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 of Offers and Nontransferability of Rights</w:t>
      </w:r>
      <w:r>
        <w:rPr>
          <w:rFonts w:ascii="Times New Roman" w:cs="Times New Roman" w:eastAsia="Times New Roman" w:hAnsi="Times New Roman"/>
          <w:sz w:val="18"/>
          <w:szCs w:val="18"/>
          <w:color w:val="auto"/>
        </w:rPr>
        <w:t>. Any right to purchase Shares under the Plan (other than an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expire if not exercised by the Purchaser within 30 days (or such other period as may be specified in the Award Agreement)after the grant of such right was communicated to the Purchaser by the Company. Such right is not transferable and may be exercised only by the Purchaser to whom such right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5464" w:right="2580" w:hanging="5464"/>
        <w:spacing w:after="0" w:line="334" w:lineRule="auto"/>
        <w:tabs>
          <w:tab w:leader="none" w:pos="433" w:val="left"/>
        </w:tabs>
        <w:numPr>
          <w:ilvl w:val="0"/>
          <w:numId w:val="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refer to Exhibit A for a schedule of the initial share reserve and any subsequent increases in the reserve. 2</w:t>
      </w:r>
    </w:p>
    <w:p>
      <w:pPr>
        <w:sectPr>
          <w:pgSz w:w="11900" w:h="16838" w:orient="portrait"/>
          <w:cols w:equalWidth="0" w:num="1">
            <w:col w:w="10964"/>
          </w:cols>
          <w:pgMar w:left="436" w:top="266" w:right="499" w:bottom="1440" w:gutter="0" w:footer="0" w:header="0"/>
        </w:sectPr>
      </w:pPr>
    </w:p>
    <w:bookmarkStart w:id="126" w:name="page127"/>
    <w:bookmarkEnd w:id="126"/>
    <w:p>
      <w:pPr>
        <w:ind w:right="20" w:firstLine="987"/>
        <w:spacing w:after="0" w:line="286" w:lineRule="auto"/>
        <w:tabs>
          <w:tab w:leader="none" w:pos="1236"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Price</w:t>
      </w:r>
      <w:r>
        <w:rPr>
          <w:rFonts w:ascii="Times New Roman" w:cs="Times New Roman" w:eastAsia="Times New Roman" w:hAnsi="Times New Roman"/>
          <w:sz w:val="18"/>
          <w:szCs w:val="18"/>
          <w:color w:val="auto"/>
        </w:rPr>
        <w:t>. The Board of Directors shall determine the Purchase Price of Shares to be offered under the Plan at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shall be payable in a form described in Section 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TERMS AND CONDITIONS OF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87"/>
        <w:spacing w:after="0" w:line="262" w:lineRule="auto"/>
        <w:tabs>
          <w:tab w:leader="none" w:pos="1246"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Each grant of an Option under the Plan shall be evidenced by a Stock Option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68"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56"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Each Stock Option Agreement shall specify the number of Shares that are subject to the Option and shall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adjustment of such number in accordance with Section 9. The Stock Option Agreement shall also specify whether the Option is an ISO or an NSO.</w:t>
      </w:r>
    </w:p>
    <w:p>
      <w:pPr>
        <w:spacing w:after="0" w:line="62"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980" w:right="40" w:firstLine="408"/>
        <w:spacing w:after="0" w:line="268" w:lineRule="auto"/>
        <w:tabs>
          <w:tab w:leader="none" w:pos="159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Each Stock Option Agreement shall specify the Exercise Price, which shall be payable in a form described in 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remaining provisions of this Subsection (c), the Exercise Price shall be determined by the Board of Directors in its sole discretion.</w:t>
      </w:r>
    </w:p>
    <w:p>
      <w:pPr>
        <w:spacing w:after="0" w:line="62" w:lineRule="exact"/>
        <w:rPr>
          <w:rFonts w:ascii="Times New Roman" w:cs="Times New Roman" w:eastAsia="Times New Roman" w:hAnsi="Times New Roman"/>
          <w:sz w:val="18"/>
          <w:szCs w:val="18"/>
          <w:color w:val="auto"/>
        </w:rPr>
      </w:pPr>
    </w:p>
    <w:p>
      <w:pPr>
        <w:ind w:left="980" w:right="40" w:firstLine="408"/>
        <w:spacing w:after="0" w:line="268" w:lineRule="auto"/>
        <w:tabs>
          <w:tab w:leader="none" w:pos="16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The Exercise Price of an ISO shall not be less than 100% of the Fair Market Value of a Share on the Date of Grant,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percentage may be required by Section 3(b). This Subsection (c)(ii) shall not apply to an ISO granted pursuant to an assumption of, or substitution for, another incentive stock option in a manner that complies with Code Section 424(a).</w:t>
      </w:r>
    </w:p>
    <w:p>
      <w:pPr>
        <w:spacing w:after="0" w:line="62" w:lineRule="exact"/>
        <w:rPr>
          <w:rFonts w:ascii="Times New Roman" w:cs="Times New Roman" w:eastAsia="Times New Roman" w:hAnsi="Times New Roman"/>
          <w:sz w:val="18"/>
          <w:szCs w:val="18"/>
          <w:color w:val="auto"/>
        </w:rPr>
      </w:pPr>
    </w:p>
    <w:p>
      <w:pPr>
        <w:ind w:left="980" w:right="20" w:firstLine="408"/>
        <w:spacing w:after="0" w:line="259" w:lineRule="auto"/>
        <w:tabs>
          <w:tab w:leader="none" w:pos="169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NSOs</w:t>
      </w:r>
      <w:r>
        <w:rPr>
          <w:rFonts w:ascii="Times New Roman" w:cs="Times New Roman" w:eastAsia="Times New Roman" w:hAnsi="Times New Roman"/>
          <w:sz w:val="18"/>
          <w:szCs w:val="18"/>
          <w:color w:val="auto"/>
        </w:rPr>
        <w:t>. Except as specifically set forth in this Subsection (c)(iii), the Exercise Price of an NSO shall not be less than 100%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Market Value of a Share on the Date of Grant. This Subsection (c)(iii) shall not apply to an NSO granted to a person who is not a U.S. taxpayer on the Date of Grant or to an NSO that is intended either to be exempt from Code Section 409A as a “short-term deferral” or to comply with the requirements of Code Section 409A. In addition, this Subsection (c)(iii) shall not apply to an NSO granted pursuant to an assumption of, or substitution for, another stock option in a manner that complies with Code Section 409A.</w:t>
      </w:r>
    </w:p>
    <w:p>
      <w:pPr>
        <w:spacing w:after="0" w:line="71" w:lineRule="exact"/>
        <w:rPr>
          <w:rFonts w:ascii="Times New Roman" w:cs="Times New Roman" w:eastAsia="Times New Roman" w:hAnsi="Times New Roman"/>
          <w:sz w:val="18"/>
          <w:szCs w:val="18"/>
          <w:color w:val="auto"/>
        </w:rPr>
      </w:pPr>
    </w:p>
    <w:p>
      <w:pPr>
        <w:ind w:firstLine="987"/>
        <w:spacing w:after="0" w:line="262" w:lineRule="auto"/>
        <w:tabs>
          <w:tab w:leader="none" w:pos="1256"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Exercisability</w:t>
      </w:r>
      <w:r>
        <w:rPr>
          <w:rFonts w:ascii="Times New Roman" w:cs="Times New Roman" w:eastAsia="Times New Roman" w:hAnsi="Times New Roman"/>
          <w:sz w:val="18"/>
          <w:szCs w:val="18"/>
          <w:color w:val="auto"/>
        </w:rPr>
        <w:t>. Each Stock Option Agreement shall specify the date when all or any installment of the Option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27" w:name="page128"/>
    <w:bookmarkEnd w:id="127"/>
    <w:p>
      <w:pPr>
        <w:jc w:val="both"/>
        <w:ind w:right="260" w:firstLine="987"/>
        <w:spacing w:after="0" w:line="268" w:lineRule="auto"/>
        <w:tabs>
          <w:tab w:leader="none" w:pos="123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Basic Term</w:t>
      </w:r>
      <w:r>
        <w:rPr>
          <w:rFonts w:ascii="Times New Roman" w:cs="Times New Roman" w:eastAsia="Times New Roman" w:hAnsi="Times New Roman"/>
          <w:sz w:val="18"/>
          <w:szCs w:val="18"/>
          <w:color w:val="auto"/>
        </w:rPr>
        <w:t>. The Stock Option Agreement shall specify the term of the Option. The term shall not exceed 10 years from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in the case of an ISO, a shorter term may be required by Section 3(b). Subject to the preceding sentence, the Board of Directors at its sole discretion shall determine when an Option is to expire.</w:t>
      </w:r>
    </w:p>
    <w:p>
      <w:pPr>
        <w:spacing w:after="0" w:line="62"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21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an Optionee’s Service terminates for any reason other than the Optionee’s death,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Optionee’s Options shall expire on the earliest of the following dates:</w:t>
      </w:r>
    </w:p>
    <w:p>
      <w:pPr>
        <w:spacing w:after="0" w:line="50" w:lineRule="exact"/>
        <w:rPr>
          <w:rFonts w:ascii="Times New Roman" w:cs="Times New Roman" w:eastAsia="Times New Roman" w:hAnsi="Times New Roman"/>
          <w:sz w:val="18"/>
          <w:szCs w:val="18"/>
          <w:b w:val="1"/>
          <w:bCs w:val="1"/>
          <w:color w:val="auto"/>
        </w:rPr>
      </w:pPr>
    </w:p>
    <w:p>
      <w:pPr>
        <w:ind w:left="1600" w:hanging="212"/>
        <w:spacing w:after="0"/>
        <w:tabs>
          <w:tab w:leader="none" w:pos="16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(e) above;</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312" w:lineRule="auto"/>
        <w:tabs>
          <w:tab w:leader="none" w:pos="1646"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three months after the termination of the Optionee’s Service for any reason other than Disability, or such earlier or later date as the Board of Directors may determine (but in no event earlier than 30 days after the termination of the Optionee’s Service); or</w:t>
      </w:r>
    </w:p>
    <w:p>
      <w:pPr>
        <w:spacing w:after="0" w:line="31" w:lineRule="exact"/>
        <w:rPr>
          <w:rFonts w:ascii="Times New Roman" w:cs="Times New Roman" w:eastAsia="Times New Roman" w:hAnsi="Times New Roman"/>
          <w:sz w:val="17"/>
          <w:szCs w:val="17"/>
          <w:color w:val="auto"/>
        </w:rPr>
      </w:pPr>
    </w:p>
    <w:p>
      <w:pPr>
        <w:ind w:left="980" w:right="320" w:firstLine="408"/>
        <w:spacing w:after="0" w:line="282" w:lineRule="auto"/>
        <w:tabs>
          <w:tab w:leader="none" w:pos="16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 or such later date as the Board of Directors may determine.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w:t>
      </w:r>
    </w:p>
    <w:p>
      <w:pPr>
        <w:spacing w:after="0" w:line="82" w:lineRule="exact"/>
        <w:rPr>
          <w:sz w:val="20"/>
          <w:szCs w:val="20"/>
          <w:color w:val="auto"/>
        </w:rPr>
      </w:pPr>
    </w:p>
    <w:p>
      <w:pPr>
        <w:ind w:right="180" w:firstLine="987"/>
        <w:spacing w:after="0" w:line="268" w:lineRule="auto"/>
        <w:tabs>
          <w:tab w:leader="none" w:pos="124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Leaves of Absence</w:t>
      </w:r>
      <w:r>
        <w:rPr>
          <w:rFonts w:ascii="Times New Roman" w:cs="Times New Roman" w:eastAsia="Times New Roman" w:hAnsi="Times New Roman"/>
          <w:sz w:val="18"/>
          <w:szCs w:val="18"/>
          <w:color w:val="auto"/>
        </w:rPr>
        <w:t>. For purposes of Subsection (f) above, Service shall be deemed to continue while the Optionee is on a 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leave of absence, if such leave was approved by the Company in writing and if continued crediting of Service for this purpose is expressly required by the terms of such leave or by applicable law (as determined by the Company).</w:t>
      </w:r>
    </w:p>
    <w:p>
      <w:pPr>
        <w:spacing w:after="0" w:line="62"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of Optionee</w:t>
      </w:r>
      <w:r>
        <w:rPr>
          <w:rFonts w:ascii="Times New Roman" w:cs="Times New Roman" w:eastAsia="Times New Roman" w:hAnsi="Times New Roman"/>
          <w:sz w:val="18"/>
          <w:szCs w:val="18"/>
          <w:color w:val="auto"/>
        </w:rPr>
        <w:t>. If an Optionee dies while the Optionee is in Service, then the Optionee’s Options shall expire on the earlier of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dates:</w:t>
      </w:r>
    </w:p>
    <w:p>
      <w:pPr>
        <w:spacing w:after="0" w:line="98" w:lineRule="exact"/>
        <w:rPr>
          <w:rFonts w:ascii="Times New Roman" w:cs="Times New Roman" w:eastAsia="Times New Roman" w:hAnsi="Times New Roman"/>
          <w:sz w:val="18"/>
          <w:szCs w:val="18"/>
          <w:b w:val="1"/>
          <w:bCs w:val="1"/>
          <w:color w:val="auto"/>
        </w:rPr>
      </w:pPr>
    </w:p>
    <w:p>
      <w:pPr>
        <w:ind w:left="1600" w:hanging="212"/>
        <w:spacing w:after="0"/>
        <w:tabs>
          <w:tab w:leader="none" w:pos="1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(e) above;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28" w:name="page129"/>
    <w:bookmarkEnd w:id="128"/>
    <w:p>
      <w:pPr>
        <w:ind w:left="440" w:right="280" w:firstLine="948"/>
        <w:spacing w:after="0" w:line="282" w:lineRule="auto"/>
        <w:tabs>
          <w:tab w:leader="none" w:pos="16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12 months after the Optionee’s death, or such earlier or later date as the Board of Directors may determine (but in no event earlier than six months after the Optionee’s death).</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w:t>
      </w:r>
    </w:p>
    <w:p>
      <w:pPr>
        <w:spacing w:after="0" w:line="75" w:lineRule="exact"/>
        <w:rPr>
          <w:sz w:val="20"/>
          <w:szCs w:val="20"/>
          <w:color w:val="auto"/>
        </w:rPr>
      </w:pPr>
    </w:p>
    <w:p>
      <w:pPr>
        <w:jc w:val="both"/>
        <w:ind w:right="80" w:firstLine="987"/>
        <w:spacing w:after="0" w:line="262" w:lineRule="auto"/>
        <w:tabs>
          <w:tab w:leader="none" w:pos="124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of Options</w:t>
      </w:r>
      <w:r>
        <w:rPr>
          <w:rFonts w:ascii="Times New Roman" w:cs="Times New Roman" w:eastAsia="Times New Roman" w:hAnsi="Times New Roman"/>
          <w:sz w:val="18"/>
          <w:szCs w:val="18"/>
          <w:color w:val="auto"/>
        </w:rPr>
        <w:t>. An Option shall be transferable by the Optionee only by (i) a beneficiary designation, (ii) a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(iii) the laws of descent and distribution, except as provided in the next sentence. If the Board of Directors so provides, in a Stock Option Agreement or otherwise, an NSO may be transferable to the extent permitted by Rule 701 under the Securities Act. An ISO may be exercised during the lifetime of the Optionee only by the Optionee or by the Optionee’s guardian or legal representative.</w:t>
      </w:r>
    </w:p>
    <w:p>
      <w:pPr>
        <w:spacing w:after="0" w:line="68" w:lineRule="exact"/>
        <w:rPr>
          <w:rFonts w:ascii="Times New Roman" w:cs="Times New Roman" w:eastAsia="Times New Roman" w:hAnsi="Times New Roman"/>
          <w:sz w:val="18"/>
          <w:szCs w:val="18"/>
          <w:b w:val="1"/>
          <w:bCs w:val="1"/>
          <w:color w:val="auto"/>
        </w:rPr>
      </w:pPr>
    </w:p>
    <w:p>
      <w:pPr>
        <w:ind w:right="120" w:firstLine="987"/>
        <w:spacing w:after="0" w:line="268" w:lineRule="auto"/>
        <w:tabs>
          <w:tab w:leader="none" w:pos="125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Rights as a Stockholder</w:t>
      </w:r>
      <w:r>
        <w:rPr>
          <w:rFonts w:ascii="Times New Roman" w:cs="Times New Roman" w:eastAsia="Times New Roman" w:hAnsi="Times New Roman"/>
          <w:sz w:val="18"/>
          <w:szCs w:val="18"/>
          <w:color w:val="auto"/>
        </w:rPr>
        <w:t>. An Optionee, or a transferee of an Optionee, shall have no rights as a stockholder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the Optionee’s Option until such person submits a notice of exercise, pays the Exercise Price and satisfies all applicable withholding taxes pursuant to the terms of such Option.</w:t>
      </w:r>
    </w:p>
    <w:p>
      <w:pPr>
        <w:spacing w:after="0" w:line="62" w:lineRule="exact"/>
        <w:rPr>
          <w:rFonts w:ascii="Times New Roman" w:cs="Times New Roman" w:eastAsia="Times New Roman" w:hAnsi="Times New Roman"/>
          <w:sz w:val="18"/>
          <w:szCs w:val="18"/>
          <w:b w:val="1"/>
          <w:bCs w:val="1"/>
          <w:color w:val="auto"/>
        </w:rPr>
      </w:pPr>
    </w:p>
    <w:p>
      <w:pPr>
        <w:ind w:right="20" w:firstLine="987"/>
        <w:spacing w:after="0" w:line="273" w:lineRule="auto"/>
        <w:tabs>
          <w:tab w:leader="none" w:pos="1236"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Extension and Assumption of Options</w:t>
      </w:r>
      <w:r>
        <w:rPr>
          <w:rFonts w:ascii="Times New Roman" w:cs="Times New Roman" w:eastAsia="Times New Roman" w:hAnsi="Times New Roman"/>
          <w:sz w:val="17"/>
          <w:szCs w:val="17"/>
          <w:color w:val="auto"/>
        </w:rPr>
        <w:t>. Within the limitations of the Plan, the Board of Directors may modify, reprice,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employment or providing for additional forms of payment) but causes the Option to lose its tax-favored status (for example, as an ISO) shall not require the consent of the Optionee.</w:t>
      </w:r>
    </w:p>
    <w:p>
      <w:pPr>
        <w:spacing w:after="0" w:line="63" w:lineRule="exact"/>
        <w:rPr>
          <w:rFonts w:ascii="Times New Roman" w:cs="Times New Roman" w:eastAsia="Times New Roman" w:hAnsi="Times New Roman"/>
          <w:sz w:val="17"/>
          <w:szCs w:val="17"/>
          <w:b w:val="1"/>
          <w:bCs w:val="1"/>
          <w:color w:val="auto"/>
        </w:rPr>
      </w:pPr>
    </w:p>
    <w:p>
      <w:pPr>
        <w:ind w:right="20" w:firstLine="987"/>
        <w:spacing w:after="0" w:line="256" w:lineRule="auto"/>
        <w:tabs>
          <w:tab w:leader="none" w:pos="125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Company’s Right to Cancel Certain Options</w:t>
      </w:r>
      <w:r>
        <w:rPr>
          <w:rFonts w:ascii="Times New Roman" w:cs="Times New Roman" w:eastAsia="Times New Roman" w:hAnsi="Times New Roman"/>
          <w:sz w:val="18"/>
          <w:szCs w:val="18"/>
          <w:color w:val="auto"/>
        </w:rPr>
        <w:t>. Any other provision of the Plan or a Stock Option Agreement notwithstanding,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PAYMENT FOR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40" w:firstLine="987"/>
        <w:spacing w:after="0" w:line="268" w:lineRule="auto"/>
        <w:tabs>
          <w:tab w:leader="none" w:pos="124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Rule</w:t>
      </w:r>
      <w:r>
        <w:rPr>
          <w:rFonts w:ascii="Times New Roman" w:cs="Times New Roman" w:eastAsia="Times New Roman" w:hAnsi="Times New Roman"/>
          <w:sz w:val="18"/>
          <w:szCs w:val="18"/>
          <w:color w:val="auto"/>
        </w:rPr>
        <w:t>. The entire Purchase Price or Exercise Price of Shares issued under the Plan shall be payable in cash or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when such Shares are purchased, except as otherwise provided in this Section 7. In addition, the Board of Directors in its sole discretion may also permit payment through any of the methods described in (b) through (g) below:</w:t>
      </w:r>
    </w:p>
    <w:p>
      <w:pPr>
        <w:spacing w:after="0" w:line="62" w:lineRule="exact"/>
        <w:rPr>
          <w:rFonts w:ascii="Times New Roman" w:cs="Times New Roman" w:eastAsia="Times New Roman" w:hAnsi="Times New Roman"/>
          <w:sz w:val="18"/>
          <w:szCs w:val="18"/>
          <w:b w:val="1"/>
          <w:bCs w:val="1"/>
          <w:color w:val="auto"/>
        </w:rPr>
      </w:pPr>
    </w:p>
    <w:p>
      <w:pPr>
        <w:ind w:right="580" w:firstLine="987"/>
        <w:spacing w:after="0" w:line="286" w:lineRule="auto"/>
        <w:tabs>
          <w:tab w:leader="none" w:pos="125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Rendered</w:t>
      </w:r>
      <w:r>
        <w:rPr>
          <w:rFonts w:ascii="Times New Roman" w:cs="Times New Roman" w:eastAsia="Times New Roman" w:hAnsi="Times New Roman"/>
          <w:sz w:val="18"/>
          <w:szCs w:val="18"/>
          <w:color w:val="auto"/>
        </w:rPr>
        <w:t>. Shares may be awarded under the Plan in consideration of services rendered to the Company, a Parent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prior to the Award.</w:t>
      </w:r>
    </w:p>
    <w:p>
      <w:pPr>
        <w:spacing w:after="0" w:line="46" w:lineRule="exact"/>
        <w:rPr>
          <w:rFonts w:ascii="Times New Roman" w:cs="Times New Roman" w:eastAsia="Times New Roman" w:hAnsi="Times New Roman"/>
          <w:sz w:val="18"/>
          <w:szCs w:val="18"/>
          <w:b w:val="1"/>
          <w:bCs w:val="1"/>
          <w:color w:val="auto"/>
        </w:rPr>
      </w:pPr>
    </w:p>
    <w:p>
      <w:pPr>
        <w:ind w:right="60" w:firstLine="987"/>
        <w:spacing w:after="0" w:line="259" w:lineRule="auto"/>
        <w:tabs>
          <w:tab w:leader="none" w:pos="123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All or a portion of the Purchase Price or Exercise Price (as the case may be) of Shares issued under the Plan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pacing w:after="0" w:line="71" w:lineRule="exact"/>
        <w:rPr>
          <w:rFonts w:ascii="Times New Roman" w:cs="Times New Roman" w:eastAsia="Times New Roman" w:hAnsi="Times New Roman"/>
          <w:sz w:val="18"/>
          <w:szCs w:val="18"/>
          <w:b w:val="1"/>
          <w:bCs w:val="1"/>
          <w:color w:val="auto"/>
        </w:rPr>
      </w:pPr>
    </w:p>
    <w:p>
      <w:pPr>
        <w:ind w:right="20" w:firstLine="987"/>
        <w:spacing w:after="0" w:line="268" w:lineRule="auto"/>
        <w:tabs>
          <w:tab w:leader="none" w:pos="125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All or any part of the Exercise Price may be paid by surrendering, or attesting to the ownership of, Shares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already owned by the Optionee. Such Shares shall be surrendered to the Company in good form for transfer and shall be valued at their Fair Market Value as of the date when the Option is exercised.</w:t>
      </w:r>
    </w:p>
    <w:p>
      <w:pPr>
        <w:spacing w:after="0" w:line="62" w:lineRule="exact"/>
        <w:rPr>
          <w:rFonts w:ascii="Times New Roman" w:cs="Times New Roman" w:eastAsia="Times New Roman" w:hAnsi="Times New Roman"/>
          <w:sz w:val="18"/>
          <w:szCs w:val="18"/>
          <w:b w:val="1"/>
          <w:bCs w:val="1"/>
          <w:color w:val="auto"/>
        </w:rPr>
      </w:pPr>
    </w:p>
    <w:p>
      <w:pPr>
        <w:jc w:val="both"/>
        <w:ind w:right="220" w:firstLine="987"/>
        <w:spacing w:after="0" w:line="268" w:lineRule="auto"/>
        <w:tabs>
          <w:tab w:leader="none" w:pos="123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If the Stock is publicly traded, all or part of the Exercise Price and any withholding taxes may be paid by the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form prescribed by the Company) of an irrevocable direction to a securities broker approved by the Company to sell Shares and to deliver all or part of the sales proceeds to the Company.</w:t>
      </w:r>
    </w:p>
    <w:p>
      <w:pPr>
        <w:spacing w:after="0" w:line="62"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1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An Option may permit exercise through a “net exercise” arrangement pursuant to which the Company will reduce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of Shares issued upon exercise by the largest whole number of Shares having an aggregate Fair Market Value (determined by the Board of Directors as of the exercise date) that does not exceed the aggregate Exercise Price or the sum of the aggregate Exercise Price plus all or a portion of the minimum amount required to be withheld under applicable tax law (with the Company accepting from the Optionee payment of cash or cash equivalents to satisfy any remaining balance of the aggregate Exercise Price and, if applicable, any additional withholding obligation not satisfied through such reduction in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30" w:name="page131"/>
    <w:bookmarkEnd w:id="130"/>
    <w:p>
      <w:pPr>
        <w:ind w:left="4" w:right="120" w:firstLine="987"/>
        <w:spacing w:after="0" w:line="286" w:lineRule="auto"/>
        <w:tabs>
          <w:tab w:leader="none" w:pos="125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Forms of Payment</w:t>
      </w:r>
      <w:r>
        <w:rPr>
          <w:rFonts w:ascii="Times New Roman" w:cs="Times New Roman" w:eastAsia="Times New Roman" w:hAnsi="Times New Roman"/>
          <w:sz w:val="18"/>
          <w:szCs w:val="18"/>
          <w:color w:val="auto"/>
        </w:rPr>
        <w:t>. To the extent that an Award Agreement so provides, the Purchase Price or Exercise Price of Shares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may be paid in any other form permitted by the Delaware General Corporation Law, as amended.</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 TERMS AND CONDITIONS OF RESTRICTED STOCK UNITS</w:t>
      </w:r>
    </w:p>
    <w:p>
      <w:pPr>
        <w:spacing w:after="0" w:line="117" w:lineRule="exact"/>
        <w:rPr>
          <w:sz w:val="20"/>
          <w:szCs w:val="20"/>
          <w:color w:val="auto"/>
        </w:rPr>
      </w:pPr>
    </w:p>
    <w:p>
      <w:pPr>
        <w:ind w:left="4" w:right="200" w:firstLine="987"/>
        <w:spacing w:after="0" w:line="259" w:lineRule="auto"/>
        <w:tabs>
          <w:tab w:leader="none" w:pos="125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 Award Agreement</w:t>
      </w:r>
      <w:r>
        <w:rPr>
          <w:rFonts w:ascii="Times New Roman" w:cs="Times New Roman" w:eastAsia="Times New Roman" w:hAnsi="Times New Roman"/>
          <w:sz w:val="18"/>
          <w:szCs w:val="18"/>
          <w:color w:val="auto"/>
        </w:rPr>
        <w:t>. Each grant of Restricted Stock Units under the Plan shall be evidenced by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Award Agreement between the Participant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Award Agreement. The provisions of the various Restricted Stock Unit Award Agreements entered into under the Plan need not be identical.</w:t>
      </w:r>
    </w:p>
    <w:p>
      <w:pPr>
        <w:spacing w:after="0" w:line="71" w:lineRule="exact"/>
        <w:rPr>
          <w:rFonts w:ascii="Times New Roman" w:cs="Times New Roman" w:eastAsia="Times New Roman" w:hAnsi="Times New Roman"/>
          <w:sz w:val="18"/>
          <w:szCs w:val="18"/>
          <w:b w:val="1"/>
          <w:bCs w:val="1"/>
          <w:color w:val="auto"/>
        </w:rPr>
      </w:pPr>
    </w:p>
    <w:p>
      <w:pPr>
        <w:ind w:left="4" w:right="540" w:firstLine="987"/>
        <w:spacing w:after="0" w:line="286" w:lineRule="auto"/>
        <w:tabs>
          <w:tab w:leader="none" w:pos="126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for Restricted Stock Units</w:t>
      </w:r>
      <w:r>
        <w:rPr>
          <w:rFonts w:ascii="Times New Roman" w:cs="Times New Roman" w:eastAsia="Times New Roman" w:hAnsi="Times New Roman"/>
          <w:sz w:val="18"/>
          <w:szCs w:val="18"/>
          <w:color w:val="auto"/>
        </w:rPr>
        <w:t>. No cash consideration shall be required of the Participant in connection with the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w:t>
      </w:r>
    </w:p>
    <w:p>
      <w:pPr>
        <w:spacing w:after="0" w:line="46" w:lineRule="exact"/>
        <w:rPr>
          <w:rFonts w:ascii="Times New Roman" w:cs="Times New Roman" w:eastAsia="Times New Roman" w:hAnsi="Times New Roman"/>
          <w:sz w:val="18"/>
          <w:szCs w:val="18"/>
          <w:b w:val="1"/>
          <w:bCs w:val="1"/>
          <w:color w:val="auto"/>
        </w:rPr>
      </w:pPr>
    </w:p>
    <w:p>
      <w:pPr>
        <w:jc w:val="both"/>
        <w:ind w:left="4" w:right="280" w:firstLine="987"/>
        <w:spacing w:after="0" w:line="262" w:lineRule="auto"/>
        <w:tabs>
          <w:tab w:leader="none" w:pos="124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Conditions</w:t>
      </w:r>
      <w:r>
        <w:rPr>
          <w:rFonts w:ascii="Times New Roman" w:cs="Times New Roman" w:eastAsia="Times New Roman" w:hAnsi="Times New Roman"/>
          <w:sz w:val="18"/>
          <w:szCs w:val="18"/>
          <w:color w:val="auto"/>
        </w:rPr>
        <w:t>. Restricted Stock Units may or may not be subject to vesting, as determined in the discretion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Vesting may occur, in full or in installments, upon the satisfaction of the vesting conditions specified in the Restricted Stock Unit Award Agreement, which may include continued employment or other Service, achievement of performance goals and/or such other criteria as the Board of Directors may determine. A Restricted Stock Unit Award Agreement may provide for accelerated vesting upon specified events.</w:t>
      </w:r>
    </w:p>
    <w:p>
      <w:pPr>
        <w:spacing w:after="0" w:line="68" w:lineRule="exact"/>
        <w:rPr>
          <w:rFonts w:ascii="Times New Roman" w:cs="Times New Roman" w:eastAsia="Times New Roman" w:hAnsi="Times New Roman"/>
          <w:sz w:val="18"/>
          <w:szCs w:val="18"/>
          <w:b w:val="1"/>
          <w:bCs w:val="1"/>
          <w:color w:val="auto"/>
        </w:rPr>
      </w:pPr>
    </w:p>
    <w:p>
      <w:pPr>
        <w:ind w:left="4" w:right="100" w:firstLine="987"/>
        <w:spacing w:after="0" w:line="317" w:lineRule="auto"/>
        <w:tabs>
          <w:tab w:leader="none" w:pos="1260" w:val="left"/>
        </w:tabs>
        <w:numPr>
          <w:ilvl w:val="1"/>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Unless a Restricted Stock Unit Award Agreement provides otherwise, upon termination of the Participant’s Service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such other times specified in the Restricted Stock Unit Award Agreement, any unvested Restricted Stock Units shall be forfeited to the Company.</w:t>
      </w:r>
    </w:p>
    <w:p>
      <w:pPr>
        <w:spacing w:after="0" w:line="23" w:lineRule="exact"/>
        <w:rPr>
          <w:rFonts w:ascii="Times New Roman" w:cs="Times New Roman" w:eastAsia="Times New Roman" w:hAnsi="Times New Roman"/>
          <w:sz w:val="17"/>
          <w:szCs w:val="17"/>
          <w:b w:val="1"/>
          <w:bCs w:val="1"/>
          <w:color w:val="auto"/>
        </w:rPr>
      </w:pPr>
    </w:p>
    <w:p>
      <w:pPr>
        <w:ind w:left="4" w:firstLine="987"/>
        <w:spacing w:after="0" w:line="257" w:lineRule="auto"/>
        <w:tabs>
          <w:tab w:leader="none" w:pos="124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and Dividend Rights</w:t>
      </w:r>
      <w:r>
        <w:rPr>
          <w:rFonts w:ascii="Times New Roman" w:cs="Times New Roman" w:eastAsia="Times New Roman" w:hAnsi="Times New Roman"/>
          <w:sz w:val="18"/>
          <w:szCs w:val="18"/>
          <w:color w:val="auto"/>
        </w:rPr>
        <w:t>. The holders of Restricted Stock Units shall have no voting rights. Prior to settlement or forfeiture,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w:t>
      </w:r>
    </w:p>
    <w:p>
      <w:pPr>
        <w:spacing w:after="0" w:line="74"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and Time of Settlement of Restricted Stock Units</w:t>
      </w:r>
      <w:r>
        <w:rPr>
          <w:rFonts w:ascii="Times New Roman" w:cs="Times New Roman" w:eastAsia="Times New Roman" w:hAnsi="Times New Roman"/>
          <w:sz w:val="18"/>
          <w:szCs w:val="18"/>
          <w:color w:val="auto"/>
        </w:rPr>
        <w:t>. Settlement of vested Restricted Stock Units may be made in the form of</w:t>
      </w:r>
    </w:p>
    <w:p>
      <w:pPr>
        <w:spacing w:after="0" w:line="31" w:lineRule="exact"/>
        <w:rPr>
          <w:rFonts w:ascii="Times New Roman" w:cs="Times New Roman" w:eastAsia="Times New Roman" w:hAnsi="Times New Roman"/>
          <w:sz w:val="18"/>
          <w:szCs w:val="18"/>
          <w:b w:val="1"/>
          <w:bCs w:val="1"/>
          <w:color w:val="auto"/>
        </w:rPr>
      </w:pPr>
    </w:p>
    <w:p>
      <w:pPr>
        <w:ind w:left="4" w:right="60" w:hanging="4"/>
        <w:spacing w:after="0" w:line="253" w:lineRule="auto"/>
        <w:tabs>
          <w:tab w:leader="none" w:pos="2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(ii) 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Award Agreement. Until Restricted Stock Units are settled, the number of Shares represented by such Restricted Stock Units shall be subject to adjustment pursuant to Section 9.</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131" w:name="page132"/>
    <w:bookmarkEnd w:id="131"/>
    <w:p>
      <w:pPr>
        <w:ind w:left="4" w:right="340" w:firstLine="987"/>
        <w:spacing w:after="0" w:line="268" w:lineRule="auto"/>
        <w:tabs>
          <w:tab w:leader="none" w:pos="125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Death of Recipient</w:t>
      </w:r>
      <w:r>
        <w:rPr>
          <w:rFonts w:ascii="Times New Roman" w:cs="Times New Roman" w:eastAsia="Times New Roman" w:hAnsi="Times New Roman"/>
          <w:sz w:val="18"/>
          <w:szCs w:val="18"/>
          <w:color w:val="auto"/>
        </w:rPr>
        <w:t>. Any Restricted Stock Units that become distributable after the Participant’s death shall be distributed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estate or to any person who has acquired such Restricted Stock Units directly from the recipient by beneficiary designation, bequest or inheritance.</w:t>
      </w:r>
    </w:p>
    <w:p>
      <w:pPr>
        <w:spacing w:after="0" w:line="62" w:lineRule="exact"/>
        <w:rPr>
          <w:rFonts w:ascii="Times New Roman" w:cs="Times New Roman" w:eastAsia="Times New Roman" w:hAnsi="Times New Roman"/>
          <w:sz w:val="18"/>
          <w:szCs w:val="18"/>
          <w:b w:val="1"/>
          <w:bCs w:val="1"/>
          <w:color w:val="auto"/>
        </w:rPr>
      </w:pPr>
    </w:p>
    <w:p>
      <w:pPr>
        <w:ind w:left="4" w:right="40" w:firstLine="987"/>
        <w:spacing w:after="0" w:line="268" w:lineRule="auto"/>
        <w:tabs>
          <w:tab w:leader="none" w:pos="12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Creditors’ Rights</w:t>
      </w:r>
      <w:r>
        <w:rPr>
          <w:rFonts w:ascii="Times New Roman" w:cs="Times New Roman" w:eastAsia="Times New Roman" w:hAnsi="Times New Roman"/>
          <w:sz w:val="18"/>
          <w:szCs w:val="18"/>
          <w:color w:val="auto"/>
        </w:rPr>
        <w:t>. A holder of Restricted Stock Units shall have no rights other than those of a general creditor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represent an unfunded and unsecured obligation of the Company, subject to the terms and conditions of the applicable Restricted Stock Unit Award Agreement.</w:t>
      </w:r>
    </w:p>
    <w:p>
      <w:pPr>
        <w:spacing w:after="0" w:line="62" w:lineRule="exact"/>
        <w:rPr>
          <w:rFonts w:ascii="Times New Roman" w:cs="Times New Roman" w:eastAsia="Times New Roman" w:hAnsi="Times New Roman"/>
          <w:sz w:val="18"/>
          <w:szCs w:val="18"/>
          <w:b w:val="1"/>
          <w:bCs w:val="1"/>
          <w:color w:val="auto"/>
        </w:rPr>
      </w:pPr>
    </w:p>
    <w:p>
      <w:pPr>
        <w:jc w:val="both"/>
        <w:ind w:left="4" w:right="100" w:firstLine="987"/>
        <w:spacing w:after="0" w:line="262" w:lineRule="auto"/>
        <w:tabs>
          <w:tab w:leader="none" w:pos="121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Extension and Assumption of Restricted Stock Units</w:t>
      </w:r>
      <w:r>
        <w:rPr>
          <w:rFonts w:ascii="Times New Roman" w:cs="Times New Roman" w:eastAsia="Times New Roman" w:hAnsi="Times New Roman"/>
          <w:sz w:val="18"/>
          <w:szCs w:val="18"/>
          <w:color w:val="auto"/>
        </w:rPr>
        <w:t>. Within the limitations of the Plan, the Board of Directors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extend or assume outstanding restricted stock units (whether granted by the Company or a different issuer). The foregoing notwithstanding, no modification of a Restricted Stock Unit shall, without the consent of the Participant, impair the Participant’s rights or increase the Participant’s obligations under such Restricted Stock Unit.</w:t>
      </w:r>
    </w:p>
    <w:p>
      <w:pPr>
        <w:spacing w:after="0" w:line="68" w:lineRule="exact"/>
        <w:rPr>
          <w:rFonts w:ascii="Times New Roman" w:cs="Times New Roman" w:eastAsia="Times New Roman" w:hAnsi="Times New Roman"/>
          <w:sz w:val="18"/>
          <w:szCs w:val="18"/>
          <w:b w:val="1"/>
          <w:bCs w:val="1"/>
          <w:color w:val="auto"/>
        </w:rPr>
      </w:pPr>
    </w:p>
    <w:p>
      <w:pPr>
        <w:ind w:left="4" w:right="200" w:firstLine="987"/>
        <w:spacing w:after="0" w:line="262" w:lineRule="auto"/>
        <w:tabs>
          <w:tab w:leader="none" w:pos="12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of Restricted Stock Units</w:t>
      </w:r>
      <w:r>
        <w:rPr>
          <w:rFonts w:ascii="Times New Roman" w:cs="Times New Roman" w:eastAsia="Times New Roman" w:hAnsi="Times New Roman"/>
          <w:sz w:val="18"/>
          <w:szCs w:val="18"/>
          <w:color w:val="auto"/>
        </w:rPr>
        <w:t>. A Restricted Stock Unit shall be transferable by the Participant only by (i)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 ADJUSTMENT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74" w:lineRule="auto"/>
        <w:tabs>
          <w:tab w:leader="none" w:pos="1250" w:val="left"/>
        </w:tabs>
        <w:numPr>
          <w:ilvl w:val="1"/>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In the event of a subdivision of the outstanding Stock, a declaration of a dividend payable in Shares, a combination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as applicable, in each of</w:t>
      </w:r>
    </w:p>
    <w:p>
      <w:pPr>
        <w:ind w:left="4" w:right="80" w:hanging="4"/>
        <w:spacing w:after="0" w:line="265" w:lineRule="auto"/>
        <w:tabs>
          <w:tab w:leader="none" w:pos="21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kind of Shares available under Section 4, (ii) the number and kind of Shares covered by each outstanding Option, Award of Restricted Stock Units and any outstanding and unexercised right to purchase Shares that has not yet expired pursuant to Section 5(b), (iii) the Exercise Price under each outstanding Option and the Purchase Price applicable to any unexercised stock purchase right described in clause (ii) above, and</w:t>
      </w:r>
    </w:p>
    <w:p>
      <w:pPr>
        <w:ind w:left="4" w:right="60" w:hanging="4"/>
        <w:spacing w:after="0" w:line="252" w:lineRule="auto"/>
        <w:tabs>
          <w:tab w:leader="none" w:pos="30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6" w:right="499" w:bottom="1440" w:gutter="0" w:footer="0" w:header="0"/>
        </w:sectPr>
      </w:pPr>
    </w:p>
    <w:bookmarkStart w:id="132" w:name="page133"/>
    <w:bookmarkEnd w:id="132"/>
    <w:p>
      <w:pPr>
        <w:ind w:left="-20" w:right="100" w:firstLine="987"/>
        <w:spacing w:after="0" w:line="256" w:lineRule="auto"/>
        <w:tabs>
          <w:tab w:leader="none" w:pos="1236"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Transactions</w:t>
      </w:r>
      <w:r>
        <w:rPr>
          <w:rFonts w:ascii="Times New Roman" w:cs="Times New Roman" w:eastAsia="Times New Roman" w:hAnsi="Times New Roman"/>
          <w:sz w:val="18"/>
          <w:szCs w:val="18"/>
          <w:color w:val="auto"/>
        </w:rPr>
        <w:t>. In the event that the Company is a party to a merger or consolidation, or in the event of a sale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 identical manner. The treatment specified in the transaction agreement or as determined by the Board of Directors may include (without limitation) one or more of the following with respect to each outstanding Award:</w:t>
      </w:r>
    </w:p>
    <w:p>
      <w:pPr>
        <w:spacing w:after="0" w:line="78" w:lineRule="exact"/>
        <w:rPr>
          <w:rFonts w:ascii="Times New Roman" w:cs="Times New Roman" w:eastAsia="Times New Roman" w:hAnsi="Times New Roman"/>
          <w:sz w:val="18"/>
          <w:szCs w:val="18"/>
          <w:b w:val="1"/>
          <w:bCs w:val="1"/>
          <w:color w:val="auto"/>
        </w:rPr>
      </w:pPr>
    </w:p>
    <w:p>
      <w:pPr>
        <w:ind w:left="960" w:right="100" w:firstLine="408"/>
        <w:spacing w:after="0" w:line="261" w:lineRule="auto"/>
        <w:tabs>
          <w:tab w:leader="none" w:pos="157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surviving corporation or a parent thereof may continue or assume the Award or substitute a comparable award for the Award (including, but not limited to, an award to acquire the same consideration paid to the holders of Shares in the transaction). For avoidance of doubt, a comparable award need not be the same type of award as the Award for which it is substituted, and, in the case of an Option, need not have the same tax-status (e.g., an NSO may be substituted for an ISO).</w:t>
      </w:r>
    </w:p>
    <w:p>
      <w:pPr>
        <w:spacing w:after="0" w:line="71" w:lineRule="exact"/>
        <w:rPr>
          <w:rFonts w:ascii="Times New Roman" w:cs="Times New Roman" w:eastAsia="Times New Roman" w:hAnsi="Times New Roman"/>
          <w:sz w:val="18"/>
          <w:szCs w:val="18"/>
          <w:color w:val="auto"/>
        </w:rPr>
      </w:pPr>
    </w:p>
    <w:p>
      <w:pPr>
        <w:ind w:left="960" w:firstLine="408"/>
        <w:spacing w:after="0" w:line="253" w:lineRule="auto"/>
        <w:tabs>
          <w:tab w:leader="none" w:pos="162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(b)(ii) may be conditioned upon the Participant acknowledging such escrow, indemnification, holdback, earnout or other provisions on a form prescribed by the Company. If the Spread applicable to an Award is zero or a negative number, then the Award may be cancelled without making a payment to the Participant.</w:t>
      </w:r>
    </w:p>
    <w:p>
      <w:pPr>
        <w:spacing w:after="0" w:line="86" w:lineRule="exact"/>
        <w:rPr>
          <w:rFonts w:ascii="Times New Roman" w:cs="Times New Roman" w:eastAsia="Times New Roman" w:hAnsi="Times New Roman"/>
          <w:sz w:val="18"/>
          <w:szCs w:val="18"/>
          <w:color w:val="auto"/>
        </w:rPr>
      </w:pPr>
    </w:p>
    <w:p>
      <w:pPr>
        <w:ind w:left="960" w:right="40" w:firstLine="408"/>
        <w:spacing w:after="0" w:line="270" w:lineRule="auto"/>
        <w:tabs>
          <w:tab w:leader="none" w:pos="1676"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the Spread applicable to an Option is a positive number, the Option may be cancelled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w:t>
      </w:r>
    </w:p>
    <w:p>
      <w:pPr>
        <w:spacing w:after="0" w:line="2"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such shorter period still offers the Optionee a reasonable opportunity to exercise the Option.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66" w:right="479" w:bottom="1440" w:gutter="0" w:footer="0" w:header="0"/>
        </w:sectPr>
      </w:pPr>
    </w:p>
    <w:bookmarkStart w:id="133" w:name="page134"/>
    <w:bookmarkEnd w:id="133"/>
    <w:p>
      <w:pPr>
        <w:ind w:left="440" w:firstLine="948"/>
        <w:spacing w:after="0" w:line="261" w:lineRule="auto"/>
        <w:tabs>
          <w:tab w:leader="none" w:pos="169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the Board of Directors has discretion to accelerate, in whole or part, the vesting and exercisability of an Award in connection with a corporate transaction covered by this Section 9(b).</w:t>
      </w:r>
    </w:p>
    <w:p>
      <w:pPr>
        <w:spacing w:after="0" w:line="50" w:lineRule="exact"/>
        <w:rPr>
          <w:sz w:val="20"/>
          <w:szCs w:val="20"/>
          <w:color w:val="auto"/>
        </w:rPr>
      </w:pPr>
    </w:p>
    <w:p>
      <w:pPr>
        <w:ind w:right="440" w:firstLine="987"/>
        <w:spacing w:after="0" w:line="286" w:lineRule="auto"/>
        <w:tabs>
          <w:tab w:leader="none" w:pos="1236"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To the extent not previously exercised or settled, all Awards shall terminate immediately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or dissolution of the Company.</w:t>
      </w:r>
    </w:p>
    <w:p>
      <w:pPr>
        <w:spacing w:after="0" w:line="46" w:lineRule="exact"/>
        <w:rPr>
          <w:rFonts w:ascii="Times New Roman" w:cs="Times New Roman" w:eastAsia="Times New Roman" w:hAnsi="Times New Roman"/>
          <w:sz w:val="18"/>
          <w:szCs w:val="18"/>
          <w:b w:val="1"/>
          <w:bCs w:val="1"/>
          <w:color w:val="auto"/>
        </w:rPr>
      </w:pPr>
    </w:p>
    <w:p>
      <w:pPr>
        <w:ind w:right="360" w:firstLine="987"/>
        <w:spacing w:after="0" w:line="256" w:lineRule="auto"/>
        <w:tabs>
          <w:tab w:leader="none" w:pos="1256"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Rights</w:t>
      </w:r>
      <w:r>
        <w:rPr>
          <w:rFonts w:ascii="Times New Roman" w:cs="Times New Roman" w:eastAsia="Times New Roman" w:hAnsi="Times New Roman"/>
          <w:sz w:val="18"/>
          <w:szCs w:val="18"/>
          <w:color w:val="auto"/>
        </w:rPr>
        <w:t>. Except as provided in Section 8(e) or this Section 9, a Participant shall have no rights by reason of (i)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MISCELLANEOUS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7" w:lineRule="auto"/>
        <w:tabs>
          <w:tab w:leader="none" w:pos="1246"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Requirements</w:t>
      </w:r>
      <w:r>
        <w:rPr>
          <w:rFonts w:ascii="Times New Roman" w:cs="Times New Roman" w:eastAsia="Times New Roman" w:hAnsi="Times New Roman"/>
          <w:sz w:val="18"/>
          <w:szCs w:val="18"/>
          <w:color w:val="auto"/>
        </w:rPr>
        <w:t>. Shares shall not be issued under the Plan unless, in the opinion of counsel acceptable to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w:t>
      </w:r>
    </w:p>
    <w:p>
      <w:pPr>
        <w:spacing w:after="0" w:line="74" w:lineRule="exact"/>
        <w:rPr>
          <w:rFonts w:ascii="Times New Roman" w:cs="Times New Roman" w:eastAsia="Times New Roman" w:hAnsi="Times New Roman"/>
          <w:sz w:val="18"/>
          <w:szCs w:val="18"/>
          <w:b w:val="1"/>
          <w:bCs w:val="1"/>
          <w:color w:val="auto"/>
        </w:rPr>
      </w:pPr>
    </w:p>
    <w:p>
      <w:pPr>
        <w:jc w:val="both"/>
        <w:ind w:right="160" w:firstLine="987"/>
        <w:spacing w:after="0" w:line="262" w:lineRule="auto"/>
        <w:tabs>
          <w:tab w:leader="none" w:pos="1256"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the Plan or in any right or Award granted under the Plan shall confer upon the Participant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68"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36"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as Compensation</w:t>
      </w:r>
      <w:r>
        <w:rPr>
          <w:rFonts w:ascii="Times New Roman" w:cs="Times New Roman" w:eastAsia="Times New Roman" w:hAnsi="Times New Roman"/>
          <w:sz w:val="18"/>
          <w:szCs w:val="18"/>
          <w:color w:val="auto"/>
        </w:rPr>
        <w:t>. Any compensation that an individual earns or is deemed to earn under this Plan shall not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 of his or her compensation for purposes of calculating contributions, accruals or benefits under any other plan or program that is maintained or funded by the Company, a Parent or a Subsidiary.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4" w:name="page135"/>
    <w:bookmarkEnd w:id="134"/>
    <w:p>
      <w:pPr>
        <w:ind w:right="40" w:firstLine="987"/>
        <w:spacing w:after="0" w:line="286" w:lineRule="auto"/>
        <w:tabs>
          <w:tab w:leader="none" w:pos="125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The Plan and all awards, sales, and grants under the Plan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 (except its choice of law provisions), as such laws are applied to contracts entered into and performed in such State.</w:t>
      </w:r>
    </w:p>
    <w:p>
      <w:pPr>
        <w:spacing w:after="0" w:line="46" w:lineRule="exact"/>
        <w:rPr>
          <w:rFonts w:ascii="Times New Roman" w:cs="Times New Roman" w:eastAsia="Times New Roman" w:hAnsi="Times New Roman"/>
          <w:sz w:val="18"/>
          <w:szCs w:val="18"/>
          <w:b w:val="1"/>
          <w:bCs w:val="1"/>
          <w:color w:val="auto"/>
        </w:rPr>
      </w:pPr>
    </w:p>
    <w:p>
      <w:pPr>
        <w:ind w:right="100" w:firstLine="987"/>
        <w:spacing w:after="0" w:line="256" w:lineRule="auto"/>
        <w:tabs>
          <w:tab w:leader="none" w:pos="123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Restrictions on Shares</w:t>
      </w:r>
      <w:r>
        <w:rPr>
          <w:rFonts w:ascii="Times New Roman" w:cs="Times New Roman" w:eastAsia="Times New Roman" w:hAnsi="Times New Roman"/>
          <w:sz w:val="18"/>
          <w:szCs w:val="18"/>
          <w:color w:val="auto"/>
        </w:rPr>
        <w:t>. Shares issued under the Plan shall be subject to such forfeiture conditions,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the avoidance of doubt) need not be set forth in the applicable Award Agreement.</w:t>
      </w:r>
    </w:p>
    <w:p>
      <w:pPr>
        <w:spacing w:after="0" w:line="74"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left="980" w:right="180" w:firstLine="408"/>
        <w:spacing w:after="0" w:line="266" w:lineRule="auto"/>
        <w:tabs>
          <w:tab w:leader="none" w:pos="159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award, grant, issuance, vesting, purchase, exercise, settlement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67" w:lineRule="exact"/>
        <w:rPr>
          <w:rFonts w:ascii="Times New Roman" w:cs="Times New Roman" w:eastAsia="Times New Roman" w:hAnsi="Times New Roman"/>
          <w:sz w:val="18"/>
          <w:szCs w:val="18"/>
          <w:color w:val="auto"/>
        </w:rPr>
      </w:pPr>
    </w:p>
    <w:p>
      <w:pPr>
        <w:ind w:left="980" w:firstLine="408"/>
        <w:spacing w:after="0" w:line="252" w:lineRule="auto"/>
        <w:tabs>
          <w:tab w:leader="none" w:pos="16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set forth in an Award Agreement, it is intended that Awards shall be exempt from Code Section 409A, and any ambiguity in the terms of an Award Agreement and the Plan shall be interpreted consistently with this intent. To the extent an Award is not exempt from Code Section 409A (any such award, a “</w:t>
      </w:r>
      <w:r>
        <w:rPr>
          <w:rFonts w:ascii="Times New Roman" w:cs="Times New Roman" w:eastAsia="Times New Roman" w:hAnsi="Times New Roman"/>
          <w:sz w:val="18"/>
          <w:szCs w:val="18"/>
          <w:b w:val="1"/>
          <w:bCs w:val="1"/>
          <w:color w:val="auto"/>
        </w:rPr>
        <w:t>409A Award</w:t>
      </w:r>
      <w:r>
        <w:rPr>
          <w:rFonts w:ascii="Times New Roman" w:cs="Times New Roman" w:eastAsia="Times New Roman" w:hAnsi="Times New Roman"/>
          <w:sz w:val="18"/>
          <w:szCs w:val="18"/>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or any subsequent action taken with respect to such Award, be given effect if such modification or action would cause the Award to become subject to Code Section 409A unless the parties explicitly acknowledge and consent to the modification or action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35" w:name="page136"/>
    <w:bookmarkEnd w:id="135"/>
    <w:p>
      <w:pPr>
        <w:ind w:left="980" w:right="180" w:firstLine="408"/>
        <w:spacing w:after="0" w:line="282" w:lineRule="auto"/>
        <w:tabs>
          <w:tab w:leader="none" w:pos="16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member of the Board of Directors shall have any liability to a Participant in the event an Award held by the Participant fails to achieve its intended characterization under applicable tax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DURATION AND AMENDMENTS; STOCKHOLDER APPROVAL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9" w:lineRule="auto"/>
        <w:tabs>
          <w:tab w:leader="none" w:pos="124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Plan</w:t>
      </w:r>
      <w:r>
        <w:rPr>
          <w:rFonts w:ascii="Times New Roman" w:cs="Times New Roman" w:eastAsia="Times New Roman" w:hAnsi="Times New Roman"/>
          <w:sz w:val="18"/>
          <w:szCs w:val="18"/>
          <w:color w:val="auto"/>
        </w:rPr>
        <w:t>. The Plan, as set forth herein, shall become effective on the date of its adoption by the Board of Directors,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71" w:lineRule="exact"/>
        <w:rPr>
          <w:rFonts w:ascii="Times New Roman" w:cs="Times New Roman" w:eastAsia="Times New Roman" w:hAnsi="Times New Roman"/>
          <w:sz w:val="18"/>
          <w:szCs w:val="18"/>
          <w:b w:val="1"/>
          <w:bCs w:val="1"/>
          <w:color w:val="auto"/>
        </w:rPr>
      </w:pPr>
    </w:p>
    <w:p>
      <w:pPr>
        <w:ind w:right="180" w:firstLine="987"/>
        <w:spacing w:after="0" w:line="286" w:lineRule="auto"/>
        <w:tabs>
          <w:tab w:leader="none" w:pos="125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Amend or Terminate the Plan</w:t>
      </w:r>
      <w:r>
        <w:rPr>
          <w:rFonts w:ascii="Times New Roman" w:cs="Times New Roman" w:eastAsia="Times New Roman" w:hAnsi="Times New Roman"/>
          <w:sz w:val="18"/>
          <w:szCs w:val="18"/>
          <w:color w:val="auto"/>
        </w:rPr>
        <w:t>. Subject to Subsection (d) below, the Board of Directors may amend, suspend or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at any time and for any reason.</w:t>
      </w:r>
    </w:p>
    <w:p>
      <w:pPr>
        <w:spacing w:after="0" w:line="46" w:lineRule="exact"/>
        <w:rPr>
          <w:rFonts w:ascii="Times New Roman" w:cs="Times New Roman" w:eastAsia="Times New Roman" w:hAnsi="Times New Roman"/>
          <w:sz w:val="18"/>
          <w:szCs w:val="18"/>
          <w:b w:val="1"/>
          <w:bCs w:val="1"/>
          <w:color w:val="auto"/>
        </w:rPr>
      </w:pPr>
    </w:p>
    <w:p>
      <w:pPr>
        <w:jc w:val="both"/>
        <w:ind w:right="120" w:firstLine="987"/>
        <w:spacing w:after="0" w:line="262" w:lineRule="auto"/>
        <w:tabs>
          <w:tab w:leader="none" w:pos="123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Shares shall be issued or sold and no Award granted under the Plan after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except upon exercise or settlement of an Award granted under the Plan prior to such termination. Except as expressly provided in Section 6(k) above, the termination of the Plan, or any amendment thereof, shall not affect any Share previously issued or any Award previously granted under the Plan.</w:t>
      </w:r>
    </w:p>
    <w:p>
      <w:pPr>
        <w:spacing w:after="0" w:line="68" w:lineRule="exact"/>
        <w:rPr>
          <w:rFonts w:ascii="Times New Roman" w:cs="Times New Roman" w:eastAsia="Times New Roman" w:hAnsi="Times New Roman"/>
          <w:sz w:val="18"/>
          <w:szCs w:val="18"/>
          <w:b w:val="1"/>
          <w:bCs w:val="1"/>
          <w:color w:val="auto"/>
        </w:rPr>
      </w:pPr>
    </w:p>
    <w:p>
      <w:pPr>
        <w:ind w:right="40" w:firstLine="987"/>
        <w:spacing w:after="0" w:line="257" w:lineRule="auto"/>
        <w:tabs>
          <w:tab w:leader="none" w:pos="125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To the extent required by applicable law, the Plan will be subject to approval of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12 months of its adoption date. To the extent required by applicable law, any amendment of the Plan will be subject to the approval of the Company’s stockholders within 12 months of the amendment date if it (i) increases the number of Shares available for issuance under the Plan (except as provided in Section 9), or (ii) materially changes the class of persons who are eligible for the grant of ISOs. In addition, an amendment effecting any other material change to the Plan terms will be subject to approval of the Company’s stockholder only if required by applicable law. Stockholder approval shall not be required for any other amendment of the Plan.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86"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granted under the Plan, including an Option, Restricted Stock Unit, or the grant or sale of Shares pursuant to Section 5 of the Plan.</w:t>
      </w:r>
    </w:p>
    <w:p>
      <w:pPr>
        <w:spacing w:after="0" w:line="46" w:lineRule="exact"/>
        <w:rPr>
          <w:rFonts w:ascii="Times New Roman" w:cs="Times New Roman" w:eastAsia="Times New Roman" w:hAnsi="Times New Roman"/>
          <w:sz w:val="18"/>
          <w:szCs w:val="18"/>
          <w:color w:val="auto"/>
        </w:rPr>
      </w:pPr>
    </w:p>
    <w:p>
      <w:pPr>
        <w:ind w:right="40" w:firstLine="987"/>
        <w:spacing w:after="0" w:line="286"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Stock Grant Agreement, Stock Option Agreement, Stock Purchase Agreement or Restricted Stock Unit Award Agreement or such other agreement evidencing an Award under the Plan.</w:t>
      </w:r>
    </w:p>
    <w:p>
      <w:pPr>
        <w:spacing w:after="0" w:line="4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as constituted from time to time.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136" w:name="page137"/>
    <w:bookmarkEnd w:id="136"/>
    <w:p>
      <w:pPr>
        <w:ind w:left="1244" w:hanging="253"/>
        <w:spacing w:after="0"/>
        <w:tabs>
          <w:tab w:leader="none" w:pos="1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the Board of Directors, as described in Section 2(a).</w:t>
      </w:r>
    </w:p>
    <w:p>
      <w:pPr>
        <w:spacing w:after="0" w:line="117"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Blaize, Inc., a Delaware corporation.</w:t>
      </w:r>
    </w:p>
    <w:p>
      <w:pPr>
        <w:spacing w:after="0" w:line="117" w:lineRule="exact"/>
        <w:rPr>
          <w:rFonts w:ascii="Times New Roman" w:cs="Times New Roman" w:eastAsia="Times New Roman" w:hAnsi="Times New Roman"/>
          <w:sz w:val="18"/>
          <w:szCs w:val="18"/>
          <w:color w:val="auto"/>
        </w:rPr>
      </w:pPr>
    </w:p>
    <w:p>
      <w:pPr>
        <w:ind w:left="4" w:right="320" w:firstLine="987"/>
        <w:spacing w:after="0" w:line="225" w:lineRule="auto"/>
        <w:tabs>
          <w:tab w:leader="none" w:pos="12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 person, excluding Employees and Outside Directors, who performs bona fide services for the Company, a Parent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or a Subsidiary as a consultant or advisor and who qualifies as a consultant or advisor under Rule 701(c)(1) of the Securities Act or under Instruction A.1.(a)(1) of Form S-8 under the Securities Act.</w:t>
      </w:r>
    </w:p>
    <w:p>
      <w:pPr>
        <w:spacing w:after="0" w:line="87" w:lineRule="exact"/>
        <w:rPr>
          <w:rFonts w:ascii="Times New Roman" w:cs="Times New Roman" w:eastAsia="Times New Roman" w:hAnsi="Times New Roman"/>
          <w:sz w:val="18"/>
          <w:szCs w:val="18"/>
          <w:color w:val="auto"/>
        </w:rPr>
      </w:pPr>
    </w:p>
    <w:p>
      <w:pPr>
        <w:ind w:left="4" w:right="20" w:firstLine="987"/>
        <w:spacing w:after="0" w:line="286" w:lineRule="auto"/>
        <w:tabs>
          <w:tab w:leader="none" w:pos="12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of grant specified in the applicable Award Agreement, which date shall be the later of (i) the date on which the Board of Directors resolved to grant the Award or (ii) the first day of the Participant’s Service.</w:t>
      </w:r>
    </w:p>
    <w:p>
      <w:pPr>
        <w:spacing w:after="0" w:line="46" w:lineRule="exact"/>
        <w:rPr>
          <w:rFonts w:ascii="Times New Roman" w:cs="Times New Roman" w:eastAsia="Times New Roman" w:hAnsi="Times New Roman"/>
          <w:sz w:val="18"/>
          <w:szCs w:val="18"/>
          <w:color w:val="auto"/>
        </w:rPr>
      </w:pPr>
    </w:p>
    <w:p>
      <w:pPr>
        <w:ind w:left="4" w:firstLine="987"/>
        <w:spacing w:after="0" w:line="286" w:lineRule="auto"/>
        <w:tabs>
          <w:tab w:leader="none" w:pos="12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that the Participant is unable to engage in any substantial gainful activity by reason of any medically determinable physical or mental impairment.</w:t>
      </w:r>
    </w:p>
    <w:p>
      <w:pPr>
        <w:spacing w:after="0" w:line="46"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individual who is a common-law employee of the Company, a Parent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or a Subsidiary.</w:t>
      </w:r>
    </w:p>
    <w:p>
      <w:pPr>
        <w:spacing w:after="0" w:line="4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3" w:lineRule="exact"/>
        <w:rPr>
          <w:rFonts w:ascii="Times New Roman" w:cs="Times New Roman" w:eastAsia="Times New Roman" w:hAnsi="Times New Roman"/>
          <w:sz w:val="18"/>
          <w:szCs w:val="18"/>
          <w:color w:val="auto"/>
        </w:rPr>
      </w:pPr>
    </w:p>
    <w:p>
      <w:pPr>
        <w:ind w:left="4" w:right="120" w:firstLine="987"/>
        <w:spacing w:after="0" w:line="286" w:lineRule="auto"/>
        <w:tabs>
          <w:tab w:leader="none" w:pos="12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the amount for which one Share may be purchased upon exercise of an Option, as specified by the Board of Directors in the applicable Stock Option Agreement.</w:t>
      </w:r>
    </w:p>
    <w:p>
      <w:pPr>
        <w:spacing w:after="0" w:line="46" w:lineRule="exact"/>
        <w:rPr>
          <w:rFonts w:ascii="Times New Roman" w:cs="Times New Roman" w:eastAsia="Times New Roman" w:hAnsi="Times New Roman"/>
          <w:sz w:val="18"/>
          <w:szCs w:val="18"/>
          <w:color w:val="auto"/>
        </w:rPr>
      </w:pPr>
    </w:p>
    <w:p>
      <w:pPr>
        <w:ind w:left="4" w:right="760" w:firstLine="987"/>
        <w:spacing w:after="0" w:line="286"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fair market value of a Share, as determined by the Board of Directors in good faith. Such determination shall be conclusive and binding on all persons.</w:t>
      </w:r>
    </w:p>
    <w:p>
      <w:pPr>
        <w:spacing w:after="0" w:line="4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means a person to whom the Board of Directors has awarded Shares under the Plan.</w:t>
      </w:r>
    </w:p>
    <w:p>
      <w:pPr>
        <w:spacing w:after="0" w:line="117" w:lineRule="exact"/>
        <w:rPr>
          <w:rFonts w:ascii="Times New Roman" w:cs="Times New Roman" w:eastAsia="Times New Roman" w:hAnsi="Times New Roman"/>
          <w:sz w:val="18"/>
          <w:szCs w:val="18"/>
          <w:color w:val="auto"/>
        </w:rPr>
      </w:pPr>
    </w:p>
    <w:p>
      <w:pPr>
        <w:ind w:left="4" w:right="700" w:firstLine="987"/>
        <w:spacing w:after="0" w:line="286" w:lineRule="auto"/>
        <w:tabs>
          <w:tab w:leader="none" w:pos="12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an Option that qualifies as an incentive stock option as described in Code Section 422(b). Notwithstanding its designation as an ISO, an Option that does not qualify as an ISO under applicable law shall be treated for all purposes as an NSO.</w:t>
      </w:r>
    </w:p>
    <w:p>
      <w:pPr>
        <w:spacing w:after="0" w:line="4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means an Option that does not qualify as an incentive stock option as described in Code Section 422(b) or 423(b).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1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that special considerations apply if the Company proposes to grant awards to consultant or advisor of a Parent company.</w:t>
      </w:r>
    </w:p>
    <w:p>
      <w:pPr>
        <w:spacing w:after="0" w:line="1" w:lineRule="exact"/>
        <w:rPr>
          <w:sz w:val="20"/>
          <w:szCs w:val="20"/>
          <w:color w:val="auto"/>
        </w:rPr>
      </w:pPr>
    </w:p>
    <w:p>
      <w:pPr>
        <w:ind w:left="5424" w:right="1960" w:hanging="5424"/>
        <w:spacing w:after="0" w:line="311" w:lineRule="auto"/>
        <w:tabs>
          <w:tab w:leader="none" w:pos="438" w:val="left"/>
        </w:tabs>
        <w:numPr>
          <w:ilvl w:val="0"/>
          <w:numId w:val="1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that special considerations apply if the Company proposes to grant awards to an Employee of a Parent company. 13</w:t>
      </w:r>
    </w:p>
    <w:p>
      <w:pPr>
        <w:sectPr>
          <w:pgSz w:w="11900" w:h="16838" w:orient="portrait"/>
          <w:cols w:equalWidth="0" w:num="1">
            <w:col w:w="10864"/>
          </w:cols>
          <w:pgMar w:left="436" w:top="266" w:right="599" w:bottom="1440" w:gutter="0" w:footer="0" w:header="0"/>
        </w:sectPr>
      </w:pPr>
    </w:p>
    <w:bookmarkStart w:id="137" w:name="page138"/>
    <w:bookmarkEnd w:id="137"/>
    <w:p>
      <w:pPr>
        <w:ind w:left="1120" w:hanging="253"/>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ISO or NSO granted under the Plan and entitling the holder to purchase Shares.</w:t>
      </w:r>
    </w:p>
    <w:p>
      <w:pPr>
        <w:spacing w:after="0" w:line="117" w:lineRule="exact"/>
        <w:rPr>
          <w:rFonts w:ascii="Times New Roman" w:cs="Times New Roman" w:eastAsia="Times New Roman" w:hAnsi="Times New Roman"/>
          <w:sz w:val="18"/>
          <w:szCs w:val="18"/>
          <w:color w:val="auto"/>
        </w:rPr>
      </w:pPr>
    </w:p>
    <w:p>
      <w:pPr>
        <w:ind w:left="1100" w:hanging="233"/>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means a person who holds an Option.</w:t>
      </w:r>
    </w:p>
    <w:p>
      <w:pPr>
        <w:spacing w:after="0" w:line="117" w:lineRule="exact"/>
        <w:rPr>
          <w:rFonts w:ascii="Times New Roman" w:cs="Times New Roman" w:eastAsia="Times New Roman" w:hAnsi="Times New Roman"/>
          <w:sz w:val="18"/>
          <w:szCs w:val="18"/>
          <w:color w:val="auto"/>
        </w:rPr>
      </w:pPr>
    </w:p>
    <w:p>
      <w:pPr>
        <w:ind w:left="1100" w:hanging="233"/>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member of the Board of Directors who is not an Employee.</w:t>
      </w:r>
    </w:p>
    <w:p>
      <w:pPr>
        <w:spacing w:after="0" w:line="117" w:lineRule="exact"/>
        <w:rPr>
          <w:rFonts w:ascii="Times New Roman" w:cs="Times New Roman" w:eastAsia="Times New Roman" w:hAnsi="Times New Roman"/>
          <w:sz w:val="18"/>
          <w:szCs w:val="18"/>
          <w:color w:val="auto"/>
        </w:rPr>
      </w:pPr>
    </w:p>
    <w:p>
      <w:pPr>
        <w:ind w:left="-120" w:right="60" w:firstLine="987"/>
        <w:spacing w:after="0" w:line="262" w:lineRule="auto"/>
        <w:tabs>
          <w:tab w:leader="none" w:pos="108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68" w:lineRule="exact"/>
        <w:rPr>
          <w:rFonts w:ascii="Times New Roman" w:cs="Times New Roman" w:eastAsia="Times New Roman" w:hAnsi="Times New Roman"/>
          <w:sz w:val="18"/>
          <w:szCs w:val="18"/>
          <w:color w:val="auto"/>
        </w:rPr>
      </w:pPr>
    </w:p>
    <w:p>
      <w:pPr>
        <w:ind w:left="1120" w:hanging="253"/>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117" w:lineRule="exact"/>
        <w:rPr>
          <w:rFonts w:ascii="Times New Roman" w:cs="Times New Roman" w:eastAsia="Times New Roman" w:hAnsi="Times New Roman"/>
          <w:sz w:val="18"/>
          <w:szCs w:val="18"/>
          <w:color w:val="auto"/>
        </w:rPr>
      </w:pPr>
    </w:p>
    <w:p>
      <w:pPr>
        <w:ind w:left="1120" w:hanging="253"/>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Blaize, Inc. Amended and Restated 2011 Stock Plan.</w:t>
      </w:r>
    </w:p>
    <w:p>
      <w:pPr>
        <w:spacing w:after="0" w:line="117" w:lineRule="exact"/>
        <w:rPr>
          <w:rFonts w:ascii="Times New Roman" w:cs="Times New Roman" w:eastAsia="Times New Roman" w:hAnsi="Times New Roman"/>
          <w:sz w:val="18"/>
          <w:szCs w:val="18"/>
          <w:color w:val="auto"/>
        </w:rPr>
      </w:pPr>
    </w:p>
    <w:p>
      <w:pPr>
        <w:ind w:left="-120" w:right="400" w:firstLine="987"/>
        <w:spacing w:after="0" w:line="286" w:lineRule="auto"/>
        <w:tabs>
          <w:tab w:leader="none" w:pos="116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the consideration for which one Share may be acquired under the Plan (other than upon exercise of an Option), as specified by the Board of Directors.</w:t>
      </w:r>
    </w:p>
    <w:p>
      <w:pPr>
        <w:spacing w:after="0" w:line="46" w:lineRule="exact"/>
        <w:rPr>
          <w:rFonts w:ascii="Times New Roman" w:cs="Times New Roman" w:eastAsia="Times New Roman" w:hAnsi="Times New Roman"/>
          <w:sz w:val="18"/>
          <w:szCs w:val="18"/>
          <w:color w:val="auto"/>
        </w:rPr>
      </w:pPr>
    </w:p>
    <w:p>
      <w:pPr>
        <w:ind w:left="-120" w:firstLine="987"/>
        <w:spacing w:after="0" w:line="286" w:lineRule="auto"/>
        <w:tabs>
          <w:tab w:leader="none" w:pos="112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a person to whom the Board of Directors has offered the right to purchase Shares under the Plan (other than upon exercise of an Option).</w:t>
      </w:r>
    </w:p>
    <w:p>
      <w:pPr>
        <w:spacing w:after="0" w:line="46" w:lineRule="exact"/>
        <w:rPr>
          <w:rFonts w:ascii="Times New Roman" w:cs="Times New Roman" w:eastAsia="Times New Roman" w:hAnsi="Times New Roman"/>
          <w:sz w:val="18"/>
          <w:szCs w:val="18"/>
          <w:color w:val="auto"/>
        </w:rPr>
      </w:pPr>
    </w:p>
    <w:p>
      <w:pPr>
        <w:ind w:left="1120" w:hanging="253"/>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the equivalent of one Shares, as awarded under the Plan.</w:t>
      </w:r>
    </w:p>
    <w:p>
      <w:pPr>
        <w:spacing w:after="0" w:line="117" w:lineRule="exact"/>
        <w:rPr>
          <w:rFonts w:ascii="Times New Roman" w:cs="Times New Roman" w:eastAsia="Times New Roman" w:hAnsi="Times New Roman"/>
          <w:sz w:val="18"/>
          <w:szCs w:val="18"/>
          <w:color w:val="auto"/>
        </w:rPr>
      </w:pPr>
    </w:p>
    <w:p>
      <w:pPr>
        <w:ind w:left="-120" w:right="20" w:firstLine="987"/>
        <w:spacing w:after="0" w:line="286" w:lineRule="auto"/>
        <w:tabs>
          <w:tab w:leader="none" w:pos="111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 Award Agreement</w:t>
      </w:r>
      <w:r>
        <w:rPr>
          <w:rFonts w:ascii="Times New Roman" w:cs="Times New Roman" w:eastAsia="Times New Roman" w:hAnsi="Times New Roman"/>
          <w:sz w:val="18"/>
          <w:szCs w:val="18"/>
          <w:color w:val="auto"/>
        </w:rPr>
        <w:t>” means the agreement between the Company and the recipient of a Restricted Stock Unit that contains the terms, conditions and restrictions pertaining to such Restricted Stock Unit.</w:t>
      </w:r>
    </w:p>
    <w:p>
      <w:pPr>
        <w:spacing w:after="0" w:line="47" w:lineRule="exact"/>
        <w:rPr>
          <w:sz w:val="20"/>
          <w:szCs w:val="20"/>
          <w:color w:val="auto"/>
        </w:rPr>
      </w:pPr>
    </w:p>
    <w:p>
      <w:pPr>
        <w:ind w:left="1200" w:hanging="333"/>
        <w:spacing w:after="0"/>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rFonts w:ascii="Times New Roman" w:cs="Times New Roman" w:eastAsia="Times New Roman" w:hAnsi="Times New Roman"/>
          <w:sz w:val="18"/>
          <w:szCs w:val="18"/>
          <w:color w:val="auto"/>
        </w:rPr>
      </w:pPr>
    </w:p>
    <w:p>
      <w:pPr>
        <w:ind w:left="-120" w:firstLine="987"/>
        <w:spacing w:after="0" w:line="268" w:lineRule="auto"/>
        <w:tabs>
          <w:tab w:leader="none" w:pos="12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means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spacing w:after="0" w:line="62" w:lineRule="exact"/>
        <w:rPr>
          <w:rFonts w:ascii="Times New Roman" w:cs="Times New Roman" w:eastAsia="Times New Roman" w:hAnsi="Times New Roman"/>
          <w:sz w:val="18"/>
          <w:szCs w:val="18"/>
          <w:color w:val="auto"/>
        </w:rPr>
      </w:pPr>
    </w:p>
    <w:p>
      <w:pPr>
        <w:ind w:left="1200" w:hanging="333"/>
        <w:spacing w:after="0"/>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one share of Stock, as adjusted in accordance with Section 9 (if applicable).</w:t>
      </w:r>
    </w:p>
    <w:p>
      <w:pPr>
        <w:spacing w:after="0" w:line="117" w:lineRule="exact"/>
        <w:rPr>
          <w:rFonts w:ascii="Times New Roman" w:cs="Times New Roman" w:eastAsia="Times New Roman" w:hAnsi="Times New Roman"/>
          <w:sz w:val="18"/>
          <w:szCs w:val="18"/>
          <w:color w:val="auto"/>
        </w:rPr>
      </w:pPr>
    </w:p>
    <w:p>
      <w:pPr>
        <w:ind w:left="1220" w:hanging="353"/>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color w:val="auto"/>
        </w:rPr>
      </w:pPr>
    </w:p>
    <w:p>
      <w:pPr>
        <w:ind w:left="-120" w:right="220" w:firstLine="987"/>
        <w:spacing w:after="0" w:line="286" w:lineRule="auto"/>
        <w:tabs>
          <w:tab w:leader="none" w:pos="119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Grant Agreement</w:t>
      </w:r>
      <w:r>
        <w:rPr>
          <w:rFonts w:ascii="Times New Roman" w:cs="Times New Roman" w:eastAsia="Times New Roman" w:hAnsi="Times New Roman"/>
          <w:sz w:val="18"/>
          <w:szCs w:val="18"/>
          <w:color w:val="auto"/>
        </w:rPr>
        <w:t>” means the agreement between the Company and a Grantee who is awarded Shares under the Plan that contains the terms, conditions and restrictions pertaining to the award of such Shares.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0"/>
          </w:cols>
          <w:pgMar w:left="560" w:top="266" w:right="579" w:bottom="1440" w:gutter="0" w:footer="0" w:header="0"/>
        </w:sectPr>
      </w:pPr>
    </w:p>
    <w:bookmarkStart w:id="138" w:name="page139"/>
    <w:bookmarkEnd w:id="138"/>
    <w:p>
      <w:pPr>
        <w:ind w:left="-20" w:right="400" w:firstLine="987"/>
        <w:spacing w:after="0" w:line="286" w:lineRule="auto"/>
        <w:tabs>
          <w:tab w:leader="none" w:pos="12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means the agreement between the Company and an Optionee that contains the terms, conditions and restrictions pertaining to the Optionee’s Option.</w:t>
      </w:r>
    </w:p>
    <w:p>
      <w:pPr>
        <w:spacing w:after="0" w:line="46" w:lineRule="exact"/>
        <w:rPr>
          <w:rFonts w:ascii="Times New Roman" w:cs="Times New Roman" w:eastAsia="Times New Roman" w:hAnsi="Times New Roman"/>
          <w:sz w:val="18"/>
          <w:szCs w:val="18"/>
          <w:color w:val="auto"/>
        </w:rPr>
      </w:pPr>
    </w:p>
    <w:p>
      <w:pPr>
        <w:ind w:left="-20" w:firstLine="987"/>
        <w:spacing w:after="0" w:line="286" w:lineRule="auto"/>
        <w:tabs>
          <w:tab w:leader="none" w:pos="131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Purchase Agreement</w:t>
      </w:r>
      <w:r>
        <w:rPr>
          <w:rFonts w:ascii="Times New Roman" w:cs="Times New Roman" w:eastAsia="Times New Roman" w:hAnsi="Times New Roman"/>
          <w:sz w:val="18"/>
          <w:szCs w:val="18"/>
          <w:color w:val="auto"/>
        </w:rPr>
        <w:t>” means the agreement between the Company and a Purchaser who purchases Shares under the Plan that contains the terms, conditions and restrictions pertaining to the purchase of such Shares.</w:t>
      </w:r>
    </w:p>
    <w:p>
      <w:pPr>
        <w:spacing w:after="0" w:line="46" w:lineRule="exact"/>
        <w:rPr>
          <w:rFonts w:ascii="Times New Roman" w:cs="Times New Roman" w:eastAsia="Times New Roman" w:hAnsi="Times New Roman"/>
          <w:sz w:val="18"/>
          <w:szCs w:val="18"/>
          <w:color w:val="auto"/>
        </w:rPr>
      </w:pPr>
    </w:p>
    <w:p>
      <w:pPr>
        <w:jc w:val="both"/>
        <w:ind w:left="-20" w:right="20" w:firstLine="987"/>
        <w:spacing w:after="0" w:line="262" w:lineRule="auto"/>
        <w:tabs>
          <w:tab w:leader="none" w:pos="131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66" w:right="47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OF SHARES RESERVED FOR ISSUANCE UNDER THE PLAN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 Board</w:t>
            </w:r>
          </w:p>
        </w:tc>
        <w:tc>
          <w:tcPr>
            <w:tcW w:w="33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Date of Stockholder</w:t>
            </w:r>
          </w:p>
        </w:tc>
        <w:tc>
          <w:tcPr>
            <w:tcW w:w="2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Number</w:t>
            </w:r>
          </w:p>
        </w:tc>
      </w:tr>
      <w:tr>
        <w:trPr>
          <w:trHeight w:val="187"/>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33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Added</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91"/>
        </w:trPr>
        <w:tc>
          <w:tcPr>
            <w:tcW w:w="2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11/14/2011</w:t>
            </w:r>
          </w:p>
        </w:tc>
        <w:tc>
          <w:tcPr>
            <w:tcW w:w="12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11/14/2011</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right="513"/>
              <w:spacing w:after="0" w:line="191" w:lineRule="exact"/>
              <w:rPr>
                <w:sz w:val="20"/>
                <w:szCs w:val="20"/>
                <w:color w:val="auto"/>
              </w:rPr>
            </w:pPr>
            <w:r>
              <w:rPr>
                <w:rFonts w:ascii="Times New Roman" w:cs="Times New Roman" w:eastAsia="Times New Roman" w:hAnsi="Times New Roman"/>
                <w:sz w:val="18"/>
                <w:szCs w:val="18"/>
                <w:color w:val="auto"/>
                <w:w w:val="99"/>
              </w:rPr>
              <w:t>Not Applicable</w:t>
            </w:r>
          </w:p>
        </w:tc>
        <w:tc>
          <w:tcPr>
            <w:tcW w:w="100" w:type="dxa"/>
            <w:vAlign w:val="bottom"/>
          </w:tcPr>
          <w:p>
            <w:pPr>
              <w:spacing w:after="0"/>
              <w:rPr>
                <w:sz w:val="16"/>
                <w:szCs w:val="16"/>
                <w:color w:val="auto"/>
              </w:rPr>
            </w:pPr>
          </w:p>
        </w:tc>
        <w:tc>
          <w:tcPr>
            <w:tcW w:w="2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1,446,758</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10/29/2014</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w w:val="99"/>
              </w:rPr>
              <w:t>355,754</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1,802,512</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10/27/2015</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w w:val="99"/>
              </w:rPr>
              <w:t>500,000</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2,302,512</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08/19/2016</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08/19/2016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9"/>
              </w:rPr>
              <w:t>4,814,478</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7,116,990</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07/03/2018</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07/03/2018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9"/>
              </w:rPr>
              <w:t>7,541,425</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14,658,415</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05/06/2019</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w w:val="99"/>
              </w:rPr>
              <w:t>300,000</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14,958,415</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07/17/2019</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9"/>
              </w:rPr>
              <w:t>1,515,200</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16,473,615</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03/22/2021</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9"/>
              </w:rPr>
              <w:t>4,123,000</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20,596,615</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9/19/2022</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10,092,204</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30,688,819</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3"/>
          </w:tcPr>
          <w:p>
            <w:pPr>
              <w:jc w:val="center"/>
              <w:ind w:left="1572"/>
              <w:spacing w:after="0"/>
              <w:rPr>
                <w:sz w:val="20"/>
                <w:szCs w:val="20"/>
                <w:color w:val="auto"/>
              </w:rPr>
            </w:pPr>
            <w:r>
              <w:rPr>
                <w:rFonts w:ascii="Times New Roman" w:cs="Times New Roman" w:eastAsia="Times New Roman" w:hAnsi="Times New Roman"/>
                <w:sz w:val="18"/>
                <w:szCs w:val="18"/>
                <w:color w:val="auto"/>
                <w:w w:val="99"/>
              </w:rPr>
              <w:t>*10:1 reverse split*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12/12/2022</w:t>
            </w:r>
          </w:p>
        </w:tc>
        <w:tc>
          <w:tcPr>
            <w:tcW w:w="1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25,214,437</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28,283,319</w:t>
            </w:r>
          </w:p>
        </w:tc>
      </w:tr>
      <w:tr>
        <w:trPr>
          <w:trHeight w:val="234"/>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10/24/2024</w:t>
            </w:r>
          </w:p>
        </w:tc>
        <w:tc>
          <w:tcPr>
            <w:tcW w:w="1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11/26/2024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21,116,294</w:t>
            </w:r>
          </w:p>
        </w:tc>
        <w:tc>
          <w:tcPr>
            <w:tcW w:w="1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49,399,613</w:t>
            </w:r>
          </w:p>
        </w:tc>
      </w:tr>
      <w:tr>
        <w:trPr>
          <w:trHeight w:val="36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3"/>
          </w:tcPr>
          <w:p>
            <w:pPr>
              <w:jc w:val="center"/>
              <w:ind w:left="1552"/>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7670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8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or the Administrator may delegate any or all of its powers under the Plan to one or more Committees or committees of officers of the Company or any of its Subsidiaries; provided, that in no event shall any officer of the Company be delegated the authority to grant Awards to, or amend Awards held by, individuals who are subject to Section 16 of the Exchange Act or officers of the Company (or non-employee Directors) to whom the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further subject to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w:t>
      </w:r>
    </w:p>
    <w:p>
      <w:pPr>
        <w:sectPr>
          <w:pgSz w:w="11900" w:h="16838" w:orient="portrait"/>
          <w:cols w:equalWidth="0" w:num="1">
            <w:col w:w="11020"/>
          </w:cols>
          <w:pgMar w:left="440" w:top="117" w:right="439" w:bottom="1440" w:gutter="0" w:footer="0" w:header="0"/>
        </w:sectPr>
      </w:pPr>
    </w:p>
    <w:bookmarkStart w:id="141" w:name="page142"/>
    <w:bookmarkEnd w:id="14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xml:space="preserve"> 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In addition,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Shares purchased on the open market with the cash proceeds from the exercise of Options shall not be added to the Shares authorized for grant under Section 4.1 and shall not be available for future grants of Awards.</w:t>
      </w:r>
    </w:p>
    <w:p>
      <w:pPr>
        <w:spacing w:after="0" w:line="19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45,715,035 Shares may be issued pursuant to the exercise of Incentive Stock Options.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any Subsidiary or the Company’s or any Subsidiary’s acquisition of an entity’s property or equity securities, the Administrator may grant Awards in substitution for any options or other equity or equity-based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equity securities available under a pre-existing plan approved by equityholders and not adopted in contemplation of such acquisition or combination, the equity securities available for grant pursuant to the terms of such pre-existing plan (as adjusted, to the extent appropriate, using the exchange ratio or other adjustment or valuation ratio or formula used in such acquisition or combination to determine the consideration payable to the equityholders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9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(or, with respect to the first fiscal year of the Company during which a non-employee Director first serves as a non-employee Director, $1,000,000) (in either case, the “</w:t>
      </w:r>
      <w:r>
        <w:rPr>
          <w:rFonts w:ascii="Times New Roman" w:cs="Times New Roman" w:eastAsia="Times New Roman" w:hAnsi="Times New Roman"/>
          <w:sz w:val="18"/>
          <w:szCs w:val="18"/>
          <w:b w:val="1"/>
          <w:bCs w:val="1"/>
          <w:i w:val="1"/>
          <w:iCs w:val="1"/>
          <w:color w:val="auto"/>
        </w:rPr>
        <w:t>Non-Employee Director Limit</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42" w:name="page143"/>
    <w:bookmarkEnd w:id="142"/>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which amount shall be payable in cash, Shares valued at fair market value or a combination of the two as the Administrator may determine or provide in the applicable Award Agreement.</w:t>
      </w:r>
    </w:p>
    <w:p>
      <w:pPr>
        <w:spacing w:after="0" w:line="188"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Unless otherwise determined by the Administrator,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exercise price of any Substitute Award shall be determined in accordance with the applicable requirements of Sections 424 and 409A of the Code.</w:t>
      </w:r>
    </w:p>
    <w:p>
      <w:pPr>
        <w:spacing w:after="0" w:line="187"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w:t>
      </w:r>
    </w:p>
    <w:p>
      <w:pPr>
        <w:spacing w:after="0" w:line="3" w:lineRule="exact"/>
        <w:rPr>
          <w:sz w:val="20"/>
          <w:szCs w:val="20"/>
          <w:color w:val="auto"/>
        </w:rPr>
      </w:pPr>
    </w:p>
    <w:p>
      <w:pPr>
        <w:ind w:left="4" w:hanging="4"/>
        <w:spacing w:after="0" w:line="253"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automatically extended until the date that is 30 days after the end of the legal prohibition, black-out period or lock-up agreement, as determined by the Company; provided, however, in no event shall the extension last beyond the ten year term (or any shorter maximum, if applicable) of the applicable Option or Stock Appreciation Right.</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(or its Agent) a written notice of exercise, in a form approved by the Administrator (which may be electronic and provided through the online platform maintained by an Agent), signed or submitted by the person authorized to exercise the Option or Stock Appreciation Right, together with, as applicable, payment in full of the required amount(s), in each case, as applicable,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143" w:name="page144"/>
    <w:bookmarkEnd w:id="143"/>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 online payment through the Agent’s electronic platform or by wire transfer of immediately available funds to the Agent (or, in each case, if the Company has no Agent accepting payment, by wire transfer of immediately available funds to the Company) or, solely with the consent of the Administrator (in its discretion), by:</w:t>
      </w:r>
    </w:p>
    <w:p>
      <w:pPr>
        <w:spacing w:after="0" w:line="72" w:lineRule="exact"/>
        <w:rPr>
          <w:sz w:val="20"/>
          <w:szCs w:val="20"/>
          <w:color w:val="auto"/>
        </w:rPr>
      </w:pPr>
    </w:p>
    <w:p>
      <w:pPr>
        <w:ind w:right="40" w:firstLine="987"/>
        <w:spacing w:after="0" w:line="282"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 payable to the order of the Company, provided that the Administrator may limit the use of one of the foregoing payment forms if one or more of the payment forms below is permitted;</w:t>
      </w:r>
    </w:p>
    <w:p>
      <w:pPr>
        <w:spacing w:after="0" w:line="53"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pay the exercise price, or (ii) the Participant’s delivery to the Company of a copy of irrevocable and unconditional instructions to a broker acceptable to the Administrator to deliver promptly to the Company cash or a check sufficient to pay the exercise price; provided that such amount is paid to the Company at such time as may be required by the Administrator;</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(either by actual delivery or attestation) of Shares owned by the Participant valued at their fair market value on the delivery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Shares then issuable upon the Option’s exercise valued at their fair market value on the exercise date;</w:t>
      </w:r>
    </w:p>
    <w:p>
      <w:pPr>
        <w:spacing w:after="0" w:line="117"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Participants subject to Section 13(k) of the Exchange Act with respect to the Company or its Subsidiaries, delivery of a promissory note, in a form determined by or acceptable to the Administrator, or any other property that the Administrator determines is good and valuable consideration; or</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payment forms.</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by becoming exercisable with respect to Shares having a fair market value exceeding the $100,000 limitation under Treasury Regulation Section 1.422-4, will be a Non-Qualified Stock Option.</w:t>
      </w:r>
    </w:p>
    <w:p>
      <w:pPr>
        <w:spacing w:after="0" w:line="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Dividends or Dividend Equivalents</w:t>
      </w:r>
      <w:r>
        <w:rPr>
          <w:rFonts w:ascii="Times New Roman" w:cs="Times New Roman" w:eastAsia="Times New Roman" w:hAnsi="Times New Roman"/>
          <w:sz w:val="18"/>
          <w:szCs w:val="18"/>
          <w:color w:val="auto"/>
        </w:rPr>
        <w:t>. No dividends or Dividend Equivalents shall be payable with respect to Options or Stock Appreciation Rights.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Restricted Stock Units to any Service Provider, which may be subject to vesting and forfeiture conditions during the applicable restriction period or periods that the Administrator establishes for such Award,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83"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firstLine="987"/>
        <w:spacing w:after="0" w:line="261"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Restricted Stock Units may be settled in cash or in Shares, as determined by the Administrator and set forth in the applicable Award Agreement.</w:t>
      </w:r>
    </w:p>
    <w:p>
      <w:pPr>
        <w:spacing w:after="0" w:line="71"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53"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For clarity, Dividend Equivalents with respect to an Award of Restricted Stock Units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 or unless deferred in a manner intended to comply with Section 409A.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or any combination of the foregoing, as the Administrator determines. Subject to the provisions of the Plan, the Administrator will determine the terms and conditions of each Other Stock or Cash Based Award, including any purchase price, performance goal(s) (which may be based on the Performance Criteria),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dividends or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46" w:name="page147"/>
    <w:bookmarkEnd w:id="146"/>
    <w:p>
      <w:pPr>
        <w:jc w:val="both"/>
        <w:ind w:left="4" w:right="1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w:t>
      </w:r>
    </w:p>
    <w:p>
      <w:pPr>
        <w:spacing w:after="0" w:line="2" w:lineRule="exact"/>
        <w:rPr>
          <w:sz w:val="20"/>
          <w:szCs w:val="20"/>
          <w:color w:val="auto"/>
        </w:rPr>
      </w:pPr>
    </w:p>
    <w:p>
      <w:pPr>
        <w:jc w:val="both"/>
        <w:ind w:left="4" w:right="80" w:hanging="4"/>
        <w:spacing w:after="0" w:line="255" w:lineRule="auto"/>
        <w:tabs>
          <w:tab w:leader="none" w:pos="2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7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5"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5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53" w:lineRule="exact"/>
        <w:rPr>
          <w:rFonts w:ascii="Times New Roman" w:cs="Times New Roman" w:eastAsia="Times New Roman" w:hAnsi="Times New Roman"/>
          <w:sz w:val="18"/>
          <w:szCs w:val="18"/>
          <w:color w:val="auto"/>
        </w:rPr>
      </w:pPr>
    </w:p>
    <w:p>
      <w:pPr>
        <w:ind w:left="4" w:right="220" w:firstLine="987"/>
        <w:spacing w:after="0" w:line="261" w:lineRule="auto"/>
        <w:tabs>
          <w:tab w:leader="none" w:pos="12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71"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25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or applicable performance goals), and the criteria included in, outstanding Awards;</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117"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an award (which may include, without limitation, a cash-based award) with substantially the same value as, and vesting terms that are no less favorable than those applicable to, the underlying award, in each case, as of immediately prior to the Change in Control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47" w:name="page148"/>
    <w:bookmarkEnd w:id="14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(ii) determined by reference to the number of Shares subject to such Award and net of any applicable exercise price; provided that to the extent that any Award constitutes “nonqualified deferred compensation” that may not be paid upon the Change in Control under Section 409A (to the extent applicable to such Award)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81"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5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Options and Stock Appreciation Rights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7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48" w:name="page149"/>
    <w:bookmarkEnd w:id="148"/>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3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a Participant’s Disability, death, retirement or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72" w:lineRule="exact"/>
        <w:rPr>
          <w:sz w:val="20"/>
          <w:szCs w:val="20"/>
          <w:color w:val="auto"/>
        </w:rPr>
      </w:pPr>
    </w:p>
    <w:p>
      <w:pPr>
        <w:ind w:left="4" w:right="80" w:firstLine="440"/>
        <w:spacing w:after="0" w:line="267"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or one of its Subsidiaries may deduct an amount sufficient to satisfy such tax obligations based on the applicable statutory withholding rates (or such other rate as may be determined by the Administrator after considering any accounting consequences or costs) from any payment of any kind otherwise due to a Participant. Subject to Section 10.8 and any Company insider trading policy (including blackout periods), Participants may satisfy such tax obligations through the Agent’s electronic platform or by wire transfer of immediately available funds to the Agent (or, in each case, if the Company has no Agent accepting payment, by wire transfer of immediately available funds to the Company) or, solely with the consent of the Administrator, by (a) cash, wire transfer of immediately available funds or check made payable to the order of the Company, (b) delivery of Shares (in whole or in part), including Shares delivered by attestation and Shares retained from the Award creating the tax obligation, valued at their fair market value on the date of delivery,</w:t>
      </w:r>
    </w:p>
    <w:p>
      <w:pPr>
        <w:spacing w:after="0" w:line="5" w:lineRule="exact"/>
        <w:rPr>
          <w:sz w:val="20"/>
          <w:szCs w:val="20"/>
          <w:color w:val="auto"/>
        </w:rPr>
      </w:pPr>
    </w:p>
    <w:p>
      <w:pPr>
        <w:ind w:left="4" w:right="80" w:hanging="4"/>
        <w:spacing w:after="0" w:line="251"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the tax obligations are satisfied,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satisfy the tax obligations, or (ii) delivery by the Participant to the Company of a copy of irrevocable and unconditional instructions to a broker acceptable to the Administrator to deliver promptly to the Company cash or a check sufficient to satisfy the tax withholding; provided that such amount is paid to the Company at such time as may be required by the Administrator, or (d)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for clarity, may be less than such maximum individual statutory tax rate if so determined by the Administrator.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49" w:name="page150"/>
    <w:bookmarkEnd w:id="149"/>
    <w:p>
      <w:pPr>
        <w:ind w:left="4" w:right="10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Times New Roman" w:cs="Times New Roman" w:eastAsia="Times New Roman" w:hAnsi="Times New Roman"/>
          <w:sz w:val="17"/>
          <w:szCs w:val="17"/>
          <w:u w:val="single" w:color="auto"/>
          <w:color w:val="auto"/>
        </w:rPr>
        <w:t>Amendment of Award; Repricing</w:t>
      </w:r>
      <w:r>
        <w:rPr>
          <w:rFonts w:ascii="Times New Roman" w:cs="Times New Roman" w:eastAsia="Times New Roman" w:hAnsi="Times New Roman"/>
          <w:sz w:val="17"/>
          <w:szCs w:val="17"/>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 Notwithstanding the foregoing or anything in the Plan to the contrary, the Administrator may, without the approval of the stockholders of the Company,</w:t>
      </w:r>
    </w:p>
    <w:p>
      <w:pPr>
        <w:spacing w:after="0" w:line="3" w:lineRule="exact"/>
        <w:rPr>
          <w:sz w:val="20"/>
          <w:szCs w:val="20"/>
          <w:color w:val="auto"/>
        </w:rPr>
      </w:pPr>
    </w:p>
    <w:p>
      <w:pPr>
        <w:ind w:left="4" w:right="220" w:hanging="4"/>
        <w:spacing w:after="0" w:line="255" w:lineRule="auto"/>
        <w:tabs>
          <w:tab w:leader="none" w:pos="2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per share of outstanding Options or Stock Appreciation Rights or (ii)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78"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8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54"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54"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Broker-Assisted Sales</w:t>
      </w:r>
      <w:r>
        <w:rPr>
          <w:rFonts w:ascii="Times New Roman" w:cs="Times New Roman" w:eastAsia="Times New Roman" w:hAnsi="Times New Roman"/>
          <w:sz w:val="17"/>
          <w:szCs w:val="17"/>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 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Subsidiaries harmless from any losses, costs, damages, or expenses relating to any such sale; (d) to the extent the Company, its Subsidiaries or their designee receives proceeds of such sale that exceed the amount owed, the Company or its Subsidiary will pay such excess in cash to the applicable Participant as soon as reasonably practicable; (e) the Company, its Subsidiaries and their designees are under no obligation to arrange for such sale at any particular price; and</w:t>
      </w:r>
    </w:p>
    <w:p>
      <w:pPr>
        <w:ind w:left="4" w:right="600" w:hanging="4"/>
        <w:spacing w:after="0" w:line="255" w:lineRule="auto"/>
        <w:tabs>
          <w:tab w:leader="none" w:pos="22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proceeds of such sale are insufficient to satisfy the Participant’s applicable obligation, the Participant may be required to pay immediately upon demand to the Company, its Subsidiaries or their designee an amount in cash sufficient to satisfy any remaining portion of the Participant’s obligation.</w:t>
      </w:r>
    </w:p>
    <w:p>
      <w:pPr>
        <w:spacing w:after="0" w:line="3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50" w:name="page151"/>
    <w:bookmarkEnd w:id="150"/>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7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date on which the Closing is consummated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will remain in effect until the tenth anniversary of the Effective Date, but Awards previously granted may extend beyond that date in accordance with the Plan. Notwithstanding anything to the contrary in the Plan, an Incentive Stock Option may not be granted under the Plan after 10 years from the earlier of (a) the date the Board adopted the Plan or (b) the date the Company’s stockholders approved the Plan. If the Plan is not approved by the Company’s stockholders, the Plan will not become effective and no Awards will be granted under the Plan.</w:t>
      </w:r>
    </w:p>
    <w:p>
      <w:pPr>
        <w:spacing w:after="0" w:line="7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at any time; provided that no amendment, other than (a) as permitted by the applicable Award Agreement, (b) as provided under Sections 10.6 and 10.15, or (c)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increase the Non-Employee Director Limit or to the extent necessary to comply with Applicable Laws.</w:t>
      </w:r>
    </w:p>
    <w:p>
      <w:pPr>
        <w:spacing w:after="0" w:line="8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54"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1" w:name="page152"/>
    <w:bookmarkEnd w:id="15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72" w:lineRule="exact"/>
        <w:rPr>
          <w:sz w:val="20"/>
          <w:szCs w:val="20"/>
          <w:color w:val="auto"/>
        </w:rPr>
      </w:pPr>
    </w:p>
    <w:p>
      <w:pPr>
        <w:ind w:right="80" w:firstLine="987"/>
        <w:spacing w:after="0" w:line="277" w:lineRule="auto"/>
        <w:tabs>
          <w:tab w:leader="none" w:pos="124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59" w:lineRule="exact"/>
        <w:rPr>
          <w:rFonts w:ascii="Times New Roman" w:cs="Times New Roman" w:eastAsia="Times New Roman" w:hAnsi="Times New Roman"/>
          <w:sz w:val="17"/>
          <w:szCs w:val="17"/>
          <w:color w:val="auto"/>
        </w:rPr>
      </w:pPr>
    </w:p>
    <w:p>
      <w:pPr>
        <w:ind w:right="40" w:firstLine="987"/>
        <w:spacing w:after="0" w:line="254"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her or its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8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7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52" w:name="page153"/>
    <w:bookmarkEnd w:id="152"/>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and its Subsidiaries hold regarding such Participant, request additional information about the storage and processing of the Data regarding such Participant, recommend any necessary corrections to the Data regarding the Participant or refuse or withdraw the consents provided for in this Section 10.9 in writing, without cost, by contacting the local human resources representative. If the Participant refuses or withdraws the consents provided for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88"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6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7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5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the Company’s Policy for Recovery of Erroneously Awarded Compensation and to any claw- back policy implemented by the Company, including, without limitation, any claw-back policy adopted to comply with Applicable Laws, as and to the extent set forth in such claw-back policy or the Award Agreement.</w:t>
      </w:r>
    </w:p>
    <w:p>
      <w:pPr>
        <w:spacing w:after="0" w:line="7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53" w:name="page154"/>
    <w:bookmarkEnd w:id="153"/>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6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xml:space="preserve">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6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113"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or a Committee to the extent that the Board’s powers or authority under the Plan have been delegated to such Committee.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4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 Participant with regard to the Plan.</w:t>
      </w:r>
    </w:p>
    <w:p>
      <w:pPr>
        <w:spacing w:after="0" w:line="47"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63"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Dividend Equivalents, or Other Stock or Cash Based Awards.</w:t>
      </w:r>
    </w:p>
    <w:p>
      <w:pPr>
        <w:spacing w:after="0" w:line="47"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54" w:name="page155"/>
    <w:bookmarkEnd w:id="154"/>
    <w:p>
      <w:pPr>
        <w:ind w:right="12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11.7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xml:space="preserve">” means, in respect of a Participant, either (a) the definition of “Cause” contained in the Participant’s Award Agreement or an effective, written service or employment agreement between the Participant and the Company or a Subsidiary of the Company; or (b) if no such agreement exists or such agreement does not define Cause, then Cause shall mean (i) the Participant’s unauthorized use or disclosure of confidential information or trade secrets of the Company or any of its Subsidiaries or any material breach of a written agreement between the Participant and the Company or any of its Subsidiaries, including without limitation a material breach of any employment, confidentiality, non-compete, non-solicit or similar agreement; (ii) the Participant’s commission of, indictment for or the entry of a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by the Participant to, a felony under the laws of the United States or any state thereof or any crime involving dishonesty or moral turpitude (or any similar crime in any jurisdiction outside the United States); (iii) the Participant’s negligence or willful misconduct in the performance of the Participant’s duties or the Participant’s willful or repeated failure or refusal to substantially perform assigned duties; (iv) any act of fraud, embezzlement, material misappropriation or dishonesty committed by the Participant against the Company or any of its Subsidiaries; or (v) any acts, omissions or statements by a Participant which the Company determines to be materially detrimental or damaging to the reputation, operations, prospects or business relations of the Company or any of its Subsidiaries. The findings and decision of the Administrator with respect to any Cause determination will be final and binding for all purposes.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21" w:lineRule="exact"/>
        <w:rPr>
          <w:sz w:val="20"/>
          <w:szCs w:val="20"/>
          <w:color w:val="auto"/>
        </w:rPr>
      </w:pPr>
    </w:p>
    <w:p>
      <w:pPr>
        <w:ind w:firstLine="987"/>
        <w:spacing w:after="0" w:line="255"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80"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1" w:lineRule="exact"/>
        <w:rPr>
          <w:rFonts w:ascii="Times New Roman" w:cs="Times New Roman" w:eastAsia="Times New Roman" w:hAnsi="Times New Roman"/>
          <w:sz w:val="18"/>
          <w:szCs w:val="18"/>
          <w:color w:val="auto"/>
        </w:rPr>
      </w:pPr>
    </w:p>
    <w:p>
      <w:pPr>
        <w:ind w:right="80" w:firstLine="1428"/>
        <w:spacing w:after="0" w:line="258" w:lineRule="auto"/>
        <w:tabs>
          <w:tab w:leader="none" w:pos="164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155" w:name="page156"/>
    <w:bookmarkEnd w:id="155"/>
    <w:p>
      <w:pPr>
        <w:ind w:firstLine="1428"/>
        <w:spacing w:after="0" w:line="261" w:lineRule="auto"/>
        <w:tabs>
          <w:tab w:leader="none" w:pos="169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72"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1.409A- 3(i)(5).</w:t>
      </w:r>
    </w:p>
    <w:p>
      <w:pPr>
        <w:spacing w:after="0" w:line="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68"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transactions contemplated by that certain Agreement and Plan of Merger, dated December 22, 2023, by and between BurTech Acquisition Corp., BurTech Merger Sub, Inc., Blaize, Inc. and, solely for the limited purposes set forth therein, Burkhan Capital LLC.</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11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Blaize Holdings, Inc., a Delaware corporation, or any successor.</w:t>
      </w:r>
    </w:p>
    <w:p>
      <w:pPr>
        <w:spacing w:after="0" w:line="117"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consultant or advisor engaged by the Company or any of its Subsidiaries to render services to such entity that qualifies as a consultant or advisor under the applicable rules of Form S-8 Registration Statements.</w:t>
      </w:r>
    </w:p>
    <w:p>
      <w:pPr>
        <w:spacing w:after="0" w:line="47"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440" w:top="270" w:right="599" w:bottom="1440" w:gutter="0" w:footer="0" w:header="0"/>
        </w:sectPr>
      </w:pPr>
    </w:p>
    <w:bookmarkStart w:id="156" w:name="page157"/>
    <w:bookmarkEnd w:id="156"/>
    <w:p>
      <w:pPr>
        <w:jc w:val="both"/>
        <w:ind w:right="50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11.17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24"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11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number or kind of Shares (or other securities of the Company) or the share price of Common Stock (or other securities of the Company) and causes a change in the per share value of the Common Stock underlying outstanding Awards.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7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117"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47" w:lineRule="exact"/>
        <w:rPr>
          <w:sz w:val="20"/>
          <w:szCs w:val="20"/>
          <w:color w:val="auto"/>
        </w:rPr>
      </w:pPr>
    </w:p>
    <w:p>
      <w:pPr>
        <w:ind w:right="120" w:firstLine="440"/>
        <w:spacing w:after="0" w:line="291" w:lineRule="auto"/>
        <w:rPr>
          <w:sz w:val="20"/>
          <w:szCs w:val="20"/>
          <w:color w:val="auto"/>
        </w:rPr>
      </w:pPr>
      <w:r>
        <w:rPr>
          <w:rFonts w:ascii="Times New Roman" w:cs="Times New Roman" w:eastAsia="Times New Roman" w:hAnsi="Times New Roman"/>
          <w:sz w:val="17"/>
          <w:szCs w:val="17"/>
          <w:color w:val="auto"/>
        </w:rPr>
        <w:t>11.28 “</w:t>
      </w:r>
      <w:r>
        <w:rPr>
          <w:rFonts w:ascii="Times New Roman" w:cs="Times New Roman" w:eastAsia="Times New Roman" w:hAnsi="Times New Roman"/>
          <w:sz w:val="17"/>
          <w:szCs w:val="17"/>
          <w:b w:val="1"/>
          <w:bCs w:val="1"/>
          <w:i w:val="1"/>
          <w:iCs w:val="1"/>
          <w:color w:val="auto"/>
        </w:rPr>
        <w:t>Overall Share Limit</w:t>
      </w:r>
      <w:r>
        <w:rPr>
          <w:rFonts w:ascii="Times New Roman" w:cs="Times New Roman" w:eastAsia="Times New Roman" w:hAnsi="Times New Roman"/>
          <w:sz w:val="17"/>
          <w:szCs w:val="17"/>
          <w:color w:val="auto"/>
        </w:rPr>
        <w:t>” means the sum of (a) 18,286,014 Shares; and (b) an annual increase on the first day of each calendar year beginning January 1, 2025 and ending on and including January 1, 2034, equal to the lesser of (i) a number of Shares equal to 7% of the aggregate number of Shares outstanding on the final day of the immediately preceding calendar year and (ii) such smaller number of Shares as is determined by the Board.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11.29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operating efficiency;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collaborations and transactions; financial ratios (including those measuring liquidity, activity, profitability or leverage); debt levels or reductions; sales-related goals; financing and other capital raising transactions; cash on hand; acquisition, licensing or divestiture activity; investment sourcing activity; and marketing initiatives, any of which may be measured in absolute terms or as compared to any incremental increase or decrease. Such performance goals also may be (a) based solely by reference to the Company’s performance or the performance of a Subsidiary, division, business segment or business unit of the Company or a Subsidiary, (b) based upon performance relative to performance of other companies or upon comparisons of any of the indicators of performance relative to performance of other companies, (c) based on GAAP or non-GAAP metrics, and/or (d) adjusted to reflect the impact of unusual or non-recurring transactions, extraordinary events or otherwise as determined by the Administrator.</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2025 Incentive Award Plan.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117"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17"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158" w:name="page159"/>
    <w:bookmarkEnd w:id="1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11.37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117"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66" w:right="5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424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6998970" cy="42418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this Plan is to assist Eligible Employees of the Company and its Designated Subsidiaries in acquiring a stock ownership interest in the Company.</w:t>
      </w:r>
    </w:p>
    <w:p>
      <w:pPr>
        <w:spacing w:after="0" w:line="162" w:lineRule="exact"/>
        <w:rPr>
          <w:sz w:val="20"/>
          <w:szCs w:val="20"/>
          <w:color w:val="auto"/>
        </w:rPr>
      </w:pPr>
    </w:p>
    <w:p>
      <w:pPr>
        <w:ind w:right="280" w:firstLine="440"/>
        <w:spacing w:after="0" w:line="254" w:lineRule="auto"/>
        <w:rPr>
          <w:sz w:val="20"/>
          <w:szCs w:val="20"/>
          <w:color w:val="auto"/>
        </w:rPr>
      </w:pPr>
      <w:r>
        <w:rPr>
          <w:rFonts w:ascii="Times New Roman" w:cs="Times New Roman" w:eastAsia="Times New Roman" w:hAnsi="Times New Roman"/>
          <w:sz w:val="18"/>
          <w:szCs w:val="18"/>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entity that conducts the general administration of the Plan as provided in Article XI.</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ectPr>
          <w:pgSz w:w="11900" w:h="16838" w:orient="portrait"/>
          <w:cols w:equalWidth="0" w:num="1">
            <w:col w:w="11020"/>
          </w:cols>
          <w:pgMar w:left="440" w:top="117" w:right="439" w:bottom="1440" w:gutter="0" w:footer="0" w:header="0"/>
        </w:sectPr>
      </w:pPr>
    </w:p>
    <w:bookmarkStart w:id="160" w:name="page161"/>
    <w:bookmarkEnd w:id="1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issued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and such other securities of the Company that may be substituted therefore.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Blaize Holdings, Inc., a Delaware corporation, or any successor.</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an Eligible Employee means, unless otherwise determined by the Administrator, the gross cash compensation paid by the Company or its Subsidiary (as applicable) to such Eligible Employee as compensation for services to the Company or any Designated Subsidiary, including for clarity, any prior-week adjustments; commissions; cash incentive compensation and one-time bonuses (e.g., retention or sign on bonuses); overtime payments; or compensation paid by the Company or any Designated Subsidiary in respect of periods of absence from work; and excluding any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8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Designated Subsidiary</w:t>
      </w:r>
      <w:r>
        <w:rPr>
          <w:rFonts w:ascii="Times New Roman" w:cs="Times New Roman" w:eastAsia="Times New Roman" w:hAnsi="Times New Roman"/>
          <w:sz w:val="18"/>
          <w:szCs w:val="18"/>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Effectiv</w:t>
      </w: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means the date on which the Company’s stockholders approve the Plan.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xml:space="preserve">” means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Notwithstanding the foregoing, the Administrator may provide in an Offering Document that an Employee shall not be eligible to participate in an Offering Period under the Section 423 Component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20 hours per week or less; (d) such Employee’s customary employment is for less than five months in any calendar year; and/or (e)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exclusion in clauses (a), (b), (c), (d) or (e) shall be applied in an identical manner under each Offering Period to all Employees, in accordance with Treasury Regulation Section 1.423-2(e).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61" w:name="page162"/>
    <w:bookmarkEnd w:id="161"/>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notwithstanding the foregoing, with respect to the Non-Section 423 Component, the first sentence in this definition shall apply in determining who is an “Eligible Employee,” except (i) the Administrator may further limit eligibility within the Company or within a Designated Subsidiary so as to only designate certain Employees of the Company or of a Designated Subsidiary as “Eligible Employees”, and (ii) to the extent the restrictions in the first sentence in this definition are not consistent with any applicable local law, such applicable local law shall control.</w:t>
      </w:r>
    </w:p>
    <w:p>
      <w:pPr>
        <w:spacing w:after="0" w:line="176" w:lineRule="exact"/>
        <w:rPr>
          <w:sz w:val="20"/>
          <w:szCs w:val="20"/>
          <w:color w:val="auto"/>
        </w:rPr>
      </w:pPr>
    </w:p>
    <w:p>
      <w:pPr>
        <w:ind w:firstLine="440"/>
        <w:spacing w:after="0" w:line="263"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individual who renders services to the Company or any Designated Subsidiary in the status of an employee, and, with respect to the Section 423 Component, a person who is an employee of the Company or any Designated Subsidiary within the meaning of</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Enrollment Date</w:t>
      </w:r>
      <w:r>
        <w:rPr>
          <w:rFonts w:ascii="Times New Roman" w:cs="Times New Roman" w:eastAsia="Times New Roman" w:hAnsi="Times New Roman"/>
          <w:sz w:val="18"/>
          <w:szCs w:val="18"/>
          <w:color w:val="auto"/>
        </w:rPr>
        <w:t>” means the first Trading Day of each Offering Period.</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Shares determined as follows: (a)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Shares are not traded on a stock exchange but are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another source the Administrator deems reliable; or (c) without an established market for the Shares, the Administrator will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in its discretion.</w:t>
      </w:r>
    </w:p>
    <w:p>
      <w:pPr>
        <w:spacing w:after="0" w:line="183" w:lineRule="exact"/>
        <w:rPr>
          <w:sz w:val="20"/>
          <w:szCs w:val="20"/>
          <w:color w:val="auto"/>
        </w:rPr>
      </w:pPr>
    </w:p>
    <w:p>
      <w:pPr>
        <w:jc w:val="both"/>
        <w:ind w:right="140" w:firstLine="440"/>
        <w:spacing w:after="0" w:line="26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Non-Section 423 Component</w:t>
      </w:r>
      <w:r>
        <w:rPr>
          <w:rFonts w:ascii="Times New Roman" w:cs="Times New Roman" w:eastAsia="Times New Roman" w:hAnsi="Times New Roman"/>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176"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an offer by the Company under the Plan to Eligible Employees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Treasury Regulation § 1.423-2(a)(1), the terms of each separate Offering under the Section 423 Component need not be identical, provided that the terms of the Section 423 Component and an Offering thereunder together satisfy Treasury Regulation § 1.423-2(a)(2) and (a)(3).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62" w:name="page163"/>
    <w:bookmarkEnd w:id="1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2.18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has the meaning given to such term in Section 4.1.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has the meaning given to such term in Section 4.1.</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Employee who has executed a subscription agreement and been granted rights to purchase Shares pursuant to the Plan.</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2025 Employee Stock Purchase Plan, including both the Section 423 Component and Non-Section 423 Component and any other sub-plans or appendices hereto, as amended from time to time.</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the last Trading Day of each Purchase Period or such other date as determined by the Administrator and set forth in the Offering Document.</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xml:space="preserve">” shall refer to one or more specified periods within an Offering Period, as designated in the applicable Offering Document;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Purchase Period is designated by the Administrator in the applicable Offering Document, the Purchase Period for each Offering Period covered by such Offering Document shall be the same as the applicable Offering Period.</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Purchase Price may be adjusted by the Administrator pursuant to Article VIII and shall not be less than the par value of a Share.</w:t>
      </w:r>
    </w:p>
    <w:p>
      <w:pPr>
        <w:spacing w:after="0" w:line="182" w:lineRule="exact"/>
        <w:rPr>
          <w:sz w:val="20"/>
          <w:szCs w:val="20"/>
          <w:color w:val="auto"/>
        </w:rPr>
      </w:pPr>
    </w:p>
    <w:p>
      <w:pPr>
        <w:ind w:right="460" w:firstLine="440"/>
        <w:spacing w:after="0" w:line="26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Section 423 Component</w:t>
      </w:r>
      <w:r>
        <w:rPr>
          <w:rFonts w:ascii="Times New Roman" w:cs="Times New Roman" w:eastAsia="Times New Roman" w:hAnsi="Times New Roman"/>
          <w:sz w:val="18"/>
          <w:szCs w:val="18"/>
          <w:color w:val="auto"/>
        </w:rPr>
        <w:t>” means those Offerings under the Plan, together with the sub-plans, appendices, rules or procedures, if any, adopted by the Administrator as a part of this Plan or any Offering(s),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share of Common Stock.</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 limited liability company or partnership may be treated as a Subsidiary to the extent either (a) such entity is treated as a disregarded entity under Treasury Regulation</w:t>
      </w:r>
    </w:p>
    <w:p>
      <w:pPr>
        <w:spacing w:after="0" w:line="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63" w:name="page164"/>
    <w:bookmarkEnd w:id="1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2.30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national stock exchanges in the United States are open for trading.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Article VIII, the aggregate number of Shares that may be issued pursuant to rights granted under the Plan shall be 2,031,779 Shares. In addition to the foregoing, subject to Article VIII, on the first day of each calendar year beginning on January 1, 2025 and ending on and including January 1, 2034, the number of Shares available for issuance under the Plan shall be increased by that number of Shares equal to the lesser of (a) 1% of the aggregate number of Shares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5,079,448 Shares, subject to Article VIII.</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Shares Distributed</w:t>
      </w:r>
      <w:r>
        <w:rPr>
          <w:rFonts w:ascii="Times New Roman" w:cs="Times New Roman" w:eastAsia="Times New Roman" w:hAnsi="Times New Roman"/>
          <w:sz w:val="18"/>
          <w:szCs w:val="18"/>
          <w:color w:val="auto"/>
        </w:rPr>
        <w:t>. Any Shares distributed pursuant to the Plan may consist, in whole or in part, of authorized and unissued Shares, treasury shares or Shares purchased on the open market.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OFFERING PERIODS; OFFERING DOCUMENTS; PURCHASE DATES</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Administrator may from time to time grant or provide for the grant of rights to purchase Shares under the Plan to Eligible Employees during one or more periods (each, an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selected by the Administrator. The terms and conditions applicable to each Offering Period shall be set forth in an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adopted by the Administrator from time to time, which Offering Document shall be in such form and shall contain such terms and conditions as the Administrator shall deem appropriate and shall be incorporated by reference into and made part of the Plan. The Administrator shall establish in each Offering Document one or more Purchase Periods within such Offering Period during which rights granted under the Plan shall be exercised and purchases of Shares carried out in accordance with such Offering Document and the Plan. The provisions of separate Offerings or Offering Periods under the Plan may be partially or wholly concurrent and need not be identical.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Each Offering Document with respect to an Offering Period shall specify (through incorporation of the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by reference or otherwise):</w:t>
      </w:r>
    </w:p>
    <w:p>
      <w:pPr>
        <w:spacing w:after="0" w:line="99" w:lineRule="exact"/>
        <w:rPr>
          <w:sz w:val="20"/>
          <w:szCs w:val="20"/>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Offering Period, which period shall not exceed 27 months;</w:t>
      </w:r>
    </w:p>
    <w:p>
      <w:pPr>
        <w:spacing w:after="0" w:line="225"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Purchase Period(s) within the Offering Period, which period(s), in the absence of a contrary designation by the Administrator, shall not exceed six months;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Offering Period that contains more than one Purchase Period, the maximum aggregate number of Shares which may be purchased by any Eligible Employee during each Purchase Period (if applicable), which, in the absence of a contrary designation by the Administrator, shall be 5,000 Shares (and which, for the Section 423 Component Offering Periods, shall be subject to the limitations described in Section 5.5 below);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64" w:name="page165"/>
    <w:bookmarkEnd w:id="164"/>
    <w:p>
      <w:pPr>
        <w:ind w:right="20" w:firstLine="987"/>
        <w:spacing w:after="0" w:line="266"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maximum number of Shares that may be purchased by any Eligible Employee during such Offering Period (if applicable), which, in the absence of a contrary designation by the Administrator, shall be 20,000 Shares (and which, for the Section 423 Component Offering Periods, shall be subject to the limitations described in Section 5.5 below);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as the Administrator determines are appropriate, subject to the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0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Enrollment in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maximum percentage shall be 15% in the absence of any such designation) as payroll deductions;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The payroll deductions made for each Participant shall be credited to an account for such Participant under the Plan and shall be deposited with the general funds of the Company.</w:t>
      </w:r>
    </w:p>
    <w:p>
      <w:pPr>
        <w:spacing w:after="0" w:line="194" w:lineRule="exact"/>
        <w:rPr>
          <w:rFonts w:ascii="Times New Roman" w:cs="Times New Roman" w:eastAsia="Times New Roman" w:hAnsi="Times New Roman"/>
          <w:sz w:val="18"/>
          <w:szCs w:val="18"/>
          <w:color w:val="auto"/>
        </w:rPr>
      </w:pPr>
    </w:p>
    <w:p>
      <w:pPr>
        <w:ind w:right="100" w:firstLine="987"/>
        <w:spacing w:after="0" w:line="255"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the terms of an Offering Document, a Participant may increase or decrease the percentage of Compensation designated in his or her subscription agreement, subject to the limits of this Section 5.2, or may suspend his or her payroll deductions, in any case, at any time during an Offering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Administrator may limit or eliminate the type or number of changes a Participant may make to his or her payroll deduction elections during each Offering Period in the applicable Offering Document (and in the absence of any specific designation by the Administrator, a Participant shall be allowed to decrease, increase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suspend his or her payroll deduction elections, in each case, once during each Offering Period). Any such change or suspension of payroll deductions shall be effective with the first full payroll period starting at least five business days after the Company’s receipt of the new subscription agreement (or such shorter or longer period as may be specified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5" w:name="page166"/>
    <w:bookmarkEnd w:id="16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Administrator in the applicable Offering Document). If a Participant suspends his or her payroll deductions during an Offering Period: such Participant’s cumulative unapplied payroll deductions prior to the suspension (if any) shall remain in his or her account and shall be applied to the purchase of Shares on the next occurring Purchase Date. For clarity, if a Participant who suspends participation in an Offering Period ceases to be an Eligible Employee or he or she withdraws from participation in such Offering Period, in either case, prior to the Purchase Date next-following his or her suspension of participation in the Offering Period, in any case, such Participant’s cumulative unapplied payroll deductions shall be returned to him or her in accordance with Article VII.</w:t>
      </w:r>
    </w:p>
    <w:p>
      <w:pPr>
        <w:spacing w:after="0" w:line="187" w:lineRule="exact"/>
        <w:rPr>
          <w:sz w:val="20"/>
          <w:szCs w:val="20"/>
          <w:color w:val="auto"/>
        </w:rPr>
      </w:pPr>
    </w:p>
    <w:p>
      <w:pPr>
        <w:ind w:right="80" w:firstLine="987"/>
        <w:spacing w:after="0" w:line="282"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herein or in an Offering Document or as otherwise determined by the Administrator, a Participant may participate in the Plan only by means of payroll deduction and may not make contributions by lump sum payment for any Offering Period.</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xml:space="preserve">. Except as otherwise provided herein or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any non-U.S. jurisdiction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any Offering under the Section 423 Component, the Administrator shall take into consideration any limitations under Section 423 of the Code when applying an alternative method of contribution.</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Effect of Enrollment</w:t>
      </w:r>
      <w:r>
        <w:rPr>
          <w:rFonts w:ascii="Times New Roman" w:cs="Times New Roman" w:eastAsia="Times New Roman" w:hAnsi="Times New Roman"/>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Limitation on Purchase of Shares</w:t>
      </w:r>
      <w:r>
        <w:rPr>
          <w:rFonts w:ascii="Times New Roman" w:cs="Times New Roman" w:eastAsia="Times New Roman" w:hAnsi="Times New Roman"/>
          <w:sz w:val="18"/>
          <w:szCs w:val="18"/>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Suspension of Payroll Deductions</w:t>
      </w:r>
      <w:r>
        <w:rPr>
          <w:rFonts w:ascii="Times New Roman" w:cs="Times New Roman" w:eastAsia="Times New Roman" w:hAnsi="Times New Roman"/>
          <w:sz w:val="18"/>
          <w:szCs w:val="18"/>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within 30 days after the Purchase Date.</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Foreign Employees</w:t>
      </w:r>
      <w:r>
        <w:rPr>
          <w:rFonts w:ascii="Times New Roman" w:cs="Times New Roman" w:eastAsia="Times New Roman" w:hAnsi="Times New Roman"/>
          <w:sz w:val="18"/>
          <w:szCs w:val="18"/>
          <w:color w:val="auto"/>
        </w:rPr>
        <w:t>. In order to facilitate participation in the Plan, the Administrator may provide for such special terms, rules and procedures applicable to Participants who are citizens or residents of a foreign jurisdiction, or who are employed by a Designated Subsidiary outside of the United States, as the Administrator may consider necessary or appropriate to accommodate differences in local law, tax</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6" w:name="page167"/>
    <w:bookmarkEnd w:id="16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except as otherwise set forth therein. The adoption of any such appendix or sub-plan shall be pursuant to Section 11.2(f) and any other applicable provision herein.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meeting the requirements of Treasury Regulation</w:t>
      </w:r>
    </w:p>
    <w:p>
      <w:pPr>
        <w:spacing w:after="0" w:line="27" w:lineRule="exact"/>
        <w:rPr>
          <w:sz w:val="20"/>
          <w:szCs w:val="20"/>
          <w:color w:val="auto"/>
        </w:rPr>
      </w:pPr>
    </w:p>
    <w:p>
      <w:pPr>
        <w:ind w:left="4" w:right="200"/>
        <w:spacing w:after="0" w:line="260" w:lineRule="auto"/>
        <w:rPr>
          <w:sz w:val="20"/>
          <w:szCs w:val="20"/>
          <w:color w:val="auto"/>
        </w:rPr>
      </w:pPr>
      <w:r>
        <w:rPr>
          <w:rFonts w:ascii="Times New Roman" w:cs="Times New Roman" w:eastAsia="Times New Roman" w:hAnsi="Times New Roman"/>
          <w:sz w:val="18"/>
          <w:szCs w:val="18"/>
          <w:color w:val="auto"/>
        </w:rPr>
        <w:t>Section 1.421-1(h)(2) under the Code, unless otherwise set forth in the terms of an Offering Document, a Participant may continue participation in the Plan by making cash payments to the Company on his or her normal payday equal to the Participant’s authorized payroll deduction.</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GRANT AND EXERCISE OF RIGHTS</w:t>
      </w:r>
    </w:p>
    <w:p>
      <w:pPr>
        <w:spacing w:after="0" w:line="207"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Grant of Rights</w:t>
      </w:r>
      <w:r>
        <w:rPr>
          <w:rFonts w:ascii="Times New Roman" w:cs="Times New Roman" w:eastAsia="Times New Roman" w:hAnsi="Times New Roman"/>
          <w:sz w:val="17"/>
          <w:szCs w:val="17"/>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244" w:hanging="244"/>
        <w:spacing w:after="0"/>
        <w:tabs>
          <w:tab w:leader="none" w:pos="2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payroll deductions accumulated prior to such Purchase Date and retained in the Participant’s account as of the Purchase Date, by</w:t>
      </w:r>
    </w:p>
    <w:p>
      <w:pPr>
        <w:spacing w:after="0" w:line="9" w:lineRule="exact"/>
        <w:rPr>
          <w:rFonts w:ascii="Times New Roman" w:cs="Times New Roman" w:eastAsia="Times New Roman" w:hAnsi="Times New Roman"/>
          <w:sz w:val="18"/>
          <w:szCs w:val="18"/>
          <w:color w:val="auto"/>
        </w:rPr>
      </w:pPr>
    </w:p>
    <w:p>
      <w:pPr>
        <w:ind w:left="4" w:right="80" w:hanging="4"/>
        <w:spacing w:after="0" w:line="260"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Purchase Price (rounded down to the nearest Share). The right shall expire on the last day of the Offering Period, or if earlier, the date on which the Participant withdraws in accordance with Section 7.1 or Section 7.3.</w:t>
      </w:r>
    </w:p>
    <w:p>
      <w:pPr>
        <w:spacing w:after="0" w:line="181"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On each Purchase Date, each Participant’s accumulated payroll deductions and any other additional payments specifically provided for herein 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18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Pro Rata Allocation of Shares</w:t>
      </w:r>
      <w:r>
        <w:rPr>
          <w:rFonts w:ascii="Times New Roman" w:cs="Times New Roman" w:eastAsia="Times New Roman" w:hAnsi="Times New Roman"/>
          <w:sz w:val="18"/>
          <w:szCs w:val="18"/>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67" w:name="page168"/>
    <w:bookmarkEnd w:id="16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CESSATION OF ELIGIBILITY</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30 days prior to the end of the then-applicable Purchase Period (or such shorter or longer period as may be specified by the Administrator in the applicable Offering Document). All of the Participant’s payroll deductions credited to his or her account during such Purchase Period and not yet used to exercise rights under the Plan shall be paid to such Participant as soon as reasonably practicable after receipt of notice of withdrawal, such Participant’s rights for the Offering Period shall be automatically terminated, and no further payroll deductions for the purchase of Shares shall be made for such Offering Period. If a Participant withdraws from an Offering Period (including by virtue of a suspension as described in Section 5.2(c) above), payroll deductions shall not resume at the beginning of any subsequent Offering Period unless the Participant is an Eligible Employee and timely delivers to the Company a new subscription agreement by the applicable enrollment deadline for any such subsequent Offering Period, as determined by the Administrator.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68" w:name="page169"/>
    <w:bookmarkEnd w:id="168"/>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Future Participation</w:t>
      </w:r>
      <w:r>
        <w:rPr>
          <w:rFonts w:ascii="Times New Roman" w:cs="Times New Roman" w:eastAsia="Times New Roman" w:hAnsi="Times New Roman"/>
          <w:sz w:val="18"/>
          <w:szCs w:val="18"/>
          <w:color w:val="auto"/>
        </w:rPr>
        <w:t>. A Participant’s withdrawal from an Offering Period shall not have any effect upon his or her eligibility to participate in any similar plan that may hereafter be adopted by the Company or a Designated Subsidiary or in any subsequent Offering Period that commences on or after the Participant’s withdrawal from any Offering Period.</w:t>
      </w:r>
    </w:p>
    <w:p>
      <w:pPr>
        <w:spacing w:after="0" w:line="176"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Cessation of Eligibility</w:t>
      </w:r>
      <w:r>
        <w:rPr>
          <w:rFonts w:ascii="Times New Roman" w:cs="Times New Roman" w:eastAsia="Times New Roman" w:hAnsi="Times New Roman"/>
          <w:sz w:val="18"/>
          <w:szCs w:val="18"/>
          <w:color w:val="auto"/>
        </w:rPr>
        <w:t>. Upon a Participant’s ceasing to be an Eligible Employee for any reason, he or she shall be deemed to have elected to withdraw from the Plan pursuant to this Article VII and the payroll deductions credited to such Participant’s account during the then-current Purchase Period shall be paid to such Participant or, in the case of his or her death, to the Participant’s Designated Beneficiary, within 30 days following such Participant’s ceasing to be an Eligible Employee, and such Participant’s rights for the Offering Period shall be automatically terminated. For clarity, if a Participant transfers employment from the Company or any Designated Subsidiary participating in either the Section 423 Component or Non-Section 423 Component to any Designated Subsidiary that is neither participating in the Section 423 Component nor the Non-Section 423 Component, then, in any case, such transfer shall be treated as a termination of employment under the Plan and the Participant shall be deemed to have withdrawn from the Plan pursuant to this Article VII and the payroll deductions credited to such Participant’s account during the then-current Purchase Period shall be paid to such Participant or, in the case of his or her death, to the Participant’s Designated Beneficiary, within 30 days following such Participant’s transfer of employment, and such Participant’s participation in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then-current Purchase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(a) the end of the current Offering Period under the Non-Section 423 Component or (b)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or other Applicable Law.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UPON CHANGES IN SHARES</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69" w:name="page170"/>
    <w:bookmarkEnd w:id="16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Other Adjustments</w:t>
      </w:r>
      <w:r>
        <w:rPr>
          <w:rFonts w:ascii="Times New Roman" w:cs="Times New Roman" w:eastAsia="Times New Roman" w:hAnsi="Times New Roman"/>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79" w:lineRule="exact"/>
        <w:rPr>
          <w:sz w:val="20"/>
          <w:szCs w:val="20"/>
          <w:color w:val="auto"/>
        </w:rPr>
      </w:pPr>
    </w:p>
    <w:p>
      <w:pPr>
        <w:jc w:val="both"/>
        <w:ind w:right="80" w:firstLine="987"/>
        <w:spacing w:after="0" w:line="266"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75" w:lineRule="exact"/>
        <w:rPr>
          <w:rFonts w:ascii="Times New Roman" w:cs="Times New Roman" w:eastAsia="Times New Roman" w:hAnsi="Times New Roman"/>
          <w:sz w:val="18"/>
          <w:szCs w:val="18"/>
          <w:color w:val="auto"/>
        </w:rPr>
      </w:pPr>
    </w:p>
    <w:p>
      <w:pPr>
        <w:ind w:right="46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75"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rights shall terminate without being exercised.</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0" w:name="page171"/>
    <w:bookmarkEnd w:id="1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The Administrator may amend, suspend or terminate the Plan at any time and from time to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approval of the Company’s stockholders shall be required to amend the Plan to increase the aggregate number, or 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shares that may be sold pursuant to rights under the Plan under Section 3.1 (other than an adjustment as provided by Article VIII) or as may otherwise be required under Section 423 of the Code.</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Changes to Plan</w:t>
      </w:r>
      <w:r>
        <w:rPr>
          <w:rFonts w:ascii="Times New Roman" w:cs="Times New Roman" w:eastAsia="Times New Roman" w:hAnsi="Times New Roman"/>
          <w:sz w:val="18"/>
          <w:szCs w:val="18"/>
          <w:color w:val="auto"/>
        </w:rPr>
        <w:t>. Without stockholder consent and without regard to whether any Participant rights may be considered to have been adversely affected (and, with respect to the Section 423 Component of the Plan,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Actions In the Event of Unfavorable Financial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68" w:lineRule="exact"/>
        <w:rPr>
          <w:sz w:val="20"/>
          <w:szCs w:val="20"/>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225"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or earlier Purchase Date, including an Offering Period underway at the time of the Administrator action;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changes and modifications as the Administrator determines are necessary or appropriate.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Payments Upon Termination of Plan</w:t>
      </w:r>
      <w:r>
        <w:rPr>
          <w:rFonts w:ascii="Times New Roman" w:cs="Times New Roman" w:eastAsia="Times New Roman" w:hAnsi="Times New Roman"/>
          <w:sz w:val="18"/>
          <w:szCs w:val="18"/>
          <w:color w:val="auto"/>
        </w:rPr>
        <w:t>. Upon termination of the Plan, the balance in each Participant’s Plan account shall be refunded as soon as practicable after such termination, without any interest thereon, or if the Administrator so determines, the Offering Period may be shortened so that the purchase of Shares occurs prior to the termination of the Plan.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Plan shall become effective on the Effective Date and shall continue until terminated by the Board in accordance with Section 9.1. No right may be granted under the Plan prior to the Effective Date. No rights may be granted under the Plan during any period of suspension of the Plan or after termination of the Plan.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The Administrator shall have the power, subject to, and within the limitations of, the express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9" w:lineRule="exact"/>
        <w:rPr>
          <w:sz w:val="20"/>
          <w:szCs w:val="20"/>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rights to purchase Shares shall be granted and the provisions of each offering of such rights (which need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identical).</w:t>
      </w:r>
    </w:p>
    <w:p>
      <w:pPr>
        <w:spacing w:after="0" w:line="206"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Subsidiaries of the Company shall be Designated Subsidiaries, which designation may be made without the approval of the stockholders of the Company.</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 mandatory holding period pursuant to which Participants may not dispose of or transfer Shares purchased under the Plan for a period of time determined by the Administrator in its discretion.</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suspend or terminate the Plan as provided in Article IX.</w:t>
      </w:r>
    </w:p>
    <w:p>
      <w:pPr>
        <w:spacing w:after="0" w:line="225" w:lineRule="exact"/>
        <w:rPr>
          <w:rFonts w:ascii="Times New Roman" w:cs="Times New Roman" w:eastAsia="Times New Roman" w:hAnsi="Times New Roman"/>
          <w:sz w:val="18"/>
          <w:szCs w:val="18"/>
          <w:color w:val="auto"/>
        </w:rPr>
      </w:pPr>
    </w:p>
    <w:p>
      <w:pPr>
        <w:ind w:right="340" w:firstLine="987"/>
        <w:spacing w:after="0" w:line="266" w:lineRule="auto"/>
        <w:tabs>
          <w:tab w:leader="none" w:pos="121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adopt annexes or sub-plans applicable to particular Designated Subsidiaries or locations, which annexes or sub-plans may be designed to be outside the scope of Section 423 of the Code. The rules of such annexes or sub-plans may take precedence over other provisions of this Plan, with the exception of Section 3.1 hereof, but unless otherwise superseded by the terms of such annex or sub-plan, the provisions of this Plan shall govern the operation of such annex or sub-plan.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72" w:name="page173"/>
    <w:bookmarkEnd w:id="172"/>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Restriction upon Assignment</w:t>
      </w:r>
      <w:r>
        <w:rPr>
          <w:rFonts w:ascii="Times New Roman" w:cs="Times New Roman" w:eastAsia="Times New Roman" w:hAnsi="Times New Roman"/>
          <w:sz w:val="18"/>
          <w:szCs w:val="18"/>
          <w:color w:val="auto"/>
        </w:rPr>
        <w:t>. A right granted under the Plan shall not be transferable other than by will or the Applicable Laws of descent and distribution, and is exercisable during the Participant’s lifetime only by the Participant. Except in the case of a Participant’s death,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or contributions of a Participant under the Plan.</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8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the Plan shall be construed to give any person (including any Eligible Employee or Participant) the right to employment or service (or to remain in the employ or service) with the Company or any Parent or Subsidiary or affect the right of the Company or any Parent or Subsidiary to terminate the employment or service of any person (including any Eligible Employee or Participant) at any time, with or without cause.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3" w:name="page174"/>
    <w:bookmarkEnd w:id="173"/>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12.9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participation in the Plan,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participation details, to implement, manage and administer the Plan and any Offering Period(s)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any Offering Period(s),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participating in any Offering Period under the Plan,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12.12 in writing, without cost, by contacting the local human resources representative. If the Participant refuses or withdraws the consents in this Section 12.12, and the Company may cancel Participant’s ability to participate in the Plan or any Offering Period(s). For more information on the consequences of refusing or withdrawing consent, Participants may contact their local human resources representative.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74" w:name="page175"/>
    <w:bookmarkEnd w:id="174"/>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62"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12.14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Participant acknowledges that the Plan is intended to conform to the extent necessary with Applicable Laws. Notwithstanding anything herein to the contrary, the Plan and all Offering Periods will be administered only in conformance with Applicable Laws. To the extent Applicable Laws permit, the Plan and all Offering Periods will be deemed amended as necessary to conform to Applicable Laws.</w:t>
      </w:r>
    </w:p>
    <w:p>
      <w:pPr>
        <w:spacing w:after="0" w:line="15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6"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12.16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4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Electronic Forms</w:t>
      </w:r>
      <w:r>
        <w:rPr>
          <w:rFonts w:ascii="Times New Roman" w:cs="Times New Roman" w:eastAsia="Times New Roman" w:hAnsi="Times New Roman"/>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0" w:lineRule="exact"/>
        <w:rPr>
          <w:sz w:val="20"/>
          <w:szCs w:val="20"/>
          <w:color w:val="auto"/>
        </w:rPr>
      </w:pPr>
    </w:p>
    <w:p>
      <w:pPr>
        <w:ind w:right="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12.18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Optionee has been granted the following option to purchase shares of the Common Stock of Blaize, Inc.:</w:t>
      </w:r>
    </w:p>
    <w:p>
      <w:pPr>
        <w:sectPr>
          <w:pgSz w:w="11900" w:h="16838" w:orient="portrait"/>
          <w:cols w:equalWidth="0" w:num="1">
            <w:col w:w="11020"/>
          </w:cols>
          <w:pgMar w:left="440" w:top="117" w:right="439" w:bottom="1440" w:gutter="0" w:footer="0" w:header="0"/>
        </w:sectPr>
      </w:pP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29"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«TotalShares»</w:t>
      </w:r>
    </w:p>
    <w:p>
      <w:pPr>
        <w:spacing w:after="0" w:line="129"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«ISO» Incentive Stock Option (ISO)</w:t>
      </w:r>
    </w:p>
    <w:p>
      <w:pPr>
        <w:spacing w:after="0" w:line="129"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7"/>
          <w:szCs w:val="17"/>
          <w:color w:val="auto"/>
        </w:rPr>
        <w:t>«NSO» Nonstatutory Stock Option (NSO)</w:t>
      </w:r>
    </w:p>
    <w:p>
      <w:pPr>
        <w:sectPr>
          <w:pgSz w:w="11900" w:h="16838" w:orient="portrait"/>
          <w:cols w:equalWidth="0" w:num="1">
            <w:col w:w="11020"/>
          </w:cols>
          <w:pgMar w:left="440" w:top="117" w:right="439" w:bottom="1440" w:gutter="0" w:footer="0" w:header="0"/>
          <w:type w:val="continuous"/>
        </w:sectPr>
      </w:pP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$«PricePerShare»</w:t>
      </w:r>
    </w:p>
    <w:p>
      <w:pPr>
        <w:spacing w:after="0" w:line="128"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«DateGrant»</w:t>
      </w:r>
    </w:p>
    <w:p>
      <w:pPr>
        <w:spacing w:after="0" w:line="129"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Date Exercisable:</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This option may be exercised with respect to the first «Percent»% of the Shares subject to this option when the Optionee completes «CliffPeriod» months of continuous Service beginning with the Vesting Commencement Date set forth below. This option may be exercised with respect to an additional «Fraction»% of the Shares subject to this option when the Optionee completes each month of continuous Service thereafter.</w:t>
      </w:r>
    </w:p>
    <w:p>
      <w:pPr>
        <w:spacing w:after="0" w:line="75"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«VestComDate»</w:t>
      </w:r>
    </w:p>
    <w:p>
      <w:pPr>
        <w:spacing w:after="0" w:line="129"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«ExpDate». This option expires earlier if the Optionee’s Service terminates earlier, as provided in Section 6 of the Stock Option Agreement, or if the Company engages in certain corporate transactions, as provided in Section 8(b) of the Plan.</w:t>
      </w:r>
    </w:p>
    <w:p>
      <w:pPr>
        <w:spacing w:after="0" w:line="176" w:lineRule="exact"/>
        <w:rPr>
          <w:sz w:val="20"/>
          <w:szCs w:val="20"/>
          <w:color w:val="auto"/>
        </w:rPr>
      </w:pPr>
    </w:p>
    <w:p>
      <w:pPr>
        <w:sectPr>
          <w:pgSz w:w="11900" w:h="16838" w:orient="portrait"/>
          <w:cols w:equalWidth="0" w:num="2">
            <w:col w:w="3440" w:space="720"/>
            <w:col w:w="6860"/>
          </w:cols>
          <w:pgMar w:left="440" w:top="117" w:right="439" w:bottom="1440" w:gutter="0" w:footer="0" w:header="0"/>
          <w:type w:val="continuous"/>
        </w:sect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By signing below,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Option Agreement includes important acknowledgements of the Optionee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176" w:name="page177"/>
    <w:bookmarkEnd w:id="176"/>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7" w:lineRule="exact"/>
        <w:rPr>
          <w:sz w:val="20"/>
          <w:szCs w:val="20"/>
          <w:color w:val="auto"/>
        </w:rPr>
      </w:pPr>
    </w:p>
    <w:p>
      <w:pPr>
        <w:ind w:right="360" w:firstLine="987"/>
        <w:spacing w:after="0" w:line="259"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1" w:lineRule="exact"/>
        <w:rPr>
          <w:rFonts w:ascii="Times New Roman" w:cs="Times New Roman" w:eastAsia="Times New Roman" w:hAnsi="Times New Roman"/>
          <w:sz w:val="18"/>
          <w:szCs w:val="18"/>
          <w:color w:val="auto"/>
        </w:rPr>
      </w:pPr>
    </w:p>
    <w:p>
      <w:pPr>
        <w:ind w:firstLine="987"/>
        <w:spacing w:after="0" w:line="286"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(and only to the extent) required by the $100,000 annual limitation under Section 422(d) of the Code.</w:t>
      </w:r>
    </w:p>
    <w:p>
      <w:pPr>
        <w:spacing w:after="0" w:line="46" w:lineRule="exact"/>
        <w:rPr>
          <w:rFonts w:ascii="Times New Roman" w:cs="Times New Roman" w:eastAsia="Times New Roman" w:hAnsi="Times New Roman"/>
          <w:sz w:val="18"/>
          <w:szCs w:val="18"/>
          <w:color w:val="auto"/>
        </w:rPr>
      </w:pPr>
    </w:p>
    <w:p>
      <w:pPr>
        <w:ind w:right="440" w:firstLine="987"/>
        <w:spacing w:after="0" w:line="268"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provisions of the Plan are incorporated into this Agreement by this reference. Capitalized terms are defined in Section 14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7" w:lineRule="exact"/>
        <w:rPr>
          <w:sz w:val="20"/>
          <w:szCs w:val="20"/>
          <w:color w:val="auto"/>
        </w:rPr>
      </w:pPr>
    </w:p>
    <w:p>
      <w:pPr>
        <w:ind w:right="160" w:firstLine="987"/>
        <w:spacing w:after="0" w:line="286"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w:t>
      </w:r>
    </w:p>
    <w:p>
      <w:pPr>
        <w:spacing w:after="0" w:line="46" w:lineRule="exact"/>
        <w:rPr>
          <w:rFonts w:ascii="Times New Roman" w:cs="Times New Roman" w:eastAsia="Times New Roman" w:hAnsi="Times New Roman"/>
          <w:sz w:val="18"/>
          <w:szCs w:val="18"/>
          <w:color w:val="auto"/>
        </w:rPr>
      </w:pPr>
    </w:p>
    <w:p>
      <w:pPr>
        <w:ind w:right="160" w:firstLine="987"/>
        <w:spacing w:after="0" w:line="286"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approval of the Plan by the Company’s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121" w:lineRule="exact"/>
        <w:rPr>
          <w:sz w:val="20"/>
          <w:szCs w:val="20"/>
          <w:color w:val="auto"/>
        </w:rPr>
      </w:pPr>
    </w:p>
    <w:p>
      <w:pPr>
        <w:jc w:val="both"/>
        <w:ind w:right="220" w:firstLine="991"/>
        <w:spacing w:after="0" w:line="312"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ectPr>
          <w:pgSz w:w="11900" w:h="16838" w:orient="portrait"/>
          <w:cols w:equalWidth="0" w:num="1">
            <w:col w:w="10960"/>
          </w:cols>
          <w:pgMar w:left="440" w:top="266" w:right="499" w:bottom="1440" w:gutter="0" w:footer="0" w:header="0"/>
        </w:sectPr>
      </w:pPr>
    </w:p>
    <w:bookmarkStart w:id="177" w:name="page178"/>
    <w:bookmarkEnd w:id="1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 EXERCISE PROCEDURES.</w:t>
      </w:r>
    </w:p>
    <w:p>
      <w:pPr>
        <w:spacing w:after="0" w:line="117" w:lineRule="exact"/>
        <w:rPr>
          <w:sz w:val="20"/>
          <w:szCs w:val="20"/>
          <w:color w:val="auto"/>
        </w:rPr>
      </w:pPr>
    </w:p>
    <w:p>
      <w:pPr>
        <w:ind w:left="4" w:right="60" w:firstLine="987"/>
        <w:spacing w:after="0" w:line="257" w:lineRule="auto"/>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pacing w:after="0" w:line="74" w:lineRule="exact"/>
        <w:rPr>
          <w:rFonts w:ascii="Times New Roman" w:cs="Times New Roman" w:eastAsia="Times New Roman" w:hAnsi="Times New Roman"/>
          <w:sz w:val="18"/>
          <w:szCs w:val="18"/>
          <w:color w:val="auto"/>
        </w:rPr>
      </w:pPr>
    </w:p>
    <w:p>
      <w:pPr>
        <w:ind w:left="4" w:right="420" w:firstLine="987"/>
        <w:spacing w:after="0" w:line="278" w:lineRule="auto"/>
        <w:tabs>
          <w:tab w:leader="none" w:pos="125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Shares for which this option has been exercised. Such Shares shall be registered (i) in the name of the person exercising this option,</w:t>
      </w:r>
    </w:p>
    <w:p>
      <w:pPr>
        <w:spacing w:after="0" w:line="1" w:lineRule="exact"/>
        <w:rPr>
          <w:rFonts w:ascii="Times New Roman" w:cs="Times New Roman" w:eastAsia="Times New Roman" w:hAnsi="Times New Roman"/>
          <w:sz w:val="17"/>
          <w:szCs w:val="17"/>
          <w:color w:val="auto"/>
        </w:rPr>
      </w:pPr>
    </w:p>
    <w:p>
      <w:pPr>
        <w:ind w:left="4" w:right="480" w:hanging="4"/>
        <w:spacing w:after="0" w:line="255" w:lineRule="auto"/>
        <w:tabs>
          <w:tab w:leader="none" w:pos="2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73" w:lineRule="exact"/>
        <w:rPr>
          <w:rFonts w:ascii="Times New Roman" w:cs="Times New Roman" w:eastAsia="Times New Roman" w:hAnsi="Times New Roman"/>
          <w:sz w:val="18"/>
          <w:szCs w:val="18"/>
          <w:color w:val="auto"/>
        </w:rPr>
      </w:pPr>
    </w:p>
    <w:p>
      <w:pPr>
        <w:ind w:left="4" w:right="80" w:firstLine="987"/>
        <w:spacing w:after="0" w:line="262" w:lineRule="auto"/>
        <w:tabs>
          <w:tab w:leader="none" w:pos="12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7" w:lineRule="exact"/>
        <w:rPr>
          <w:sz w:val="20"/>
          <w:szCs w:val="20"/>
          <w:color w:val="auto"/>
        </w:rPr>
      </w:pPr>
    </w:p>
    <w:p>
      <w:pPr>
        <w:ind w:left="1244" w:hanging="253"/>
        <w:spacing w:after="0"/>
        <w:tabs>
          <w:tab w:leader="none" w:pos="12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w:t>
      </w:r>
    </w:p>
    <w:p>
      <w:pPr>
        <w:spacing w:after="0" w:line="117"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62" w:lineRule="exact"/>
        <w:rPr>
          <w:rFonts w:ascii="Times New Roman" w:cs="Times New Roman" w:eastAsia="Times New Roman" w:hAnsi="Times New Roman"/>
          <w:sz w:val="18"/>
          <w:szCs w:val="18"/>
          <w:color w:val="auto"/>
        </w:rPr>
      </w:pPr>
    </w:p>
    <w:p>
      <w:pPr>
        <w:ind w:left="4" w:firstLine="987"/>
        <w:spacing w:after="0" w:line="26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TERM AND EXPIRATION.</w:t>
      </w:r>
    </w:p>
    <w:p>
      <w:pPr>
        <w:spacing w:after="0" w:line="117" w:lineRule="exact"/>
        <w:rPr>
          <w:sz w:val="20"/>
          <w:szCs w:val="20"/>
          <w:color w:val="auto"/>
        </w:rPr>
      </w:pPr>
    </w:p>
    <w:p>
      <w:pPr>
        <w:ind w:right="40" w:firstLine="987"/>
        <w:spacing w:after="0" w:line="263"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after the Date of Grant (five years after the Date of Grant if this option is designated as an ISO in the Notice of Stock Option Grant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3(b) of the Plan applies).</w:t>
      </w:r>
    </w:p>
    <w:p>
      <w:pPr>
        <w:spacing w:after="0" w:line="94" w:lineRule="exact"/>
        <w:rPr>
          <w:rFonts w:ascii="Times New Roman" w:cs="Times New Roman" w:eastAsia="Times New Roman" w:hAnsi="Times New Roman"/>
          <w:sz w:val="18"/>
          <w:szCs w:val="18"/>
          <w:color w:val="auto"/>
        </w:rPr>
      </w:pPr>
    </w:p>
    <w:p>
      <w:pPr>
        <w:ind w:right="20" w:firstLine="987"/>
        <w:spacing w:after="0" w:line="286"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on the earliest of the following occasions:</w:t>
      </w:r>
    </w:p>
    <w:p>
      <w:pPr>
        <w:spacing w:after="0" w:line="50"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Disability;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75" w:lineRule="exact"/>
        <w:rPr>
          <w:sz w:val="20"/>
          <w:szCs w:val="20"/>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pacing w:after="0" w:line="12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79" w:name="page180"/>
    <w:bookmarkEnd w:id="179"/>
    <w:p>
      <w:pPr>
        <w:jc w:val="both"/>
        <w:ind w:right="160" w:firstLine="987"/>
        <w:spacing w:after="0" w:line="274" w:lineRule="auto"/>
        <w:tabs>
          <w:tab w:leader="none" w:pos="124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Part-Time Employment and Leaves of Absence</w:t>
      </w:r>
      <w:r>
        <w:rPr>
          <w:rFonts w:ascii="Times New Roman" w:cs="Times New Roman" w:eastAsia="Times New Roman" w:hAnsi="Times New Roman"/>
          <w:sz w:val="17"/>
          <w:szCs w:val="17"/>
          <w:color w:val="auto"/>
        </w:rPr>
        <w:t>. If the Optionee commences working on a part-time basis, then the Company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w:t>
      </w:r>
    </w:p>
    <w:p>
      <w:pPr>
        <w:ind w:right="2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76" w:lineRule="exact"/>
        <w:rPr>
          <w:rFonts w:ascii="Times New Roman" w:cs="Times New Roman" w:eastAsia="Times New Roman" w:hAnsi="Times New Roman"/>
          <w:sz w:val="17"/>
          <w:szCs w:val="17"/>
          <w:color w:val="auto"/>
        </w:rPr>
      </w:pPr>
    </w:p>
    <w:p>
      <w:pPr>
        <w:ind w:right="480" w:firstLine="987"/>
        <w:spacing w:after="0" w:line="286"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qualify for favorable tax treatment as an ISO to the extent that it is exercised:</w:t>
      </w:r>
    </w:p>
    <w:p>
      <w:pPr>
        <w:spacing w:after="0" w:line="50"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0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ceases to be an Employee for any reason other than death or permanent and total disability (as defined in Section 22(e)(3) of the Code);</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5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12 months after the date when the Optionee ceases to be an Employee by reason of permanent and total disability (as defined in Section 22(e)(3) of the Code); or</w:t>
      </w:r>
    </w:p>
    <w:p>
      <w:pPr>
        <w:spacing w:after="0" w:line="53" w:lineRule="exact"/>
        <w:rPr>
          <w:rFonts w:ascii="Times New Roman" w:cs="Times New Roman" w:eastAsia="Times New Roman" w:hAnsi="Times New Roman"/>
          <w:sz w:val="18"/>
          <w:szCs w:val="18"/>
          <w:color w:val="auto"/>
        </w:rPr>
      </w:pPr>
    </w:p>
    <w:p>
      <w:pPr>
        <w:ind w:left="440" w:right="440" w:firstLine="948"/>
        <w:spacing w:after="0" w:line="282" w:lineRule="auto"/>
        <w:tabs>
          <w:tab w:leader="none" w:pos="170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FIRST REFUSAL.</w:t>
      </w:r>
    </w:p>
    <w:p>
      <w:pPr>
        <w:spacing w:after="0" w:line="117" w:lineRule="exact"/>
        <w:rPr>
          <w:sz w:val="20"/>
          <w:szCs w:val="20"/>
          <w:color w:val="auto"/>
        </w:rPr>
      </w:pPr>
    </w:p>
    <w:p>
      <w:pPr>
        <w:ind w:firstLine="987"/>
        <w:spacing w:after="0" w:line="254"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80" w:name="page181"/>
    <w:bookmarkEnd w:id="180"/>
    <w:p>
      <w:pPr>
        <w:ind w:left="-20" w:right="80" w:firstLine="987"/>
        <w:spacing w:after="0" w:line="254" w:lineRule="auto"/>
        <w:tabs>
          <w:tab w:leader="none" w:pos="12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4"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74" w:lineRule="exact"/>
        <w:rPr>
          <w:rFonts w:ascii="Times New Roman" w:cs="Times New Roman" w:eastAsia="Times New Roman" w:hAnsi="Times New Roman"/>
          <w:sz w:val="18"/>
          <w:szCs w:val="18"/>
          <w:color w:val="auto"/>
        </w:rPr>
      </w:pPr>
    </w:p>
    <w:p>
      <w:pPr>
        <w:ind w:left="-20" w:right="240" w:firstLine="987"/>
        <w:spacing w:after="0" w:line="268" w:lineRule="auto"/>
        <w:tabs>
          <w:tab w:leader="none" w:pos="12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62"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74" w:lineRule="exact"/>
        <w:rPr>
          <w:rFonts w:ascii="Times New Roman" w:cs="Times New Roman" w:eastAsia="Times New Roman" w:hAnsi="Times New Roman"/>
          <w:sz w:val="18"/>
          <w:szCs w:val="18"/>
          <w:color w:val="auto"/>
        </w:rPr>
      </w:pPr>
    </w:p>
    <w:p>
      <w:pPr>
        <w:ind w:left="-20" w:firstLine="987"/>
        <w:spacing w:after="0" w:line="259" w:lineRule="auto"/>
        <w:tabs>
          <w:tab w:leader="none" w:pos="11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66" w:right="479" w:bottom="1440" w:gutter="0" w:footer="0" w:header="0"/>
        </w:sectPr>
      </w:pPr>
    </w:p>
    <w:bookmarkStart w:id="181" w:name="page182"/>
    <w:bookmarkEnd w:id="181"/>
    <w:p>
      <w:pPr>
        <w:ind w:firstLine="987"/>
        <w:spacing w:after="0" w:line="268"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Any person who accepts an assignment of the Right of First Refusal from the Company shall assume all of the Company’s rights and obligations under this Section 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LEGALITY OF INITIAL ISSUANCE.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40" w:right="340" w:firstLine="948"/>
        <w:spacing w:after="0" w:line="282" w:lineRule="auto"/>
        <w:tabs>
          <w:tab w:leader="none" w:pos="16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the Optionee have taken any actions required to register the Shares under the Securities Act or to perfect an exemption from the registration requirements thereof;</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listing requirement of any stock exchange or other securities market on which Stock is listed has been satisfied;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provision of federal, State or foreign law has been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NO REGISTRATION RIGHTS.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RESTRICTIONS ON TRANSFER OF SHARES.</w:t>
      </w:r>
    </w:p>
    <w:p>
      <w:pPr>
        <w:spacing w:after="0" w:line="117" w:lineRule="exact"/>
        <w:rPr>
          <w:sz w:val="20"/>
          <w:szCs w:val="20"/>
          <w:color w:val="auto"/>
        </w:rPr>
      </w:pPr>
    </w:p>
    <w:p>
      <w:pPr>
        <w:ind w:firstLine="987"/>
        <w:spacing w:after="0" w:line="259"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1"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182" w:name="page183"/>
    <w:bookmarkEnd w:id="182"/>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w:t>
      </w:r>
    </w:p>
    <w:p>
      <w:pPr>
        <w:spacing w:after="0" w:line="3" w:lineRule="exact"/>
        <w:rPr>
          <w:sz w:val="20"/>
          <w:szCs w:val="20"/>
          <w:color w:val="auto"/>
        </w:rPr>
      </w:pPr>
    </w:p>
    <w:p>
      <w:pPr>
        <w:ind w:left="4" w:right="80" w:hanging="4"/>
        <w:spacing w:after="0" w:line="251" w:lineRule="auto"/>
        <w:tabs>
          <w:tab w:leader="none" w:pos="2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81" w:lineRule="exact"/>
        <w:rPr>
          <w:rFonts w:ascii="Times New Roman" w:cs="Times New Roman" w:eastAsia="Times New Roman" w:hAnsi="Times New Roman"/>
          <w:sz w:val="18"/>
          <w:szCs w:val="18"/>
          <w:color w:val="auto"/>
        </w:rPr>
      </w:pPr>
    </w:p>
    <w:p>
      <w:pPr>
        <w:ind w:left="4" w:right="320" w:firstLine="987"/>
        <w:spacing w:after="0" w:line="286" w:lineRule="auto"/>
        <w:tabs>
          <w:tab w:leader="none" w:pos="12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for investment, and not with a view to the sale or distribution thereof.</w:t>
      </w:r>
    </w:p>
    <w:p>
      <w:pPr>
        <w:spacing w:after="0" w:line="46" w:lineRule="exact"/>
        <w:rPr>
          <w:rFonts w:ascii="Times New Roman" w:cs="Times New Roman" w:eastAsia="Times New Roman" w:hAnsi="Times New Roman"/>
          <w:sz w:val="18"/>
          <w:szCs w:val="18"/>
          <w:color w:val="auto"/>
        </w:rPr>
      </w:pPr>
    </w:p>
    <w:p>
      <w:pPr>
        <w:ind w:left="4" w:right="120" w:firstLine="987"/>
        <w:spacing w:after="0" w:line="262" w:lineRule="auto"/>
        <w:tabs>
          <w:tab w:leader="none" w:pos="125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6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21" w:lineRule="exact"/>
        <w:rPr>
          <w:sz w:val="20"/>
          <w:szCs w:val="20"/>
          <w:color w:val="auto"/>
        </w:rPr>
      </w:pPr>
    </w:p>
    <w:p>
      <w:pPr>
        <w:ind w:left="444" w:right="40"/>
        <w:spacing w:after="0" w:line="256"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79"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83" w:name="page184"/>
    <w:bookmarkEnd w:id="183"/>
    <w:p>
      <w:pPr>
        <w:ind w:left="44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68" w:lineRule="exact"/>
        <w:rPr>
          <w:sz w:val="20"/>
          <w:szCs w:val="20"/>
          <w:color w:val="auto"/>
        </w:rPr>
      </w:pPr>
    </w:p>
    <w:p>
      <w:pPr>
        <w:ind w:right="80" w:firstLine="987"/>
        <w:spacing w:after="0" w:line="268" w:lineRule="auto"/>
        <w:tabs>
          <w:tab w:leader="none" w:pos="12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under this Agreement is no longer required, the holder of such certificate shall be entitled to exchange such certificate for a certificate representing the same number of Shares but without such legend.</w:t>
      </w:r>
    </w:p>
    <w:p>
      <w:pPr>
        <w:spacing w:after="0" w:line="62" w:lineRule="exact"/>
        <w:rPr>
          <w:rFonts w:ascii="Times New Roman" w:cs="Times New Roman" w:eastAsia="Times New Roman" w:hAnsi="Times New Roman"/>
          <w:sz w:val="18"/>
          <w:szCs w:val="18"/>
          <w:color w:val="auto"/>
        </w:rPr>
      </w:pPr>
    </w:p>
    <w:p>
      <w:pPr>
        <w:ind w:right="100" w:firstLine="987"/>
        <w:spacing w:after="0" w:line="286"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conclusive and binding on the Optionee and all other persons.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SHARES.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MISCELLANEOUS PROVISIONS.</w:t>
      </w:r>
    </w:p>
    <w:p>
      <w:pPr>
        <w:spacing w:after="0" w:line="117" w:lineRule="exact"/>
        <w:rPr>
          <w:sz w:val="20"/>
          <w:szCs w:val="20"/>
          <w:color w:val="auto"/>
        </w:rPr>
      </w:pPr>
    </w:p>
    <w:p>
      <w:pPr>
        <w:ind w:right="60" w:firstLine="987"/>
        <w:spacing w:after="0" w:line="268"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subject to this option until the Optionee or the Optionee’s representative becomes entitled to receive such Shares by filing a notice of exercise and paying the Purchase Price pursuant to Sections 4 and 5.</w:t>
      </w:r>
    </w:p>
    <w:p>
      <w:pPr>
        <w:spacing w:after="0" w:line="62" w:lineRule="exact"/>
        <w:rPr>
          <w:rFonts w:ascii="Times New Roman" w:cs="Times New Roman" w:eastAsia="Times New Roman" w:hAnsi="Times New Roman"/>
          <w:sz w:val="18"/>
          <w:szCs w:val="18"/>
          <w:color w:val="auto"/>
        </w:rPr>
      </w:pPr>
    </w:p>
    <w:p>
      <w:pPr>
        <w:ind w:right="220" w:firstLine="987"/>
        <w:spacing w:after="0" w:line="262"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68" w:lineRule="exact"/>
        <w:rPr>
          <w:rFonts w:ascii="Times New Roman" w:cs="Times New Roman" w:eastAsia="Times New Roman" w:hAnsi="Times New Roman"/>
          <w:sz w:val="18"/>
          <w:szCs w:val="18"/>
          <w:color w:val="auto"/>
        </w:rPr>
      </w:pPr>
    </w:p>
    <w:p>
      <w:pPr>
        <w:jc w:val="both"/>
        <w:ind w:right="220" w:firstLine="987"/>
        <w:spacing w:after="0" w:line="262"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84" w:name="page185"/>
    <w:bookmarkEnd w:id="184"/>
    <w:p>
      <w:pPr>
        <w:ind w:right="20" w:firstLine="987"/>
        <w:spacing w:after="0" w:line="26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68" w:lineRule="exact"/>
        <w:rPr>
          <w:rFonts w:ascii="Times New Roman" w:cs="Times New Roman" w:eastAsia="Times New Roman" w:hAnsi="Times New Roman"/>
          <w:sz w:val="18"/>
          <w:szCs w:val="18"/>
          <w:color w:val="auto"/>
        </w:rPr>
      </w:pPr>
    </w:p>
    <w:p>
      <w:pPr>
        <w:ind w:right="180" w:firstLine="987"/>
        <w:spacing w:after="0" w:line="268"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regard to the subject matter hereof. They supersede any other agreements, representations or understandings (whether oral or written and whether express or implied) that relate to the subject matter hereof.</w:t>
      </w:r>
    </w:p>
    <w:p>
      <w:pPr>
        <w:spacing w:after="0" w:line="62" w:lineRule="exact"/>
        <w:rPr>
          <w:rFonts w:ascii="Times New Roman" w:cs="Times New Roman" w:eastAsia="Times New Roman" w:hAnsi="Times New Roman"/>
          <w:sz w:val="18"/>
          <w:szCs w:val="18"/>
          <w:color w:val="auto"/>
        </w:rPr>
      </w:pPr>
    </w:p>
    <w:p>
      <w:pPr>
        <w:ind w:right="280" w:firstLine="987"/>
        <w:spacing w:after="0" w:line="286" w:lineRule="auto"/>
        <w:tabs>
          <w:tab w:leader="none" w:pos="12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are applied to contracts entered into and performed in such State.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ACKNOWLEDGEMENTS OF THE OPTIONEE.</w:t>
      </w:r>
    </w:p>
    <w:p>
      <w:pPr>
        <w:spacing w:after="0" w:line="117" w:lineRule="exact"/>
        <w:rPr>
          <w:sz w:val="20"/>
          <w:szCs w:val="20"/>
          <w:color w:val="auto"/>
        </w:rPr>
      </w:pPr>
    </w:p>
    <w:p>
      <w:pPr>
        <w:ind w:firstLine="987"/>
        <w:spacing w:after="0" w:line="255"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76"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76" w:lineRule="exact"/>
        <w:rPr>
          <w:rFonts w:ascii="Times New Roman" w:cs="Times New Roman" w:eastAsia="Times New Roman" w:hAnsi="Times New Roman"/>
          <w:sz w:val="18"/>
          <w:szCs w:val="18"/>
          <w:color w:val="auto"/>
        </w:rPr>
      </w:pPr>
    </w:p>
    <w:p>
      <w:pPr>
        <w:ind w:right="100" w:firstLine="987"/>
        <w:spacing w:after="0" w:line="257"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 DEFINITIONS.</w:t>
      </w:r>
    </w:p>
    <w:p>
      <w:pPr>
        <w:spacing w:after="0" w:line="117" w:lineRule="exact"/>
        <w:rPr>
          <w:sz w:val="20"/>
          <w:szCs w:val="20"/>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117" w:lineRule="exact"/>
        <w:rPr>
          <w:rFonts w:ascii="Times New Roman" w:cs="Times New Roman" w:eastAsia="Times New Roman" w:hAnsi="Times New Roman"/>
          <w:sz w:val="18"/>
          <w:szCs w:val="18"/>
          <w:color w:val="auto"/>
        </w:rPr>
      </w:pPr>
    </w:p>
    <w:p>
      <w:pPr>
        <w:ind w:right="40" w:firstLine="987"/>
        <w:spacing w:after="0" w:line="28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4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Blaize, Inc., a Delaware corporation.</w:t>
      </w:r>
    </w:p>
    <w:p>
      <w:pPr>
        <w:spacing w:after="0" w:line="117" w:lineRule="exact"/>
        <w:rPr>
          <w:rFonts w:ascii="Times New Roman" w:cs="Times New Roman" w:eastAsia="Times New Roman" w:hAnsi="Times New Roman"/>
          <w:sz w:val="18"/>
          <w:szCs w:val="18"/>
          <w:color w:val="auto"/>
        </w:rPr>
      </w:pPr>
    </w:p>
    <w:p>
      <w:pPr>
        <w:ind w:right="140" w:firstLine="987"/>
        <w:spacing w:after="0" w:line="268"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excluding Employees and Outside Directors, who performs bona fide services for the Company, a Parent or a Subsidiary as a consultant or advisor and who qualifies as a consultant or advisor under Rule 701(c)(1) of the Securities Act or under Instruction A.1.(a)(1) of Form S-8 under the Securities Act.</w:t>
      </w:r>
    </w:p>
    <w:p>
      <w:pPr>
        <w:spacing w:after="0" w:line="62" w:lineRule="exact"/>
        <w:rPr>
          <w:rFonts w:ascii="Times New Roman" w:cs="Times New Roman" w:eastAsia="Times New Roman" w:hAnsi="Times New Roman"/>
          <w:sz w:val="18"/>
          <w:szCs w:val="18"/>
          <w:color w:val="auto"/>
        </w:rPr>
      </w:pPr>
    </w:p>
    <w:p>
      <w:pPr>
        <w:ind w:firstLine="987"/>
        <w:spacing w:after="0" w:line="28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46" w:lineRule="exact"/>
        <w:rPr>
          <w:rFonts w:ascii="Times New Roman" w:cs="Times New Roman" w:eastAsia="Times New Roman" w:hAnsi="Times New Roman"/>
          <w:sz w:val="18"/>
          <w:szCs w:val="18"/>
          <w:color w:val="auto"/>
        </w:rPr>
      </w:pPr>
    </w:p>
    <w:p>
      <w:pPr>
        <w:ind w:right="840" w:firstLine="987"/>
        <w:spacing w:after="0" w:line="28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4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117" w:lineRule="exact"/>
        <w:rPr>
          <w:rFonts w:ascii="Times New Roman" w:cs="Times New Roman" w:eastAsia="Times New Roman" w:hAnsi="Times New Roman"/>
          <w:sz w:val="18"/>
          <w:szCs w:val="18"/>
          <w:color w:val="auto"/>
        </w:rPr>
      </w:pPr>
    </w:p>
    <w:p>
      <w:pPr>
        <w:ind w:right="40" w:firstLine="987"/>
        <w:spacing w:after="0" w:line="286" w:lineRule="auto"/>
        <w:tabs>
          <w:tab w:leader="none" w:pos="120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46" w:lineRule="exact"/>
        <w:rPr>
          <w:rFonts w:ascii="Times New Roman" w:cs="Times New Roman" w:eastAsia="Times New Roman" w:hAnsi="Times New Roman"/>
          <w:sz w:val="18"/>
          <w:szCs w:val="18"/>
          <w:color w:val="auto"/>
        </w:rPr>
      </w:pPr>
    </w:p>
    <w:p>
      <w:pPr>
        <w:ind w:right="600" w:firstLine="987"/>
        <w:spacing w:after="0" w:line="28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46" w:lineRule="exact"/>
        <w:rPr>
          <w:rFonts w:ascii="Times New Roman" w:cs="Times New Roman" w:eastAsia="Times New Roman" w:hAnsi="Times New Roman"/>
          <w:sz w:val="18"/>
          <w:szCs w:val="18"/>
          <w:color w:val="auto"/>
        </w:rPr>
      </w:pPr>
    </w:p>
    <w:p>
      <w:pPr>
        <w:ind w:right="420" w:firstLine="987"/>
        <w:spacing w:after="0" w:line="286" w:lineRule="auto"/>
        <w:tabs>
          <w:tab w:leader="none" w:pos="120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46"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186" w:name="page187"/>
    <w:bookmarkEnd w:id="186"/>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8" w:lineRule="auto"/>
        <w:tabs>
          <w:tab w:leader="none" w:pos="121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62"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Blaize, Inc. 2011 Stock Plan, as in effect on the Date of Grant.</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w:t>
      </w:r>
    </w:p>
    <w:p>
      <w:pPr>
        <w:spacing w:after="0" w:line="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1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117"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5" w:lineRule="exact"/>
        <w:rPr>
          <w:sz w:val="20"/>
          <w:szCs w:val="20"/>
          <w:color w:val="auto"/>
        </w:rPr>
      </w:pPr>
    </w:p>
    <w:p>
      <w:pPr>
        <w:ind w:left="5420" w:right="2700" w:hanging="4433"/>
        <w:spacing w:after="0" w:line="458" w:lineRule="auto"/>
        <w:tabs>
          <w:tab w:leader="none" w:pos="13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 11</w:t>
      </w:r>
    </w:p>
    <w:p>
      <w:pPr>
        <w:sectPr>
          <w:pgSz w:w="11900" w:h="16838" w:orient="portrait"/>
          <w:cols w:equalWidth="0" w:num="1">
            <w:col w:w="10980"/>
          </w:cols>
          <w:pgMar w:left="440" w:top="266" w:right="47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w:t>
      </w:r>
    </w:p>
    <w:p>
      <w:pPr>
        <w:spacing w:after="0" w:line="203"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have been granted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representing shares of the Common Stock of Blaize,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following terms:</w:t>
      </w:r>
    </w:p>
    <w:p>
      <w:pPr>
        <w:sectPr>
          <w:pgSz w:w="11900" w:h="16838" w:orient="portrait"/>
          <w:cols w:equalWidth="0" w:num="1">
            <w:col w:w="11024"/>
          </w:cols>
          <w:pgMar w:left="436" w:top="117" w:right="439" w:bottom="1440" w:gutter="0" w:footer="0" w:header="0"/>
        </w:sectPr>
      </w:pP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Name of Recipient: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###PARTICIPANT_NAME###</w:t>
      </w:r>
    </w:p>
    <w:p>
      <w:pPr>
        <w:spacing w:after="0" w:line="128"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###TOTAL_AWARDS###</w:t>
      </w:r>
    </w:p>
    <w:p>
      <w:pPr>
        <w:spacing w:after="0" w:line="129"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###GRANT_DATE###</w:t>
      </w:r>
    </w:p>
    <w:p>
      <w:pPr>
        <w:spacing w:after="0" w:line="129"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###ALTERNATIVE_VEST_BASE_DATE###</w:t>
      </w:r>
    </w:p>
    <w:p>
      <w:pPr>
        <w:spacing w:after="0" w:line="129"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The Expiration Date shall be the earlier of (i) the first anniversary of your termination of Service for any reason, and (ii) ###EXPIRY_DATE###.</w:t>
      </w:r>
      <w:r>
        <w:rPr>
          <w:rFonts w:ascii="Times New Roman" w:cs="Times New Roman" w:eastAsia="Times New Roman" w:hAnsi="Times New Roman"/>
          <w:sz w:val="13"/>
          <w:szCs w:val="13"/>
          <w:color w:val="auto"/>
        </w:rPr>
        <w:t>1</w:t>
      </w:r>
    </w:p>
    <w:p>
      <w:pPr>
        <w:spacing w:after="0" w:line="54"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Vesting:</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You will receive a benefit with respect to a RSU only if it vests. Two vesting requirements must be satisfied on or before the Expiration Date specified above in order for a RSU to vest: (i) a requirement that you provide Service over the period of time set forth in “Service-Based Requirement” below and (ii) a requirement that the Company complete an IPO, SPAC IPO, Direct Listing or Sale Event as set forth in “Liquidity Event Requirement” below. Your RSUs will not vest (in whole or in part) if only one (or if neither) of such requirements is satisfied on or before the Expiration Date.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of a RSU will be the first date on or before the Expiration Date upon which both the Service-Based Requirement and the Liquidity Event Requirement are satisfied with respect to that particular RSU.</w:t>
      </w:r>
    </w:p>
    <w:p>
      <w:pPr>
        <w:spacing w:after="0" w:line="80"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Service-Based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607695</wp:posOffset>
            </wp:positionV>
            <wp:extent cx="7715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The Service-Based Requirement will be satisfied in installments as to the RSUs as follows: with respect to 1/12</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of the total number of RSUs on each quarterly anniversary of the Vesting Commencement Date set forth above, subject to your continuous Service through the applicable vesting date.</w:t>
      </w:r>
    </w:p>
    <w:p>
      <w:pPr>
        <w:spacing w:after="0" w:line="198" w:lineRule="exact"/>
        <w:rPr>
          <w:sz w:val="20"/>
          <w:szCs w:val="20"/>
          <w:color w:val="auto"/>
        </w:rPr>
      </w:pPr>
    </w:p>
    <w:p>
      <w:pPr>
        <w:sectPr>
          <w:pgSz w:w="11900" w:h="16838" w:orient="portrait"/>
          <w:cols w:equalWidth="0" w:num="2">
            <w:col w:w="3444" w:space="720"/>
            <w:col w:w="6860"/>
          </w:cols>
          <w:pgMar w:left="436" w:top="117" w:right="439" w:bottom="1440" w:gutter="0" w:footer="0" w:header="0"/>
          <w:type w:val="continuous"/>
        </w:sectPr>
      </w:pPr>
    </w:p>
    <w:p>
      <w:pPr>
        <w:ind w:left="424" w:hanging="424"/>
        <w:spacing w:after="0"/>
        <w:tabs>
          <w:tab w:leader="none" w:pos="424" w:val="left"/>
        </w:tabs>
        <w:numPr>
          <w:ilvl w:val="0"/>
          <w:numId w:val="1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Outside Date to be fifth anniversary of the Date of Grant.</w:t>
      </w:r>
    </w:p>
    <w:p>
      <w:pPr>
        <w:sectPr>
          <w:pgSz w:w="11900" w:h="16838" w:orient="portrait"/>
          <w:cols w:equalWidth="0" w:num="1">
            <w:col w:w="11024"/>
          </w:cols>
          <w:pgMar w:left="436" w:top="117" w:right="439" w:bottom="1440" w:gutter="0" w:footer="0" w:header="0"/>
          <w:type w:val="continuous"/>
        </w:sectPr>
      </w:pPr>
    </w:p>
    <w:bookmarkStart w:id="188" w:name="page189"/>
    <w:bookmarkEnd w:id="188"/>
    <w:p>
      <w:pPr>
        <w:ind w:left="440"/>
        <w:spacing w:after="0"/>
        <w:rPr>
          <w:sz w:val="20"/>
          <w:szCs w:val="20"/>
          <w:color w:val="auto"/>
        </w:rPr>
      </w:pPr>
      <w:r>
        <w:rPr>
          <w:rFonts w:ascii="Times New Roman" w:cs="Times New Roman" w:eastAsia="Times New Roman" w:hAnsi="Times New Roman"/>
          <w:sz w:val="17"/>
          <w:szCs w:val="17"/>
          <w:color w:val="auto"/>
        </w:rPr>
        <w:t>Liquidity Event Requirement:</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The Liquidity Event Requirement will be satisfied (as to any then-outstanding RSUs that have not previously been terminated pursuant to Section 2 of the Restricted Stock Unit Agreement) on the earliest to occur of (i) an IPO, (ii) a SPAC IPO, (iii) a Direct Listing or (iv) a Sale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-722630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440" w:space="720"/>
            <w:col w:w="6840"/>
          </w:cols>
          <w:pgMar w:left="440" w:top="378" w:right="45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Settlement: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Settlement of RSUs refers to the issuance of Shares once the award is vested. If a RSU vests as a result of satisfaction of both applicable vesting requirements as described above, the Company will deliver one Share for such RSU at the time of settlement specified in Section 4 of the Restricted Stock Unit Agreement.</w:t>
      </w:r>
    </w:p>
    <w:p>
      <w:pPr>
        <w:spacing w:after="0" w:line="180" w:lineRule="exact"/>
        <w:rPr>
          <w:sz w:val="20"/>
          <w:szCs w:val="20"/>
          <w:color w:val="auto"/>
        </w:rPr>
      </w:pPr>
    </w:p>
    <w:p>
      <w:pPr>
        <w:sectPr>
          <w:pgSz w:w="11900" w:h="16838" w:orient="portrait"/>
          <w:cols w:equalWidth="0" w:num="2">
            <w:col w:w="3440" w:space="720"/>
            <w:col w:w="6840"/>
          </w:cols>
          <w:pgMar w:left="440" w:top="378" w:right="459" w:bottom="1440" w:gutter="0" w:footer="0" w:header="0"/>
          <w:type w:val="continuous"/>
        </w:sectPr>
      </w:pPr>
    </w:p>
    <w:p>
      <w:pPr>
        <w:spacing w:after="0" w:line="254" w:lineRule="auto"/>
        <w:rPr>
          <w:sz w:val="20"/>
          <w:szCs w:val="20"/>
          <w:color w:val="auto"/>
        </w:rPr>
      </w:pPr>
      <w:r>
        <w:rPr>
          <w:rFonts w:ascii="Times New Roman" w:cs="Times New Roman" w:eastAsia="Times New Roman" w:hAnsi="Times New Roman"/>
          <w:sz w:val="18"/>
          <w:szCs w:val="18"/>
          <w:color w:val="auto"/>
        </w:rPr>
        <w:t>By signing below or otherwise accepting this award in a manner acceptable to the Company, you and the Company agree that these RSUs are granted under and governed by the terms and conditions of this Notice of Restricted Stock Unit Award, the 2011 Stock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and the Restricted Stock Unit Agreement. These latter two documents are attached to, and made a part of, this Notice of Restricted Stock Unit Award. Capitalized terms not otherwise defined herein or in the Restricted Stock Unit Agreement shall have the meaning set forth in the Plan. You hereby acknowledge that the vesting of the RSUs pursuant to this Notice of Restricted Stock Unit Award is conditioned on the satisfaction of the Service-Based Requirement and the occurrence, on or before the Expiration Date, of an IPO, SPAC IPO, Direct Listing or Sale Event. You shall have no right with respect to the RSUs to the extent an IPO, SPAC IPO, Direct Listing or Sale Event does not occur on or before the Expiration Date (regardless of the extent to which the Service-Based Requirement was satisfied). </w:t>
      </w:r>
      <w:r>
        <w:rPr>
          <w:rFonts w:ascii="Times New Roman" w:cs="Times New Roman" w:eastAsia="Times New Roman" w:hAnsi="Times New Roman"/>
          <w:sz w:val="18"/>
          <w:szCs w:val="18"/>
          <w:b w:val="1"/>
          <w:bCs w:val="1"/>
          <w:color w:val="auto"/>
        </w:rPr>
        <w:t>Section 10 of the Restricted Stock Unit Agreement also includes important acknowledgements.</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CEO</w:t>
      </w:r>
    </w:p>
    <w:p>
      <w:pPr>
        <w:sectPr>
          <w:pgSz w:w="11900" w:h="16838" w:orient="portrait"/>
          <w:cols w:equalWidth="0" w:num="1">
            <w:col w:w="11000"/>
          </w:cols>
          <w:pgMar w:left="440" w:top="378" w:right="459" w:bottom="1440" w:gutter="0" w:footer="0" w:header="0"/>
          <w:type w:val="continuous"/>
        </w:sectPr>
      </w:pPr>
    </w:p>
    <w:bookmarkStart w:id="189" w:name="page190"/>
    <w:bookmarkEnd w:id="189"/>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RSUS GRANTED PURSUANT TO THE NOTICE OF RESTRICTED STOCK UNIT AWARD AND THIS AGREEMENT AND THE SHARES ISSUABLE THEREUNDER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RESTRICTED STOCK UNITS.</w:t>
      </w:r>
    </w:p>
    <w:p>
      <w:pPr>
        <w:spacing w:after="0" w:line="117" w:lineRule="exact"/>
        <w:rPr>
          <w:sz w:val="20"/>
          <w:szCs w:val="20"/>
          <w:color w:val="auto"/>
        </w:rPr>
      </w:pPr>
    </w:p>
    <w:p>
      <w:pPr>
        <w:ind w:firstLine="987"/>
        <w:spacing w:after="0" w:line="268"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On the terms and conditions set forth in the Notice of Restricted Stock Unit Award and this Agreement, the Company grants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on the Date of Grant the number of RSUs set forth in the Notice of Restricted Stock Unit Award. Each RSU represents the right to receive one Share on the terms and conditions set forth in this Agreement.</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No payment is required for the RSUs that have been granted to you.</w:t>
      </w:r>
    </w:p>
    <w:p>
      <w:pPr>
        <w:spacing w:after="0" w:line="117" w:lineRule="exact"/>
        <w:rPr>
          <w:rFonts w:ascii="Times New Roman" w:cs="Times New Roman" w:eastAsia="Times New Roman" w:hAnsi="Times New Roman"/>
          <w:sz w:val="18"/>
          <w:szCs w:val="18"/>
          <w:color w:val="auto"/>
        </w:rPr>
      </w:pPr>
    </w:p>
    <w:p>
      <w:pPr>
        <w:ind w:right="60" w:firstLine="987"/>
        <w:spacing w:after="0" w:line="262"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Units; No Rights As a Stockholder</w:t>
      </w:r>
      <w:r>
        <w:rPr>
          <w:rFonts w:ascii="Times New Roman" w:cs="Times New Roman" w:eastAsia="Times New Roman" w:hAnsi="Times New Roman"/>
          <w:sz w:val="18"/>
          <w:szCs w:val="18"/>
          <w:color w:val="auto"/>
        </w:rPr>
        <w:t>. Your RSUs are mere bookkeeping entries and represent only the Company’s unfunded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unsecured promise to issue Shares on a future date under specified conditions. As a holder of RSUs, you have no rights other than the rights of a general creditor of the Company. Your RSUs carry neither voting rights nor rights to cash dividends. You have no rights as a stockholder of the Company unless and until your RSUs are settled pursuant to Section 4.</w:t>
      </w:r>
    </w:p>
    <w:p>
      <w:pPr>
        <w:spacing w:after="0" w:line="68" w:lineRule="exact"/>
        <w:rPr>
          <w:rFonts w:ascii="Times New Roman" w:cs="Times New Roman" w:eastAsia="Times New Roman" w:hAnsi="Times New Roman"/>
          <w:sz w:val="18"/>
          <w:szCs w:val="18"/>
          <w:color w:val="auto"/>
        </w:rPr>
      </w:pPr>
    </w:p>
    <w:p>
      <w:pPr>
        <w:ind w:right="80" w:firstLine="987"/>
        <w:spacing w:after="0" w:line="291" w:lineRule="auto"/>
        <w:tabs>
          <w:tab w:leader="none" w:pos="1246"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 Plan and Defined Terms</w:t>
      </w:r>
      <w:r>
        <w:rPr>
          <w:rFonts w:ascii="Times New Roman" w:cs="Times New Roman" w:eastAsia="Times New Roman" w:hAnsi="Times New Roman"/>
          <w:sz w:val="17"/>
          <w:szCs w:val="17"/>
          <w:color w:val="auto"/>
        </w:rPr>
        <w:t>. Your RSUs are granted pursuant to the Plan, a copy of which you acknowledge having received.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Plan are incorporated into this Agreement by this reference. Certain capitalized terms are defined in Section 11 of this Agreement. Capitalized terms not otherwise defined herein or in the Notice of Restricted Stock Unit Award shall have the meanings set forth in the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VESTING.</w:t>
      </w:r>
    </w:p>
    <w:p>
      <w:pPr>
        <w:spacing w:after="0" w:line="117" w:lineRule="exact"/>
        <w:rPr>
          <w:sz w:val="20"/>
          <w:szCs w:val="20"/>
          <w:color w:val="auto"/>
        </w:rPr>
      </w:pPr>
    </w:p>
    <w:p>
      <w:pPr>
        <w:ind w:right="160" w:firstLine="987"/>
        <w:spacing w:after="0" w:line="262"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The RSUs vest in accordance with the vesting schedule set forth in the Notice of Restricted Stock Unit Award.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benefit with respect to a RSU only if both the Service-Based Requirement and the Liquidity Event Requirement are satisfied on or before the Expiration Date. Your RSUs will not vest (in whole or in part) if only one (or if neither) of such requirements is satisfied on or before the Expiration Date.</w:t>
      </w:r>
    </w:p>
    <w:p>
      <w:pPr>
        <w:sectPr>
          <w:pgSz w:w="11900" w:h="16838" w:orient="portrait"/>
          <w:cols w:equalWidth="0" w:num="1">
            <w:col w:w="11000"/>
          </w:cols>
          <w:pgMar w:left="440" w:top="266" w:right="459" w:bottom="1440" w:gutter="0" w:footer="0" w:header="0"/>
        </w:sectPr>
      </w:pPr>
    </w:p>
    <w:bookmarkStart w:id="190" w:name="page191"/>
    <w:bookmarkEnd w:id="190"/>
    <w:p>
      <w:pPr>
        <w:ind w:right="80" w:firstLine="987"/>
        <w:spacing w:after="0" w:line="259"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Service</w:t>
      </w:r>
      <w:r>
        <w:rPr>
          <w:rFonts w:ascii="Times New Roman" w:cs="Times New Roman" w:eastAsia="Times New Roman" w:hAnsi="Times New Roman"/>
          <w:sz w:val="18"/>
          <w:szCs w:val="18"/>
          <w:color w:val="auto"/>
        </w:rPr>
        <w:t>. If your Service terminates for any reason, all RSUs as to which the Service-Based Requirement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as of your termination date shall automatically terminate and be cancelled. You will not satisfy the Service-Based Requirement for any additional RSUs after your Service has terminated for any reason. Upon your termination of Service, any RSUs as to which the Service-Based Requirement has been satisfied will (if an IPO, SPAC IPO, Direct Listing or Sale Event had not yet occurred) remain outstanding until the first to occur of the satisfaction of the Liquidity Event Requirement or the Expiration Date.</w:t>
      </w:r>
    </w:p>
    <w:p>
      <w:pPr>
        <w:spacing w:after="0" w:line="71" w:lineRule="exact"/>
        <w:rPr>
          <w:rFonts w:ascii="Times New Roman" w:cs="Times New Roman" w:eastAsia="Times New Roman" w:hAnsi="Times New Roman"/>
          <w:sz w:val="18"/>
          <w:szCs w:val="18"/>
          <w:color w:val="auto"/>
        </w:rPr>
      </w:pPr>
    </w:p>
    <w:p>
      <w:pPr>
        <w:ind w:right="220" w:firstLine="987"/>
        <w:spacing w:after="0" w:line="262"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Expiration of RSUs</w:t>
      </w:r>
      <w:r>
        <w:rPr>
          <w:rFonts w:ascii="Times New Roman" w:cs="Times New Roman" w:eastAsia="Times New Roman" w:hAnsi="Times New Roman"/>
          <w:sz w:val="18"/>
          <w:szCs w:val="18"/>
          <w:color w:val="auto"/>
        </w:rPr>
        <w:t>. If an IPO, SPAC IPO, Direct Listing or Sale Event does not occur on or before the Expiration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Notice of Restricted Stock Unit Award, all RSUs (regardless of whether or not, or the extent to which, the Service-Based Requirement had been satisfied as to such RSUs) shall automatically terminate and be cancelled upon such date. Upon a termination of one or more RSUs pursuant to this Section 2, you will have no further right with respect to such RSUs or the Shares previously allocated thereto.</w:t>
      </w:r>
    </w:p>
    <w:p>
      <w:pPr>
        <w:spacing w:after="0" w:line="68" w:lineRule="exact"/>
        <w:rPr>
          <w:rFonts w:ascii="Times New Roman" w:cs="Times New Roman" w:eastAsia="Times New Roman" w:hAnsi="Times New Roman"/>
          <w:sz w:val="18"/>
          <w:szCs w:val="18"/>
          <w:color w:val="auto"/>
        </w:rPr>
      </w:pPr>
    </w:p>
    <w:p>
      <w:pPr>
        <w:ind w:right="20" w:firstLine="987"/>
        <w:spacing w:after="0" w:line="257"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If you commence working on a part-time basis, then the Company may adjust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Service-Based Requirement set forth in the Notice of Restricted Stock Unit Award. If you go on a leave of absence, then, to the extent permitted by applicable law, the Company may adjust or suspend the Service-Based Requirement set forth in the Notice of Restricted Stock Unit Award. Except as provided in the preceding sentence, Service shall be deemed to continue for any purpose under this Agreement while you are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approved by the Company in writing. Service shall be deemed to terminate when such leave ends, unless you immediately return to active work when such leave 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RESTRICTIONS APPLICABLE TO RSUS.</w:t>
      </w:r>
    </w:p>
    <w:p>
      <w:pPr>
        <w:spacing w:after="0" w:line="12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Except as otherwise provided in or pursuant to this Agreement or the Plan, these RSUs and the rights and privileges conferred hereby shall not be sold, assigned, transferred, pledged, hypothecated, or otherwise disposed of by you prior to the settlement of the RSUs. However, you may designate a third party who, in the event of your death, shall thereafter be entitled to receive any distribution of Shares to which you were entitled at the time of your death pursuant to this Agreement by delivering a written beneficiary designation to the Company’s headquarters on the prescribed form before your death. If you deliver no such beneficiary designation or if your designated beneficiaries do not survive you, your estate will receive payments in respect of any vested RSUs.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SETTLEMENT OF RSUS.</w:t>
      </w:r>
    </w:p>
    <w:p>
      <w:pPr>
        <w:spacing w:after="0" w:line="117" w:lineRule="exact"/>
        <w:rPr>
          <w:sz w:val="20"/>
          <w:szCs w:val="20"/>
          <w:color w:val="auto"/>
        </w:rPr>
      </w:pPr>
    </w:p>
    <w:p>
      <w:pPr>
        <w:ind w:firstLine="987"/>
        <w:spacing w:after="0" w:line="262"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The Company shall settle each vested RSU by delivering either (i) one Share, (ii) a cash amount equal to the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one Share at the time of settlement (less Withholding Taxes), or (iii) a combination of cash and Shares, as determined by the Board of Directors in its sole discretion. Settlement shall occur on or following the Vesting Date, but not later than the Short Term Deferral End Date. In no event will you be permitted, directly or indirectly, to specify the taxable year of settlement of any RSUs subject to this award.</w:t>
      </w:r>
    </w:p>
    <w:p>
      <w:pPr>
        <w:sectPr>
          <w:pgSz w:w="11900" w:h="16838" w:orient="portrait"/>
          <w:cols w:equalWidth="0" w:num="1">
            <w:col w:w="10980"/>
          </w:cols>
          <w:pgMar w:left="440" w:top="266" w:right="479" w:bottom="1440" w:gutter="0" w:footer="0" w:header="0"/>
        </w:sectPr>
      </w:pPr>
    </w:p>
    <w:bookmarkStart w:id="191" w:name="page192"/>
    <w:bookmarkEnd w:id="191"/>
    <w:p>
      <w:pPr>
        <w:ind w:right="340" w:firstLine="987"/>
        <w:spacing w:after="0" w:line="28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Delivery</w:t>
      </w:r>
      <w:r>
        <w:rPr>
          <w:rFonts w:ascii="Times New Roman" w:cs="Times New Roman" w:eastAsia="Times New Roman" w:hAnsi="Times New Roman"/>
          <w:sz w:val="18"/>
          <w:szCs w:val="18"/>
          <w:color w:val="auto"/>
        </w:rPr>
        <w:t>. The form of any delivery of Shares (e.g., a stock certificate or electronic entry evidencing such shares)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Company.</w:t>
      </w:r>
    </w:p>
    <w:p>
      <w:pPr>
        <w:spacing w:after="0" w:line="46" w:lineRule="exact"/>
        <w:rPr>
          <w:rFonts w:ascii="Times New Roman" w:cs="Times New Roman" w:eastAsia="Times New Roman" w:hAnsi="Times New Roman"/>
          <w:sz w:val="18"/>
          <w:szCs w:val="18"/>
          <w:color w:val="auto"/>
        </w:rPr>
      </w:pPr>
    </w:p>
    <w:p>
      <w:pPr>
        <w:ind w:right="180" w:firstLine="987"/>
        <w:spacing w:after="0" w:line="259"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Legality of Issuance</w:t>
      </w:r>
      <w:r>
        <w:rPr>
          <w:rFonts w:ascii="Times New Roman" w:cs="Times New Roman" w:eastAsia="Times New Roman" w:hAnsi="Times New Roman"/>
          <w:sz w:val="18"/>
          <w:szCs w:val="18"/>
          <w:color w:val="auto"/>
        </w:rPr>
        <w:t>. No Shares shall be issued to you upon settlement of these RSUs unless and until the Company has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you and the Company have taken any actions required to register the Shares under the Securities Act or to perfect an exemption from the registration requirements thereof; (ii) any applicable listing requirement of any stock exchange or other securities market on which Stock is listed has been satisfied; and (iii) any other applicable provision of federal, State or foreign law has been satisfied. The Company shall have no liability to issue Shares in respect of the RSUs unless it is able to do so in compliance with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TAXES.</w:t>
      </w:r>
    </w:p>
    <w:p>
      <w:pPr>
        <w:spacing w:after="0" w:line="117" w:lineRule="exact"/>
        <w:rPr>
          <w:sz w:val="20"/>
          <w:szCs w:val="20"/>
          <w:color w:val="auto"/>
        </w:rPr>
      </w:pPr>
    </w:p>
    <w:p>
      <w:pPr>
        <w:ind w:right="20" w:firstLine="987"/>
        <w:spacing w:after="0" w:line="254"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No consideration will be paid to you in respect of this award unless you have made arrangements satisfactory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and/or the Parent or Subsidiary employing you (your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for the payment of all applicable federal, State, local and foreign income and employment withholding taxes which arise in connection with the vesting and/or settlement of these RSUs (the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To the extent that you fail to make such arrangements with respect to these RSUs, then you will permanently forfeit such RSUs. At the discretion of the Company, these arrangements may include (i) withholding from other compensation or amounts that are owed to you by your Employer, (ii) payment in cash, (iii) if the Stock is publicly traded, payment from the proceeds of the sale of shares through a Company- approved broker, (iv) withholding a number of Shares that otherwise would be issued to you when the RSUs are settled, or (v) any other method permitted by the Company. If the Withholding Taxes are satisfied pursuant to clause (iv), you will be deemed to have been issued the full number of Shares subject to the RSUs and the Fair Market Value of the withheld Shares, determined as of the date when taxes otherwise would have been withheld in cash, will be applied to the Withholding Taxes and such amount will be remitted to appropriate tax authorities by the Company or your Employer. You acknowledge that the responsibility for all Withholding Taxes is yours and may exceed the amount actually withheld by the Company or your Employer.</w:t>
      </w:r>
    </w:p>
    <w:p>
      <w:pPr>
        <w:spacing w:after="0" w:line="74"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settlement of these RSUs is intended to be exempt from the application of Code Section 409A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deferral exemption” in Treasury Regulation 1.409A-1(b)(4) and shall be administered and interpreted in a manner that complies with such exemption. To the extent that any provision of this Agreement is ambiguous as to its exemption from Code Section 409A, the provision shall be read in such a manner so that all payments hereunder are exempt from Code Section 409A. Notwithstanding the foregoing, if this award of RSUs is interpreted as not being exempt from Code Section 409A, it shall be interpreted to comply with the requirements of Code Section 409A so that this award is not subject to additional tax or interest under Code Section 409A. In this regard, to the extent necessary to comply with or qualify for an exemption from Code Section 409A, any reference to “termination of employment” or similar terms will mean your “separation from service” within the meaning of Code Section 409A(2)(A)(i) (a “</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In addition, if this award is payable upon your Separation and you are a “specified employee” of the Company or any affiliate thereof within the meaning of Code Section 409A(a)(2)(B)(i) on the day of your Separation, then no such payment shall be made prior to the date that is the earlier of (i) six months and one day after your Separation, or (ii) your death, but only to the extent such delay is necessary so that this award is not subject to additional tax or interest under Code Section 409A. Each installment of your RSUs that vests is intended to constitute a separate payment for purposes of Code Section 409A.</w:t>
      </w:r>
    </w:p>
    <w:p>
      <w:pPr>
        <w:sectPr>
          <w:pgSz w:w="11900" w:h="16838" w:orient="portrait"/>
          <w:cols w:equalWidth="0" w:num="1">
            <w:col w:w="10960"/>
          </w:cols>
          <w:pgMar w:left="440" w:top="266"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RESTRICTIONS APPLICABLE TO SHARES.</w:t>
      </w:r>
    </w:p>
    <w:p>
      <w:pPr>
        <w:spacing w:after="0" w:line="117" w:lineRule="exact"/>
        <w:rPr>
          <w:sz w:val="20"/>
          <w:szCs w:val="20"/>
          <w:color w:val="auto"/>
        </w:rPr>
      </w:pPr>
    </w:p>
    <w:p>
      <w:pPr>
        <w:ind w:right="120" w:firstLine="987"/>
        <w:spacing w:after="0" w:line="268"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Restrictions</w:t>
      </w:r>
      <w:r>
        <w:rPr>
          <w:rFonts w:ascii="Times New Roman" w:cs="Times New Roman" w:eastAsia="Times New Roman" w:hAnsi="Times New Roman"/>
          <w:sz w:val="18"/>
          <w:szCs w:val="18"/>
          <w:color w:val="auto"/>
        </w:rPr>
        <w:t>. Unless the Stock is readily tradeable on an established securities market, the transfer of any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pursuant to this Agreement (or any interest therein) shall, at the Company’s request, be condition upon (i) effecting such transfer pursuant to a form of stock transfer agreement prescribed by the Company and (ii) payment of a transfer fee not to exceed $5,000.</w:t>
      </w:r>
    </w:p>
    <w:p>
      <w:pPr>
        <w:spacing w:after="0" w:line="62"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You (or the beneficiary or your personal representative in the event of your death or incapacity, as the case may be) shall deliver to the Company any representations or other documents or assurances as the Company may deem necessary or reasonably desirable to ensure compliance with all applicable legal and regulatory requirements.</w:t>
      </w:r>
    </w:p>
    <w:p>
      <w:pPr>
        <w:spacing w:after="0" w:line="80"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registration statement filed under the Securities Act, including the Company’s initial public offering, you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18"/>
          <w:szCs w:val="18"/>
          <w:b w:val="1"/>
          <w:bCs w:val="1"/>
          <w:color w:val="auto"/>
        </w:rPr>
        <w:t>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Stand-Off</w:t>
      </w:r>
      <w:r>
        <w:rPr>
          <w:rFonts w:ascii="Times New Roman" w:cs="Times New Roman" w:eastAsia="Times New Roman" w:hAnsi="Times New Roman"/>
          <w:sz w:val="18"/>
          <w:szCs w:val="18"/>
          <w:color w:val="auto"/>
        </w:rPr>
        <w:t>”) shall be in effect for such period of time following the date of the public filing of the registration statement relating to the initial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(or commencing on the date of the final prospectus relating to any subsequent offering) as may be requested by the Company or such underwriter.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Section 7(c). This Section 7(c) shall not apply to Shares registered in the public offering under the Securities Act.</w:t>
      </w:r>
    </w:p>
    <w:p>
      <w:pPr>
        <w:sectPr>
          <w:pgSz w:w="11900" w:h="16838" w:orient="portrait"/>
          <w:cols w:equalWidth="0" w:num="1">
            <w:col w:w="11000"/>
          </w:cols>
          <w:pgMar w:left="440" w:top="266" w:right="459" w:bottom="1440" w:gutter="0" w:footer="0" w:header="0"/>
        </w:sectPr>
      </w:pPr>
    </w:p>
    <w:bookmarkStart w:id="193" w:name="page194"/>
    <w:bookmarkEnd w:id="193"/>
    <w:p>
      <w:pPr>
        <w:ind w:right="220" w:firstLine="987"/>
        <w:spacing w:after="0" w:line="286"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Intent at Grant</w:t>
      </w:r>
      <w:r>
        <w:rPr>
          <w:rFonts w:ascii="Times New Roman" w:cs="Times New Roman" w:eastAsia="Times New Roman" w:hAnsi="Times New Roman"/>
          <w:sz w:val="18"/>
          <w:szCs w:val="18"/>
          <w:color w:val="auto"/>
        </w:rPr>
        <w:t>. You represent and agree that the Shares to be acquired upon settlement of these RSUs will be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and not with a view to the sale or distribution thereof.</w:t>
      </w:r>
    </w:p>
    <w:p>
      <w:pPr>
        <w:spacing w:after="0" w:line="46" w:lineRule="exact"/>
        <w:rPr>
          <w:rFonts w:ascii="Times New Roman" w:cs="Times New Roman" w:eastAsia="Times New Roman" w:hAnsi="Times New Roman"/>
          <w:sz w:val="18"/>
          <w:szCs w:val="18"/>
          <w:color w:val="auto"/>
        </w:rPr>
      </w:pPr>
    </w:p>
    <w:p>
      <w:pPr>
        <w:ind w:right="40" w:firstLine="987"/>
        <w:spacing w:after="0" w:line="259"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Settlement</w:t>
      </w:r>
      <w:r>
        <w:rPr>
          <w:rFonts w:ascii="Times New Roman" w:cs="Times New Roman" w:eastAsia="Times New Roman" w:hAnsi="Times New Roman"/>
          <w:sz w:val="18"/>
          <w:szCs w:val="18"/>
          <w:color w:val="auto"/>
        </w:rPr>
        <w:t>. In the event that the sale of Shares under the Plan is not registered under the Securities Act but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is available that requires an investment representation or other representation, you shall represent and agree at the time of issuance that the Shares being acquired upon settlement of these RSUs are being acquired for investment, and not with a view to the sale or distribution thereof, and shall make such other representations as are deemed necessary or appropriate by the Company and its counsel, including, at the time of settlement, such representations as required by Regulation S of the Securities Act (if the Company is relying on such exemption).</w:t>
      </w:r>
    </w:p>
    <w:p>
      <w:pPr>
        <w:spacing w:after="0" w:line="71" w:lineRule="exact"/>
        <w:rPr>
          <w:rFonts w:ascii="Times New Roman" w:cs="Times New Roman" w:eastAsia="Times New Roman" w:hAnsi="Times New Roman"/>
          <w:sz w:val="18"/>
          <w:szCs w:val="18"/>
          <w:color w:val="auto"/>
        </w:rPr>
      </w:pPr>
    </w:p>
    <w:p>
      <w:pPr>
        <w:ind w:firstLine="987"/>
        <w:spacing w:after="0" w:line="268" w:lineRule="auto"/>
        <w:tabs>
          <w:tab w:leader="none" w:pos="121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the Company</w:t>
      </w:r>
      <w:r>
        <w:rPr>
          <w:rFonts w:ascii="Times New Roman" w:cs="Times New Roman" w:eastAsia="Times New Roman" w:hAnsi="Times New Roman"/>
          <w:sz w:val="18"/>
          <w:szCs w:val="18"/>
          <w:color w:val="auto"/>
        </w:rPr>
        <w:t>. The Company shall not be required to (i) transfer on its books any Shares that have been sold or transferred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contravention of this Agreement or (ii) treat as the owner of Shares, or otherwise to accord voting, dividend or liquidation rights to, any Transferee to whom the Shares have been transferred in contravention of this Agreement.</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the Shares issued under this Agreement shall bear the following legend:</w:t>
      </w:r>
    </w:p>
    <w:p>
      <w:pPr>
        <w:spacing w:after="0" w:line="121"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“THE SHARES REPRESENTED HEREBY (AND ANY INTEREST THEREIN) MAY NOT BE SOLD, ASSIGNED, TRANSFERRED, ENCUMBERED OR IN ANY MANNER DISPOSED OF, EXCEPT IN COMPLIANCE WITH THE TERMS OF THE RESTRICTED STOCK UNIT AGREEMENT PURSUANT TO WHICH SUCH SHARES WERE ACQUIRED. SUCH AGREEMENT GRANTS TO THE COMPANY CERTAIN RIGHTS OF FIRST REFUSAL UPON AN ATTEMPTED TRANSFER OF THE SHARES. IN ADDITION, THE SHARES ARE SUBJECT TO RESTRICTIONS ON TRANSFER AS SET FORTH IN SUCH RESTRICTED STOCK UNIT AGREEMENT. THE SECRETARY OF THE COMPANY WILL UPON WRITTEN REQUEST FURNISH A COPY OF SUCH RESTRICTED STOCK UNIT AGREEMENT TO THE HOLDER HEREOF WITHOUT CHARGE.”</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certificates evidencing Shares issued under this Agreement in an unregistered transaction shall bear the following legend (and such other restrictive legends as are required or deemed advisable under the provisions of any applicable law):</w:t>
      </w:r>
    </w:p>
    <w:p>
      <w:pPr>
        <w:sectPr>
          <w:pgSz w:w="11900" w:h="16838" w:orient="portrait"/>
          <w:cols w:equalWidth="0" w:num="1">
            <w:col w:w="11000"/>
          </w:cols>
          <w:pgMar w:left="440" w:top="266" w:right="459" w:bottom="1440" w:gutter="0" w:footer="0" w:header="0"/>
        </w:sectPr>
      </w:pPr>
    </w:p>
    <w:bookmarkStart w:id="194" w:name="page195"/>
    <w:bookmarkEnd w:id="194"/>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REPRESENTED HEREBY HAVE NOT BEEN REGISTERED UNDER THE SECURITIES ACT OF 1933, AS AMENDED (THE “ACT”) OR ANY SECURITIES LAWS OF ANY U.S. STATE, AND MAY NOT BE SOLD, REOFFERED, PLEDGED, ASSIGNED, ENCUMBERED OR OTHERWISE TRANSFERRED OR DISPOSED OF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76" w:lineRule="exact"/>
        <w:rPr>
          <w:sz w:val="20"/>
          <w:szCs w:val="20"/>
          <w:color w:val="auto"/>
        </w:rPr>
      </w:pPr>
    </w:p>
    <w:p>
      <w:pPr>
        <w:ind w:right="200" w:firstLine="987"/>
        <w:spacing w:after="0" w:line="268"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under this Agreement is no longer required, the holder of such certificate shall be entitled to exchange such certificate for a certificate representing the same number of Shares but without such legend.</w:t>
      </w:r>
    </w:p>
    <w:p>
      <w:pPr>
        <w:spacing w:after="0" w:line="62" w:lineRule="exact"/>
        <w:rPr>
          <w:rFonts w:ascii="Times New Roman" w:cs="Times New Roman" w:eastAsia="Times New Roman" w:hAnsi="Times New Roman"/>
          <w:sz w:val="18"/>
          <w:szCs w:val="18"/>
          <w:color w:val="auto"/>
        </w:rPr>
      </w:pPr>
    </w:p>
    <w:p>
      <w:pPr>
        <w:ind w:right="260" w:firstLine="987"/>
        <w:spacing w:after="0" w:line="286" w:lineRule="auto"/>
        <w:tabs>
          <w:tab w:leader="none" w:pos="12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conclusive and binding on you and all other persons.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ADJUSTMENT OF SHARES.</w:t>
      </w:r>
    </w:p>
    <w:p>
      <w:pPr>
        <w:spacing w:after="0" w:line="1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these RSUs (including, without limitation, the number and kind of shares subject to these RSUs) shall be adjusted as set forth in Section 8(a) of the Plan. In the event that the Company is a party to a merger or consolidation or in the event of a sale of all or substantially all of the Company’s stock or assets, your RSUs shall be subject to the treatment provided by the Board of Directors in its sole discretion, as provided in Section 8(b) of the Plan; provided, however, that any action taken must either preserve the exemption of your RSUs from Code Section 409A or comply with Code Section 409A. Any additional RSUs and any new, substituted or additional shares, cash or other property that become subject to this award as a result of any such transaction shall be subject to the same conditions and restrictions as applicable to the RSUs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MISCELLANEOUS PROVISIONS.</w:t>
      </w:r>
    </w:p>
    <w:p>
      <w:pPr>
        <w:spacing w:after="0" w:line="117" w:lineRule="exact"/>
        <w:rPr>
          <w:sz w:val="20"/>
          <w:szCs w:val="20"/>
          <w:color w:val="auto"/>
        </w:rPr>
      </w:pPr>
    </w:p>
    <w:p>
      <w:pPr>
        <w:ind w:right="40" w:firstLine="987"/>
        <w:spacing w:after="0" w:line="262"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Agreement or in the Plan shall confer upon you the right to remain in Service in any capacity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of specific duration or interfere with or otherwise restrict in any way the rights of the Company (or any Parent or Subsidiary employing or retaining you) or you, which rights are hereby expressly reserved by each, to terminate your Service at any time and for any reason, with or without cause.</w:t>
      </w:r>
    </w:p>
    <w:p>
      <w:pPr>
        <w:spacing w:after="0" w:line="68" w:lineRule="exact"/>
        <w:rPr>
          <w:rFonts w:ascii="Times New Roman" w:cs="Times New Roman" w:eastAsia="Times New Roman" w:hAnsi="Times New Roman"/>
          <w:sz w:val="18"/>
          <w:szCs w:val="18"/>
          <w:color w:val="auto"/>
        </w:rPr>
      </w:pPr>
    </w:p>
    <w:p>
      <w:pPr>
        <w:ind w:right="140" w:firstLine="987"/>
        <w:spacing w:after="0" w:line="257" w:lineRule="auto"/>
        <w:tabs>
          <w:tab w:leader="none" w:pos="12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you at the address that you most recently provided to the Company in accordance with this Section 9(b). In addition, to the extent required or permitted pursuant to rules established by the Company from time to time, notices may be delivered electronically.</w:t>
      </w:r>
    </w:p>
    <w:p>
      <w:pPr>
        <w:sectPr>
          <w:pgSz w:w="11900" w:h="16838" w:orient="portrait"/>
          <w:cols w:equalWidth="0" w:num="1">
            <w:col w:w="11000"/>
          </w:cols>
          <w:pgMar w:left="440" w:top="270" w:right="459" w:bottom="1440" w:gutter="0" w:footer="0" w:header="0"/>
        </w:sectPr>
      </w:pPr>
    </w:p>
    <w:bookmarkStart w:id="195" w:name="page196"/>
    <w:bookmarkEnd w:id="195"/>
    <w:p>
      <w:pPr>
        <w:ind w:firstLine="987"/>
        <w:spacing w:after="0" w:line="262"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discharge is agreed to in writing and signed by you and by an authorized officer of the Company (other than you).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68" w:lineRule="exact"/>
        <w:rPr>
          <w:rFonts w:ascii="Times New Roman" w:cs="Times New Roman" w:eastAsia="Times New Roman" w:hAnsi="Times New Roman"/>
          <w:sz w:val="18"/>
          <w:szCs w:val="18"/>
          <w:color w:val="auto"/>
        </w:rPr>
      </w:pPr>
    </w:p>
    <w:p>
      <w:pPr>
        <w:ind w:right="140" w:firstLine="987"/>
        <w:spacing w:after="0" w:line="268"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Restricted Stock Unit Award, this Agreement and the Plan constitute the entire understanding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you and the Company regarding the subject matter hereof. They supersede any other agreements, representations or understandings (whether oral or written and whether express or implied) that relate to the subject matter hereof.</w:t>
      </w:r>
    </w:p>
    <w:p>
      <w:pPr>
        <w:spacing w:after="0" w:line="62" w:lineRule="exact"/>
        <w:rPr>
          <w:rFonts w:ascii="Times New Roman" w:cs="Times New Roman" w:eastAsia="Times New Roman" w:hAnsi="Times New Roman"/>
          <w:sz w:val="18"/>
          <w:szCs w:val="18"/>
          <w:color w:val="auto"/>
        </w:rPr>
      </w:pPr>
    </w:p>
    <w:p>
      <w:pPr>
        <w:ind w:right="200" w:firstLine="987"/>
        <w:spacing w:after="0" w:line="286"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are applied to contracts entered into and performed in such State.</w:t>
      </w:r>
    </w:p>
    <w:p>
      <w:pPr>
        <w:spacing w:after="0" w:line="46" w:lineRule="exact"/>
        <w:rPr>
          <w:rFonts w:ascii="Times New Roman" w:cs="Times New Roman" w:eastAsia="Times New Roman" w:hAnsi="Times New Roman"/>
          <w:sz w:val="18"/>
          <w:szCs w:val="18"/>
          <w:color w:val="auto"/>
        </w:rPr>
      </w:pPr>
    </w:p>
    <w:p>
      <w:pPr>
        <w:ind w:right="120" w:firstLine="987"/>
        <w:spacing w:after="0" w:line="262" w:lineRule="auto"/>
        <w:tabs>
          <w:tab w:leader="none" w:pos="121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68" w:lineRule="exact"/>
        <w:rPr>
          <w:rFonts w:ascii="Times New Roman" w:cs="Times New Roman" w:eastAsia="Times New Roman" w:hAnsi="Times New Roman"/>
          <w:sz w:val="18"/>
          <w:szCs w:val="18"/>
          <w:color w:val="auto"/>
        </w:rPr>
      </w:pPr>
    </w:p>
    <w:p>
      <w:pPr>
        <w:jc w:val="both"/>
        <w:ind w:right="60" w:firstLine="987"/>
        <w:spacing w:after="0" w:line="262"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to the contrary, the provisions of this Agreement shall inure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and be binding upon, the Company and its successors and assigns and be binding upon you and your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ACKNOWLEDGEMENTS.</w:t>
      </w:r>
    </w:p>
    <w:p>
      <w:pPr>
        <w:spacing w:after="0" w:line="121"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other terms, conditions and restrictions imposed on your RSUs and the Shares issuable upon settlement of your RSUs pursuant to this Agreement and the Plan, you expressly acknowledge being subject to Section 7 (Restrictions Applicable to Shares, including without limitation the Market Stand-Off), as well as the following provisions:</w:t>
      </w:r>
    </w:p>
    <w:p>
      <w:pPr>
        <w:spacing w:after="0" w:line="64" w:lineRule="exact"/>
        <w:rPr>
          <w:sz w:val="20"/>
          <w:szCs w:val="20"/>
          <w:color w:val="auto"/>
        </w:rPr>
      </w:pPr>
    </w:p>
    <w:p>
      <w:pPr>
        <w:ind w:right="200" w:firstLine="987"/>
        <w:spacing w:after="0" w:line="262"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You acknowledge that there will be tax consequences upon vesting and/or settlement of the RSUs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the Shares, if any, received hereunder, and you should consult a tax adviser regarding your tax obligations prior to such event. You acknowledge that the Company is not providing any tax, legal, or financial advice, nor is the Company making any recommendations regarding your participation in the Plan or acquisition or sale of Shares subject to this award. You are hereby advised to consult with your own personal</w:t>
      </w:r>
    </w:p>
    <w:p>
      <w:pPr>
        <w:sectPr>
          <w:pgSz w:w="11900" w:h="16838" w:orient="portrait"/>
          <w:cols w:equalWidth="0" w:num="1">
            <w:col w:w="10920"/>
          </w:cols>
          <w:pgMar w:left="440" w:top="266" w:right="539" w:bottom="1440" w:gutter="0" w:footer="0" w:header="0"/>
        </w:sectPr>
      </w:pPr>
    </w:p>
    <w:bookmarkStart w:id="196" w:name="page197"/>
    <w:bookmarkEnd w:id="196"/>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legal, and financial advisors regarding your participation in the Plan. You further acknowledge that the Company (i) makes no representations or undertakings regarding the tax treatment of the award of RSUs, including, but not limited to the grant, vesting, or settlement of the RSUs, the subsequent sale of Shares acquired pursuant to such RSUs, and the receipt of any dividends; and (ii) does not commit to and is under no obligation to structure the terms of the grant of the RSUs to reduce or eliminate your tax liability or achieve any particular tax result. You agree that the Company does not have a duty to design or administer the RSUs, the Plan or its other compensation programs in a manner that minimizes your tax liability. You shall not make any claim against the Company or its Board of Directors, officers, or employees related to tax matters arising from this award or your other compensation.</w:t>
      </w:r>
    </w:p>
    <w:p>
      <w:pPr>
        <w:spacing w:after="0" w:line="77" w:lineRule="exact"/>
        <w:rPr>
          <w:sz w:val="20"/>
          <w:szCs w:val="20"/>
          <w:color w:val="auto"/>
        </w:rPr>
      </w:pPr>
    </w:p>
    <w:p>
      <w:pPr>
        <w:ind w:firstLine="987"/>
        <w:spacing w:after="0" w:line="257"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 Delivery of Documents. </w:t>
      </w:r>
      <w:r>
        <w:rPr>
          <w:rFonts w:ascii="Times New Roman" w:cs="Times New Roman" w:eastAsia="Times New Roman" w:hAnsi="Times New Roman"/>
          <w:sz w:val="18"/>
          <w:szCs w:val="18"/>
          <w:color w:val="auto"/>
        </w:rPr>
        <w:t>You acknowledge and agree that the Company may, in its sole discretion, deliver all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the Company, the Plan or these RSUs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You acknowledge that you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74" w:lineRule="exact"/>
        <w:rPr>
          <w:rFonts w:ascii="Times New Roman" w:cs="Times New Roman" w:eastAsia="Times New Roman" w:hAnsi="Times New Roman"/>
          <w:sz w:val="18"/>
          <w:szCs w:val="18"/>
          <w:color w:val="auto"/>
        </w:rPr>
      </w:pPr>
    </w:p>
    <w:p>
      <w:pPr>
        <w:ind w:right="40" w:firstLine="987"/>
        <w:spacing w:after="0" w:line="259"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Discretionary</w:t>
      </w:r>
      <w:r>
        <w:rPr>
          <w:rFonts w:ascii="Times New Roman" w:cs="Times New Roman" w:eastAsia="Times New Roman" w:hAnsi="Times New Roman"/>
          <w:sz w:val="18"/>
          <w:szCs w:val="18"/>
          <w:color w:val="auto"/>
        </w:rPr>
        <w:t>. You understand and acknowledge that (i) the Plan is entirely discretionary, (ii) the Company and your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reserved the right to amend, suspend or terminate the Plan at any time, (iii) the grant of the RSUs does not in any way create any contractual or other right to receive additional grants of RSUs (or benefits in lieu of RSUs) at any time or in any amount and (iv) all determinations with respect to any additional grants, including (without limitation) the times when RSUs will be granted, the number of Shares offered, and the vesting schedule, will be at the sole discretion of the Company.</w:t>
      </w:r>
    </w:p>
    <w:p>
      <w:pPr>
        <w:spacing w:after="0" w:line="71" w:lineRule="exact"/>
        <w:rPr>
          <w:rFonts w:ascii="Times New Roman" w:cs="Times New Roman" w:eastAsia="Times New Roman" w:hAnsi="Times New Roman"/>
          <w:sz w:val="18"/>
          <w:szCs w:val="18"/>
          <w:color w:val="auto"/>
        </w:rPr>
      </w:pPr>
    </w:p>
    <w:p>
      <w:pPr>
        <w:ind w:right="220" w:firstLine="987"/>
        <w:spacing w:after="0" w:line="286"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You understand and acknowledge that participation in the Plan ceases upon termination of your Service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except as may explicitly be provided otherwise in the Plan or this Agreement.</w:t>
      </w:r>
    </w:p>
    <w:p>
      <w:pPr>
        <w:spacing w:after="0" w:line="46" w:lineRule="exact"/>
        <w:rPr>
          <w:rFonts w:ascii="Times New Roman" w:cs="Times New Roman" w:eastAsia="Times New Roman" w:hAnsi="Times New Roman"/>
          <w:sz w:val="18"/>
          <w:szCs w:val="18"/>
          <w:color w:val="auto"/>
        </w:rPr>
      </w:pPr>
    </w:p>
    <w:p>
      <w:pPr>
        <w:ind w:right="100" w:firstLine="987"/>
        <w:spacing w:after="0" w:line="262"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Extraordinary Compensation</w:t>
      </w:r>
      <w:r>
        <w:rPr>
          <w:rFonts w:ascii="Times New Roman" w:cs="Times New Roman" w:eastAsia="Times New Roman" w:hAnsi="Times New Roman"/>
          <w:sz w:val="18"/>
          <w:szCs w:val="18"/>
          <w:color w:val="auto"/>
        </w:rPr>
        <w:t>. The value of your RSUs and the Shares issuable thereunder shall be an extraordinary item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68" w:lineRule="exact"/>
        <w:rPr>
          <w:rFonts w:ascii="Times New Roman" w:cs="Times New Roman" w:eastAsia="Times New Roman" w:hAnsi="Times New Roman"/>
          <w:sz w:val="18"/>
          <w:szCs w:val="18"/>
          <w:color w:val="auto"/>
        </w:rPr>
      </w:pPr>
    </w:p>
    <w:p>
      <w:pPr>
        <w:ind w:right="240" w:firstLine="987"/>
        <w:spacing w:after="0" w:line="268" w:lineRule="auto"/>
        <w:tabs>
          <w:tab w:leader="none" w:pos="12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 to Disclose</w:t>
      </w:r>
      <w:r>
        <w:rPr>
          <w:rFonts w:ascii="Times New Roman" w:cs="Times New Roman" w:eastAsia="Times New Roman" w:hAnsi="Times New Roman"/>
          <w:sz w:val="18"/>
          <w:szCs w:val="18"/>
          <w:color w:val="auto"/>
        </w:rPr>
        <w:t>. You hereby authorize and direct your employer to disclose to the Company or any Subsidiary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regarding your employment, the nature and amount of your compensation and the fact and conditions of your participation in the Plan, as your employer deems necessary or appropriate to facilitate the administration of the Plan.</w:t>
      </w:r>
    </w:p>
    <w:p>
      <w:pPr>
        <w:sectPr>
          <w:pgSz w:w="11900" w:h="16838" w:orient="portrait"/>
          <w:cols w:equalWidth="0" w:num="1">
            <w:col w:w="11000"/>
          </w:cols>
          <w:pgMar w:left="440" w:top="270" w:right="459" w:bottom="1440" w:gutter="0" w:footer="0" w:header="0"/>
        </w:sectPr>
      </w:pPr>
    </w:p>
    <w:bookmarkStart w:id="197" w:name="page198"/>
    <w:bookmarkEnd w:id="197"/>
    <w:p>
      <w:pPr>
        <w:ind w:firstLine="987"/>
        <w:spacing w:after="0" w:line="253"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Data Authorization</w:t>
      </w:r>
      <w:r>
        <w:rPr>
          <w:rFonts w:ascii="Times New Roman" w:cs="Times New Roman" w:eastAsia="Times New Roman" w:hAnsi="Times New Roman"/>
          <w:sz w:val="18"/>
          <w:szCs w:val="18"/>
          <w:color w:val="auto"/>
        </w:rPr>
        <w:t>. You consent to the collection, use and transfer of personal data as described in this Subsection (g).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RSUs or any other entitlements to Shares awarded, canceled, exercised, vested, unvested or outstanding in your favor (the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(g) by contacting the Company in writing.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117" w:lineRule="exact"/>
        <w:rPr>
          <w:sz w:val="20"/>
          <w:szCs w:val="20"/>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Restricted Stock Unit Agreement.</w:t>
      </w:r>
    </w:p>
    <w:p>
      <w:pPr>
        <w:spacing w:after="0" w:line="117" w:lineRule="exact"/>
        <w:rPr>
          <w:rFonts w:ascii="Times New Roman" w:cs="Times New Roman" w:eastAsia="Times New Roman" w:hAnsi="Times New Roman"/>
          <w:sz w:val="18"/>
          <w:szCs w:val="18"/>
          <w:color w:val="auto"/>
        </w:rPr>
      </w:pPr>
    </w:p>
    <w:p>
      <w:pPr>
        <w:ind w:right="380" w:firstLine="987"/>
        <w:spacing w:after="0" w:line="286"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as constituted from time to time or, if a Committee has been appointed, such Committee.</w:t>
      </w:r>
    </w:p>
    <w:p>
      <w:pPr>
        <w:spacing w:after="0" w:line="4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Blaize, Inc., a Delaware corporation.</w:t>
      </w:r>
    </w:p>
    <w:p>
      <w:pPr>
        <w:spacing w:after="0" w:line="117" w:lineRule="exact"/>
        <w:rPr>
          <w:rFonts w:ascii="Times New Roman" w:cs="Times New Roman" w:eastAsia="Times New Roman" w:hAnsi="Times New Roman"/>
          <w:sz w:val="18"/>
          <w:szCs w:val="18"/>
          <w:color w:val="auto"/>
        </w:rPr>
      </w:pPr>
    </w:p>
    <w:p>
      <w:pPr>
        <w:ind w:right="80" w:firstLine="987"/>
        <w:spacing w:after="0" w:line="286"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specified in the Notice of Restricted Stock Unit Award, which date shall be the later of (i) the date on which the Board of Directors resolved to grant these RSUs or (ii) your first date of Service.</w:t>
      </w:r>
    </w:p>
    <w:p>
      <w:pPr>
        <w:spacing w:after="0" w:line="46" w:lineRule="exact"/>
        <w:rPr>
          <w:rFonts w:ascii="Times New Roman" w:cs="Times New Roman" w:eastAsia="Times New Roman" w:hAnsi="Times New Roman"/>
          <w:sz w:val="18"/>
          <w:szCs w:val="18"/>
          <w:color w:val="auto"/>
        </w:rPr>
      </w:pPr>
    </w:p>
    <w:p>
      <w:pPr>
        <w:ind w:right="40" w:firstLine="987"/>
        <w:spacing w:after="0" w:line="268" w:lineRule="auto"/>
        <w:tabs>
          <w:tab w:leader="none" w:pos="121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 Listing</w:t>
      </w:r>
      <w:r>
        <w:rPr>
          <w:rFonts w:ascii="Times New Roman" w:cs="Times New Roman" w:eastAsia="Times New Roman" w:hAnsi="Times New Roman"/>
          <w:sz w:val="18"/>
          <w:szCs w:val="18"/>
          <w:color w:val="auto"/>
        </w:rPr>
        <w:t>” means the Company’s initial listing and first day of trading of its Common Stock on a national securities exchange by means of an effective registration statement on Form S-1 filed by this corporation with the Securities and Exchange Commission, and “</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 means the date on which the Company’s Common Stock begins trading on a national securities exchange.</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expiration date of the RSUs as set forth in the Notice of Restricted Stock Unit Award.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means any child, stepchild, grandchild, parent, stepparent, grandparent, spouse, sibling, mother-in-law,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father-in-law, son-in-law, daughter-in- law, brother-in-law or sister-in-law and shall include adoptive relationships.</w:t>
      </w:r>
    </w:p>
    <w:p>
      <w:pPr>
        <w:spacing w:after="0" w:line="95" w:lineRule="exact"/>
        <w:rPr>
          <w:sz w:val="20"/>
          <w:szCs w:val="20"/>
          <w:color w:val="auto"/>
        </w:rPr>
      </w:pPr>
    </w:p>
    <w:p>
      <w:pPr>
        <w:ind w:firstLine="987"/>
        <w:spacing w:after="0" w:line="268" w:lineRule="auto"/>
        <w:tabs>
          <w:tab w:leader="none" w:pos="120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first firm commitment underwritten public offering pursuant to an effective registration statement under the Securities Act covering the offer and sale by the Company of its equity securities, as a result of or following which the Shares shall be publicly held, and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means the date on which the IPO occurs.</w:t>
      </w:r>
    </w:p>
    <w:p>
      <w:pPr>
        <w:sectPr>
          <w:pgSz w:w="11900" w:h="16838" w:orient="portrait"/>
          <w:cols w:equalWidth="0" w:num="1">
            <w:col w:w="10980"/>
          </w:cols>
          <w:pgMar w:left="440" w:top="266" w:right="479" w:bottom="1440" w:gutter="0" w:footer="0" w:header="0"/>
        </w:sectPr>
      </w:pPr>
    </w:p>
    <w:bookmarkStart w:id="198" w:name="page199"/>
    <w:bookmarkEnd w:id="198"/>
    <w:p>
      <w:pPr>
        <w:ind w:left="-987" w:right="140" w:firstLine="987"/>
        <w:spacing w:after="0" w:line="286" w:lineRule="auto"/>
        <w:tabs>
          <w:tab w:leader="none" w:pos="21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Liquidity Event Requirement</w:t>
      </w:r>
      <w:r>
        <w:rPr>
          <w:rFonts w:ascii="Times New Roman" w:cs="Times New Roman" w:eastAsia="Times New Roman" w:hAnsi="Times New Roman"/>
          <w:sz w:val="18"/>
          <w:szCs w:val="18"/>
          <w:color w:val="auto"/>
        </w:rPr>
        <w:t>” means the requirement that the Company complete an IPO, SPAC IPO, Direct Listing or Sale Event as described in the Notice of Restricted Stock Unit Award.</w:t>
      </w:r>
    </w:p>
    <w:p>
      <w:pPr>
        <w:spacing w:after="0" w:line="46"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Blaize, Inc. 2011 Stock Plan, as may be amended from time to time.</w:t>
      </w:r>
    </w:p>
    <w:p>
      <w:pPr>
        <w:spacing w:after="0" w:line="117" w:lineRule="exact"/>
        <w:rPr>
          <w:rFonts w:ascii="Times New Roman" w:cs="Times New Roman" w:eastAsia="Times New Roman" w:hAnsi="Times New Roman"/>
          <w:sz w:val="18"/>
          <w:szCs w:val="18"/>
          <w:color w:val="auto"/>
        </w:rPr>
      </w:pPr>
    </w:p>
    <w:p>
      <w:pPr>
        <w:ind w:left="213" w:hanging="213"/>
        <w:spacing w:after="0"/>
        <w:tabs>
          <w:tab w:leader="none" w:pos="2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means the Restricted Stock Units granted to you by the Company as set forth in the Notice of Restricted Stock Unit Award.</w:t>
      </w:r>
    </w:p>
    <w:p>
      <w:pPr>
        <w:spacing w:after="0" w:line="117" w:lineRule="exact"/>
        <w:rPr>
          <w:rFonts w:ascii="Times New Roman" w:cs="Times New Roman" w:eastAsia="Times New Roman" w:hAnsi="Times New Roman"/>
          <w:sz w:val="18"/>
          <w:szCs w:val="18"/>
          <w:color w:val="auto"/>
        </w:rPr>
      </w:pPr>
    </w:p>
    <w:p>
      <w:pPr>
        <w:ind w:left="-987" w:firstLine="987"/>
        <w:spacing w:after="0" w:line="254" w:lineRule="auto"/>
        <w:tabs>
          <w:tab w:leader="none" w:pos="30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Event</w:t>
      </w:r>
      <w:r>
        <w:rPr>
          <w:rFonts w:ascii="Times New Roman" w:cs="Times New Roman" w:eastAsia="Times New Roman" w:hAnsi="Times New Roman"/>
          <w:sz w:val="18"/>
          <w:szCs w:val="18"/>
          <w:color w:val="auto"/>
        </w:rPr>
        <w:t>” means the consummation of the following transactions in which holders of Shares receive cash and/or marketable securities tradable on an established national or foreign securities exchange: (i) a sale of all or substantially all of the assets of the Company determined on a consolidated basis to an unrelated person or entity; (ii)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of the outstanding voting power of such surviving or resulting entity; or (iii) the acquisition of all or a majority of the outstanding voting stock of the Company in a single transaction or series of related transactions by a person or group of persons. For the avoidance of doubt, an initial public offering, any subsequent public offering, another capital raising event, and a merger effected solely to change the Company’s domicile shall not constitute a “Sale Event.” In addition, a transaction shall not constitute a Sale Event unless such transaction also qualifies as an event under Treasury Regulation Section 1.409A-3(i)(5)(v) (change in the ownership of a corporation), Treasury Regulation Section 1.409A-3(i)(5)(vi) (change in the effective control of a corporation), or Treasury Regulation Section 1.409A-3(i)(5)(vii) (change in the ownership of a substantial portion of a corporation’s assets).</w:t>
      </w:r>
    </w:p>
    <w:p>
      <w:pPr>
        <w:spacing w:after="0" w:line="74" w:lineRule="exact"/>
        <w:rPr>
          <w:rFonts w:ascii="Times New Roman" w:cs="Times New Roman" w:eastAsia="Times New Roman" w:hAnsi="Times New Roman"/>
          <w:sz w:val="18"/>
          <w:szCs w:val="18"/>
          <w:color w:val="auto"/>
        </w:rPr>
      </w:pPr>
    </w:p>
    <w:p>
      <w:pPr>
        <w:ind w:left="-987" w:right="180" w:firstLine="987"/>
        <w:spacing w:after="0" w:line="268"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means service as an Employee, Consultant or Outside Director. In the event of any dispute over whether and when Service has terminated, the Board of Directors shall have sole discretion to determine whether such termination has occurred and the effective date of such termination.</w:t>
      </w:r>
    </w:p>
    <w:p>
      <w:pPr>
        <w:spacing w:after="0" w:line="62" w:lineRule="exact"/>
        <w:rPr>
          <w:rFonts w:ascii="Times New Roman" w:cs="Times New Roman" w:eastAsia="Times New Roman" w:hAnsi="Times New Roman"/>
          <w:sz w:val="18"/>
          <w:szCs w:val="18"/>
          <w:color w:val="auto"/>
        </w:rPr>
      </w:pPr>
    </w:p>
    <w:p>
      <w:pPr>
        <w:ind w:left="-987" w:right="140" w:firstLine="987"/>
        <w:spacing w:after="0" w:line="286"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Service-Based Requirement</w:t>
      </w:r>
      <w:r>
        <w:rPr>
          <w:rFonts w:ascii="Times New Roman" w:cs="Times New Roman" w:eastAsia="Times New Roman" w:hAnsi="Times New Roman"/>
          <w:sz w:val="18"/>
          <w:szCs w:val="18"/>
          <w:color w:val="auto"/>
        </w:rPr>
        <w:t>” means the requirement to provide Service over the period of time set forth in the Notice of Restricted Stock Unit Award.</w:t>
      </w:r>
    </w:p>
    <w:p>
      <w:pPr>
        <w:spacing w:after="0" w:line="46" w:lineRule="exact"/>
        <w:rPr>
          <w:rFonts w:ascii="Times New Roman" w:cs="Times New Roman" w:eastAsia="Times New Roman" w:hAnsi="Times New Roman"/>
          <w:sz w:val="18"/>
          <w:szCs w:val="18"/>
          <w:color w:val="auto"/>
        </w:rPr>
      </w:pPr>
    </w:p>
    <w:p>
      <w:pPr>
        <w:ind w:left="-987" w:right="120" w:firstLine="987"/>
        <w:spacing w:after="0" w:line="268"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Short-Term Deferral End Date</w:t>
      </w:r>
      <w:r>
        <w:rPr>
          <w:rFonts w:ascii="Times New Roman" w:cs="Times New Roman" w:eastAsia="Times New Roman" w:hAnsi="Times New Roman"/>
          <w:sz w:val="18"/>
          <w:szCs w:val="18"/>
          <w:color w:val="auto"/>
        </w:rPr>
        <w:t>” means the date that is the later of (i) two and one-half months following the end of the calendar year in which the Vesting Date applicable to a RSU occurs or (ii) two and one-half months following the end of the Company’s fiscal year in which the Vesting Date applicable to a RSU occurs.</w:t>
      </w:r>
    </w:p>
    <w:p>
      <w:pPr>
        <w:sectPr>
          <w:pgSz w:w="11900" w:h="16838" w:orient="portrait"/>
          <w:cols w:equalWidth="0" w:num="1">
            <w:col w:w="10013"/>
          </w:cols>
          <w:pgMar w:left="1427" w:top="266" w:right="459" w:bottom="1440" w:gutter="0" w:footer="0" w:header="0"/>
        </w:sectPr>
      </w:pPr>
    </w:p>
    <w:bookmarkStart w:id="199" w:name="page200"/>
    <w:bookmarkEnd w:id="199"/>
    <w:p>
      <w:pPr>
        <w:ind w:left="-987" w:firstLine="987"/>
        <w:spacing w:after="0" w:line="257" w:lineRule="auto"/>
        <w:tabs>
          <w:tab w:leader="none" w:pos="25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SPAC IPO</w:t>
      </w:r>
      <w:r>
        <w:rPr>
          <w:rFonts w:ascii="Times New Roman" w:cs="Times New Roman" w:eastAsia="Times New Roman" w:hAnsi="Times New Roman"/>
          <w:sz w:val="18"/>
          <w:szCs w:val="18"/>
          <w:color w:val="auto"/>
        </w:rPr>
        <w:t>” means the consummation of a business combination pursuant to which the Company is merged into, or otherwise combines with, a special purpose acquisition company with securities listed on a national securities exchange, or a subsidiary thereof, and the shares of capital stock of the Company outstanding immediately prior to such combination continue to represent, or are converted into or exchanged for shares of capital stock that represent, immediately following such combination, at least a majority, by voting power, of the capital stock of (i) the surviving or resulting corporation; or (ii) if the surviving or resulting corporation is a wholly owned subsidiary of another corporation immediately following such combination or consolidation, the parent corporation of such surviving or resulting corporation.</w:t>
      </w:r>
    </w:p>
    <w:p>
      <w:pPr>
        <w:spacing w:after="0" w:line="74"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means any person to whom you have directly or indirectly transferred any Shares acquired under this Agreement.</w:t>
      </w:r>
    </w:p>
    <w:p>
      <w:pPr>
        <w:spacing w:after="0" w:line="117" w:lineRule="exact"/>
        <w:rPr>
          <w:rFonts w:ascii="Times New Roman" w:cs="Times New Roman" w:eastAsia="Times New Roman" w:hAnsi="Times New Roman"/>
          <w:sz w:val="18"/>
          <w:szCs w:val="18"/>
          <w:color w:val="auto"/>
        </w:rPr>
      </w:pPr>
    </w:p>
    <w:p>
      <w:pPr>
        <w:ind w:left="-987" w:right="240" w:firstLine="987"/>
        <w:spacing w:after="0" w:line="268" w:lineRule="auto"/>
        <w:tabs>
          <w:tab w:leader="none" w:pos="23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ectPr>
          <w:pgSz w:w="11900" w:h="16838" w:orient="portrait"/>
          <w:cols w:equalWidth="0" w:num="1">
            <w:col w:w="9933"/>
          </w:cols>
          <w:pgMar w:left="1427" w:top="266" w:right="5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13, 2025, is made and entered into by and among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(formerly known as BurTech Acquisition Corp., a Delaware corporation), and certain former securityholders of Blaize, Inc., a Delaware corporation (“</w:t>
      </w:r>
      <w:r>
        <w:rPr>
          <w:rFonts w:ascii="Times New Roman" w:cs="Times New Roman" w:eastAsia="Times New Roman" w:hAnsi="Times New Roman"/>
          <w:sz w:val="18"/>
          <w:szCs w:val="18"/>
          <w:u w:val="single" w:color="auto"/>
          <w:color w:val="auto"/>
        </w:rPr>
        <w:t>Legacy Blaize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(such persons,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Legacy Blaize are party to that certain Agreement and Plan of Merger, dated as of December 22, 2023,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on April 22, 2024 (as it may be further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Legacy Blaize, pursuant to which, among other things, on the date hereof, Merger Sub will merge with and into Legacy Blaize, with Legacy Blaize continuing on as the surviving entity and a wholly owned subsidiary of the Company, on the terms and subject to the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Merger constitutes a SPAC Transaction;</w:t>
      </w:r>
    </w:p>
    <w:p>
      <w:pPr>
        <w:spacing w:after="0" w:line="225"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enter into this Agreement, pursuant to which the Company shall grant the Holders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with respect to certain securities of the Company, as set forth in this Agreement.</w:t>
      </w:r>
    </w:p>
    <w:p>
      <w:pPr>
        <w:spacing w:after="0" w:line="155" w:lineRule="exact"/>
        <w:rPr>
          <w:sz w:val="20"/>
          <w:szCs w:val="20"/>
          <w:color w:val="auto"/>
        </w:rPr>
      </w:pPr>
    </w:p>
    <w:p>
      <w:pPr>
        <w:ind w:left="4"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terms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for all purposes of this Agreement, have the respective meanings set forth below:</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Holder Common Stock</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Adverse Disclosure</w:t>
      </w:r>
      <w:r>
        <w:rPr>
          <w:rFonts w:ascii="Times New Roman" w:cs="Times New Roman" w:eastAsia="Times New Roman" w:hAnsi="Times New Roman"/>
          <w:sz w:val="17"/>
          <w:szCs w:val="17"/>
          <w:color w:val="auto"/>
        </w:rPr>
        <w:t>” shall mean any public disclosure of material non-public information, which disclosure, in the good faith judgment of the Chief Executive Officer of the Company, the Chief Financial Officer of the Company or the Board, after consultation with counsel to the Company,</w:t>
      </w:r>
    </w:p>
    <w:p>
      <w:pPr>
        <w:spacing w:after="0" w:line="1" w:lineRule="exact"/>
        <w:rPr>
          <w:sz w:val="20"/>
          <w:szCs w:val="20"/>
          <w:color w:val="auto"/>
        </w:rPr>
      </w:pPr>
    </w:p>
    <w:p>
      <w:pPr>
        <w:ind w:left="4" w:right="60" w:hanging="4"/>
        <w:spacing w:after="0" w:line="253" w:lineRule="auto"/>
        <w:tabs>
          <w:tab w:leader="none" w:pos="21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01" w:name="page202"/>
    <w:bookmarkEnd w:id="2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given in the Preamble hereto.</w:t>
      </w:r>
    </w:p>
    <w:p>
      <w:pPr>
        <w:spacing w:after="0" w:line="223"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 Warrant</w:t>
      </w:r>
      <w:r>
        <w:rPr>
          <w:rFonts w:ascii="Times New Roman" w:cs="Times New Roman" w:eastAsia="Times New Roman" w:hAnsi="Times New Roman"/>
          <w:sz w:val="18"/>
          <w:szCs w:val="18"/>
          <w:color w:val="auto"/>
        </w:rPr>
        <w:t xml:space="preserve">” shall mean that certain Warrant, dated as of April 22, 2024, initially issued by Legacy Blaize to Ava Investors SA, a </w:t>
      </w:r>
      <w:r>
        <w:rPr>
          <w:rFonts w:ascii="Times New Roman" w:cs="Times New Roman" w:eastAsia="Times New Roman" w:hAnsi="Times New Roman"/>
          <w:sz w:val="18"/>
          <w:szCs w:val="18"/>
          <w:i w:val="1"/>
          <w:iCs w:val="1"/>
          <w:color w:val="auto"/>
        </w:rPr>
        <w:t>société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anonyme </w:t>
      </w:r>
      <w:r>
        <w:rPr>
          <w:rFonts w:ascii="Times New Roman" w:cs="Times New Roman" w:eastAsia="Times New Roman" w:hAnsi="Times New Roman"/>
          <w:sz w:val="18"/>
          <w:szCs w:val="18"/>
          <w:color w:val="auto"/>
        </w:rPr>
        <w:t>incorporated under the laws of Switzerland.</w:t>
      </w:r>
    </w:p>
    <w:p>
      <w:pPr>
        <w:spacing w:after="0" w:line="16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means a registered securities offering in which an underwriter agrees to purchase Registrable Securities without a prior public marketing process.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Company’s common stock, par value $0.0001 per share.</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given in the Preamble hereto and includes the Company’s successors by recapitalization, merger, consolidation, spin-off, reorganization or similar transaction.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have the meaning given in the Preamble hereto, for so long as such person or entity holds any Registrable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Blaize</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440" w:top="270" w:right="739" w:bottom="1440" w:gutter="0" w:footer="0" w:header="0"/>
        </w:sectPr>
      </w:pPr>
    </w:p>
    <w:bookmarkStart w:id="202" w:name="page203"/>
    <w:bookmarkEnd w:id="202"/>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shall mean that certain Amended and Restated Note Purchase Agreement, dated as of April 22, 2024, by and among Legacy Blaize and certain lenders named on the schedule of lenders attached thereto.</w:t>
      </w:r>
    </w:p>
    <w:p>
      <w:pPr>
        <w:spacing w:after="0" w:line="162"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shall mean any person or entity to whom such Holder is permitted to transfer such Registrable Securities, subject to and in accordance with any applicable agreement between such Holder and/or their respective Permitted Transferees and the Company and any transferee thereafter,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Security</w:t>
      </w:r>
      <w:r>
        <w:rPr>
          <w:rFonts w:ascii="Times New Roman" w:cs="Times New Roman" w:eastAsia="Times New Roman" w:hAnsi="Times New Roman"/>
          <w:sz w:val="18"/>
          <w:szCs w:val="18"/>
          <w:color w:val="auto"/>
        </w:rPr>
        <w:t xml:space="preserve">” shall mean (a) any shares of Common Stock issued to the Holders on account of Conversion Shares (as defined in the Note Purchase Agreement), Shares (as defined in the Ava Warrant) in connection with the Merger and any other securities of the Company otherwise held by any Holder; (b) any shares of Common Stock issuable upon the exercise, conversion or exchange of any other security of the Company held by a Holder immediately following the Closing (including any shares of Common Stock issuable upon the exercise, conversion or exchange of any other security of the Company distributed or distributable pursuant to the Merger Agreement), (c) any Additional Holder Common Stock; and (d) any shares of Common Stock issued or issuable with respect to any securities referenced in clauses (a), (b) and (c) above by way of a stock dividend or stock split or in connection with a recapitalization, merger, consolidation, spin-off, reorganization or similar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 (i) such securities shall have been otherwise transferred,</w:t>
      </w:r>
    </w:p>
    <w:p>
      <w:pPr>
        <w:spacing w:after="0" w:line="5" w:lineRule="exact"/>
        <w:rPr>
          <w:sz w:val="20"/>
          <w:szCs w:val="20"/>
          <w:color w:val="auto"/>
        </w:rPr>
      </w:pPr>
    </w:p>
    <w:p>
      <w:pPr>
        <w:ind w:left="4" w:hanging="4"/>
        <w:spacing w:after="0" w:line="253" w:lineRule="auto"/>
        <w:tabs>
          <w:tab w:leader="none" w:pos="26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certificates for such securities not bearing (or book-entry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limitation as to volume or manner of sale or the availability of current public information); and (E) such securities have been sold to, or through, a broker, dealer or underwriter in a public distribution or other public securities transaction.</w:t>
      </w:r>
    </w:p>
    <w:p>
      <w:pPr>
        <w:spacing w:after="0" w:line="187" w:lineRule="exact"/>
        <w:rPr>
          <w:sz w:val="20"/>
          <w:szCs w:val="20"/>
          <w:color w:val="auto"/>
        </w:rPr>
      </w:pPr>
    </w:p>
    <w:p>
      <w:pPr>
        <w:ind w:left="4" w:right="6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203" w:name="page204"/>
    <w:bookmarkEnd w:id="203"/>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the reasonable documented, out-of-pocket expenses of a Registration, including, without limitation, the following:</w:t>
      </w:r>
    </w:p>
    <w:p>
      <w:pPr>
        <w:spacing w:after="0" w:line="54" w:lineRule="exact"/>
        <w:rPr>
          <w:sz w:val="20"/>
          <w:szCs w:val="20"/>
          <w:color w:val="auto"/>
        </w:rPr>
      </w:pPr>
    </w:p>
    <w:p>
      <w:pPr>
        <w:ind w:right="580" w:firstLine="987"/>
        <w:spacing w:after="0" w:line="282" w:lineRule="auto"/>
        <w:tabs>
          <w:tab w:leader="none" w:pos="128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national securities exchange on which the Common Stock is then listed;</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7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5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1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117" w:lineRule="exact"/>
        <w:rPr>
          <w:rFonts w:ascii="Times New Roman" w:cs="Times New Roman" w:eastAsia="Times New Roman" w:hAnsi="Times New Roman"/>
          <w:sz w:val="18"/>
          <w:szCs w:val="18"/>
          <w:color w:val="auto"/>
        </w:rPr>
      </w:pPr>
    </w:p>
    <w:p>
      <w:pPr>
        <w:ind w:right="40" w:firstLine="987"/>
        <w:spacing w:after="0" w:line="282" w:lineRule="auto"/>
        <w:tabs>
          <w:tab w:leader="none" w:pos="126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5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Underwritten Offering, reasonable and documented fees and expenses of one (1) legal counsel selected by the majority in interest of the Demanding Holders with the approval of the Company (which approval shall not be unreasonably withheld, conditioned or delayed) not to exceed $100,000 in the aggregate for the first such Registration and $50,000 for any subsequent Registration.</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shall mean an Underwritten Shelf Takedown or any proposed transfer or sale using a Registration Statement, including a Piggyback Registration.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04" w:name="page205"/>
    <w:bookmarkEnd w:id="204"/>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or in a Block Trade.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 AND OFFERINGS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 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2.1.1 Filing</w:t>
      </w:r>
      <w:r>
        <w:rPr>
          <w:rFonts w:ascii="Times New Roman" w:cs="Times New Roman" w:eastAsia="Times New Roman" w:hAnsi="Times New Roman"/>
          <w:sz w:val="18"/>
          <w:szCs w:val="18"/>
          <w:color w:val="auto"/>
        </w:rPr>
        <w:t>. As promptly as practicable following the Closing Date (and in any event, within four (4) business days thereof),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submit to or file with the Commission a Registration Statement for a Shelf Registration on Form S-1 (the “</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or a Registration Statement for a Shelf Registration on Form S-3 (the “</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xml:space="preserve">”), if the Company is then eligible to use a Form S-3 Shelf, in each case, covering the resale of all the Registrable Securities (determined as of two (2) business days prior to such submission or filing) on a delayed or continuous basis and shall use its reasonable best efforts to have such Shelf declared effective as promptly as practicable after the filing thereof, but no later than the earlier of (a) the one hundred twentieth (120th) calendar day following the filing date thereof if the Commission notifies the Company that it will “review” the Registration Statement and (b) the tenth (10th)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use reasonable best efforts to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Each Shelf shall contain (unless otherwise directed by the majority in interest of the Holders) a “Plan of Distribution” in substantially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2.1.2 Subsequent Shelf Registration</w:t>
      </w:r>
      <w:r>
        <w:rPr>
          <w:rFonts w:ascii="Times New Roman" w:cs="Times New Roman" w:eastAsia="Times New Roman" w:hAnsi="Times New Roman"/>
          <w:sz w:val="18"/>
          <w:szCs w:val="18"/>
          <w:color w:val="auto"/>
        </w:rPr>
        <w:t>. If any Shelf ceases to be effective under the Securities Act for any reason at any time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u w:val="single" w:color="auto"/>
          <w:color w:val="auto"/>
        </w:rPr>
        <w:t>Subsequent Shelf Registration Statement</w:t>
      </w:r>
      <w:r>
        <w:rPr>
          <w:rFonts w:ascii="Times New Roman" w:cs="Times New Roman" w:eastAsia="Times New Roman" w:hAnsi="Times New Roman"/>
          <w:sz w:val="18"/>
          <w:szCs w:val="18"/>
          <w:color w:val="auto"/>
        </w:rPr>
        <w:t>”) registering the resale of all Registrable Securities (determined as of two (2) business days prior to such filing), and pursuant to any method or combination of methods legally available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05" w:name="page206"/>
    <w:bookmarkEnd w:id="20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for the avoidance of doubt, be subject to Section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2.1.3 Additional Registrable Securities</w:t>
      </w:r>
      <w:r>
        <w:rPr>
          <w:rFonts w:ascii="Times New Roman" w:cs="Times New Roman" w:eastAsia="Times New Roman" w:hAnsi="Times New Roman"/>
          <w:sz w:val="18"/>
          <w:szCs w:val="18"/>
          <w:color w:val="auto"/>
        </w:rPr>
        <w:t>. Subject to Section 3.4, in the event that any Holder holds Registrable Securities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registered for resale on a delayed or continuous basis, the Company, upon written request of a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only be required to cause such Registrable Securities to be so covered twice per calendar year for the Holders.</w:t>
      </w:r>
    </w:p>
    <w:p>
      <w:pPr>
        <w:spacing w:after="0" w:line="74"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2.1.4 Requests for Underwritten Shelf Takedowns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file with the Commission, a Holder (being in such case, a “</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may request to sell all or any portion of its Registrable Securities in an Underwritten Offering that is registered pursuant to the Shelf (each, an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$25 million (the “</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net of all underwriting discounts and commissions. All requests for Underwritten Shelf Takedowns shall be made by giving written notice to the Company, which shall specify the approximate number of Registrable Securities proposed to be sold in the Underwritten Shelf Takedown. The majority in interest of the Demanding Holders shall have the right to select the Underwriters for such offering (which shall consist of one or more reputable nationally recognized investment banks), subject to the Company’s prior approval (which shall not be unreasonably withheld, conditioned or delayed). The Holders may not demand more than two (2)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any twelve (12) month period. Notwithstanding anything to the contrary in this Agreement, the Company may effect any Underwritten Offering pursuant to any then effective Registration Statement, including a Form S-3, that is then available for such offering. Notwithstanding anything to the contrary in this Agreement, if a Holder wishes to engage in an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that is a Block Trade, (i) persons other than the Holders shall not be entitled to make a demand for, receive notice of, or elect to participate in, such Block Trade, and (ii) such Holder shall not be required to notify any other person of such Block Trade or permit any other person to participate in such Block Trade.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06" w:name="page207"/>
    <w:bookmarkEnd w:id="206"/>
    <w:p>
      <w:pPr>
        <w:ind w:right="2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 Reduction of Underwritten Offering</w:t>
      </w:r>
      <w:r>
        <w:rPr>
          <w:rFonts w:ascii="Times New Roman" w:cs="Times New Roman" w:eastAsia="Times New Roman" w:hAnsi="Times New Roman"/>
          <w:sz w:val="18"/>
          <w:szCs w:val="18"/>
          <w:color w:val="auto"/>
        </w:rPr>
        <w:t>. If the managing Underwriter or Underwriters in an Underwritten Shelf Takedown,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(pro rata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 To facilitate the allocation of Registrable Securities in accordance with the above provisions, the Company or the Underwriters may round the number of shares allocated to any Holder to the nearest 100 Registrable Securities. The Company shall not be required to include any Registrable Securities in such Underwritten Shelf Takedown unless the Holders accept the terms of the underwriting as agreed upon between the Company and its Underwriters.</w:t>
      </w:r>
    </w:p>
    <w:p>
      <w:pPr>
        <w:spacing w:after="0" w:line="8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2.1.6 Withdrawal</w:t>
      </w:r>
      <w:r>
        <w:rPr>
          <w:rFonts w:ascii="Times New Roman" w:cs="Times New Roman" w:eastAsia="Times New Roman" w:hAnsi="Times New Roman"/>
          <w:sz w:val="18"/>
          <w:szCs w:val="18"/>
          <w:color w:val="auto"/>
        </w:rPr>
        <w:t>. Prior to the filing of the applicable “red herring” prospectus or prospectus supplement used for marketing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Underwritten Shelf Takedown, a majority in interest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Shelf Takedown;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Holder may elect to have the Company continue an Underwritten Shelf Takedown if the Minimum Takedown Threshold would still be satisfied by the Registrable Securities proposed to be sold in the Underwritten Shelf Takedown by the Holders or any of their respective Permitted Transferees, as applicable.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unless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Holder elects to continue an Underwritten Shelf Takedown pursuant to the proviso in the immediately preceding sentence, such Underwritten Shelf Takedown shall instead count as an Underwritten Shelf Takedown demanded by the applicable Holders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other than if a withdrawing Demanding Holder elects to pay such Registration Expenses pursuant to the second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07" w:name="page208"/>
    <w:bookmarkEnd w:id="207"/>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Piggyback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2.2.1 Piggyback Rights</w:t>
      </w:r>
      <w:r>
        <w:rPr>
          <w:rFonts w:ascii="Times New Roman" w:cs="Times New Roman" w:eastAsia="Times New Roman" w:hAnsi="Times New Roman"/>
          <w:sz w:val="18"/>
          <w:szCs w:val="18"/>
          <w:color w:val="auto"/>
        </w:rPr>
        <w:t>. If the Company or any Holder proposes to conduct a registered offering of, or if the Company proposes to file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(iv) for a dividend reinvestment plan, or (v) a Block Trade, then the Company shall give written notice of such proposed offering to all of the Holders of Registrable Securities as soon as practicable but not less than five (5)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 Notwithstanding anything to the contrary in this Agreement, the Holders shall have no rights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if the registration statement the Company proposes to file is solely for purposes of a delayed or continuous offering pursuant to Rule 415 under the Securities Act and, at the time of the filing of such registration statement, the Company is in compliance with its obligations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4" w:right="32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t>2.2.2 Reduction of Piggyback Registration</w:t>
      </w:r>
      <w:r>
        <w:rPr>
          <w:rFonts w:ascii="Times New Roman" w:cs="Times New Roman" w:eastAsia="Times New Roman" w:hAnsi="Times New Roman"/>
          <w:sz w:val="17"/>
          <w:szCs w:val="17"/>
          <w:color w:val="auto"/>
        </w:rPr>
        <w:t>. If the managing Underwriter or Underwriters in an Underwritten Offering that is to be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w:t>
      </w:r>
    </w:p>
    <w:p>
      <w:pPr>
        <w:spacing w:after="0" w:line="1" w:lineRule="exact"/>
        <w:rPr>
          <w:sz w:val="20"/>
          <w:szCs w:val="20"/>
          <w:color w:val="auto"/>
        </w:rPr>
      </w:pPr>
    </w:p>
    <w:p>
      <w:pPr>
        <w:ind w:left="4" w:right="100" w:hanging="4"/>
        <w:spacing w:after="0" w:line="253" w:lineRule="auto"/>
        <w:tabs>
          <w:tab w:leader="none" w:pos="2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spacing w:after="0" w:line="78" w:lineRule="exact"/>
        <w:rPr>
          <w:rFonts w:ascii="Times New Roman" w:cs="Times New Roman" w:eastAsia="Times New Roman" w:hAnsi="Times New Roman"/>
          <w:sz w:val="18"/>
          <w:szCs w:val="18"/>
          <w:color w:val="auto"/>
        </w:rPr>
      </w:pPr>
    </w:p>
    <w:p>
      <w:pPr>
        <w:ind w:left="4" w:right="20" w:firstLine="1428"/>
        <w:spacing w:after="0" w:line="256" w:lineRule="auto"/>
        <w:tabs>
          <w:tab w:leader="none" w:pos="1691"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(as nearly as practicable), based on the respective number of Registrable Securities that each Holder has requested be included in such Underwritten Offering and the aggregate number of Registrable Securities that the Holders have requested to be included in such</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6" w:right="499" w:bottom="1440" w:gutter="0" w:footer="0" w:header="0"/>
        </w:sectPr>
      </w:pPr>
    </w:p>
    <w:bookmarkStart w:id="208" w:name="page209"/>
    <w:bookmarkEnd w:id="208"/>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Underwritten Offering, which can be sold without exceeding the Maximum Number of Securities; and (C) third, to the extent that the Maximum Number of Securities has not been reached under the foregoing clauses (A) and (B),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72" w:lineRule="exact"/>
        <w:rPr>
          <w:sz w:val="20"/>
          <w:szCs w:val="20"/>
          <w:color w:val="auto"/>
        </w:rPr>
      </w:pPr>
    </w:p>
    <w:p>
      <w:pPr>
        <w:ind w:left="4" w:firstLine="1428"/>
        <w:spacing w:after="0" w:line="268" w:lineRule="auto"/>
        <w:tabs>
          <w:tab w:leader="none" w:pos="1701" w:val="left"/>
        </w:tabs>
        <w:numPr>
          <w:ilvl w:val="1"/>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the Registration is pursuant to a demand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pro rata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w:t>
      </w:r>
    </w:p>
    <w:p>
      <w:pPr>
        <w:spacing w:after="0" w:line="2" w:lineRule="exact"/>
        <w:rPr>
          <w:rFonts w:ascii="Times New Roman" w:cs="Times New Roman" w:eastAsia="Times New Roman" w:hAnsi="Times New Roman"/>
          <w:sz w:val="17"/>
          <w:szCs w:val="17"/>
          <w:b w:val="1"/>
          <w:bCs w:val="1"/>
          <w:color w:val="auto"/>
        </w:rPr>
      </w:pPr>
    </w:p>
    <w:p>
      <w:pPr>
        <w:ind w:left="4" w:right="220" w:hanging="4"/>
        <w:spacing w:after="0" w:line="265" w:lineRule="auto"/>
        <w:tabs>
          <w:tab w:leader="none" w:pos="289"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to the extent that the Maximum Number of Securities has not been reached under the foregoing clauses (A) and (B), the shares of Common Stock or other equity securities that the Company desires to sell, which can be sold without exceeding the Maximum Number of Securities; and</w:t>
      </w:r>
    </w:p>
    <w:p>
      <w:pPr>
        <w:jc w:val="both"/>
        <w:ind w:left="4" w:right="240" w:hanging="4"/>
        <w:spacing w:after="0" w:line="253" w:lineRule="auto"/>
        <w:tabs>
          <w:tab w:leader="none" w:pos="29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80"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681"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Registration and Underwritten Shelf Takedown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then the Company shall include in any such Registration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2.2.3 Piggyback Registration Withdrawal</w:t>
      </w:r>
      <w:r>
        <w:rPr>
          <w:rFonts w:ascii="Times New Roman" w:cs="Times New Roman" w:eastAsia="Times New Roman" w:hAnsi="Times New Roman"/>
          <w:sz w:val="18"/>
          <w:szCs w:val="18"/>
          <w:color w:val="auto"/>
        </w:rPr>
        <w:t>. Any Holder of Registrable Securities (other than a Demanding Holder, whose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2.2.4 Unlimited Piggyback Registration Rights</w:t>
      </w:r>
      <w:r>
        <w:rPr>
          <w:rFonts w:ascii="Times New Roman" w:cs="Times New Roman" w:eastAsia="Times New Roman" w:hAnsi="Times New Roman"/>
          <w:sz w:val="18"/>
          <w:szCs w:val="18"/>
          <w:color w:val="auto"/>
        </w:rPr>
        <w:t>. For purposes of clarity,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any Piggyback Registration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2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3.1 General Procedures</w:t>
      </w:r>
      <w:r>
        <w:rPr>
          <w:rFonts w:ascii="Times New Roman" w:cs="Times New Roman" w:eastAsia="Times New Roman" w:hAnsi="Times New Roman"/>
          <w:sz w:val="18"/>
          <w:szCs w:val="18"/>
          <w:color w:val="auto"/>
        </w:rPr>
        <w:t>. In connection with any Shelf and/or Shelf Takedown, the Company shall use its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such Registration to permit the sale of such Registrable Securities in accordance with the intended plan of distribution thereof, and pursuant thereto the Company shall, as soon as reasonably practicable:</w:t>
      </w:r>
    </w:p>
    <w:p>
      <w:pPr>
        <w:spacing w:after="0" w:line="6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color w:val="auto"/>
        </w:rPr>
        <w:t>prepare and file with the Commission as soon as reasonably practicable a Registration Statement with respect to such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use its commercially reasonable efforts to cause such Registration Statement to become effective and remain effective until all Registrable Securities have ceased to be Registrable Securities;</w:t>
      </w:r>
    </w:p>
    <w:p>
      <w:pPr>
        <w:spacing w:after="0" w:line="63"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color w:val="auto"/>
        </w:rPr>
        <w:t>prepare and file with the Commission such amendments and post-effective amendments to the Registration Statement,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 to the Prospectus, as may be reasonably requested by any Holder that holds at least ten percent (10%) of the then outstanding number of shares of Common Stock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74"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color w:val="auto"/>
        </w:rPr>
        <w:t>without limiting the rights of Holders set forth elsewhere in this Agreement, upon at least two (2) business days’ notice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that it intends to distribute Registrable Securities to its distributees, on the effective date of such distribution, file a supplement to the Prospectus to name specifically any such distributee that may be deemed to be an “affiliate” of the Company or that is a beneficial owner of five percent (5%) or more of the then outstanding Common Stock as a selling stockholder (unless any such distributee objects to be so named) in order to permit such distributee to use such Prospectus to resell Registrable Securities;</w:t>
      </w:r>
    </w:p>
    <w:p>
      <w:pPr>
        <w:spacing w:after="0" w:line="71" w:lineRule="exact"/>
        <w:rPr>
          <w:sz w:val="20"/>
          <w:szCs w:val="20"/>
          <w:color w:val="auto"/>
        </w:rPr>
      </w:pPr>
    </w:p>
    <w:p>
      <w:pPr>
        <w:ind w:right="1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color w:val="auto"/>
        </w:rPr>
        <w:t>prior to filing a Registration Statement or Prospectus, or any amendment or supplement thereto, furnish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74"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color w:val="auto"/>
        </w:rPr>
        <w:t>prior to any public offering of Registrable Securities, use its commercially reasonable efforts to (i) register or qualify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10" w:name="page211"/>
    <w:bookmarkEnd w:id="210"/>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qualify or take any action to which it would be subject to general service of process or taxation in any such jurisdiction where it is not then otherwise so subject;</w:t>
      </w:r>
    </w:p>
    <w:p>
      <w:pPr>
        <w:spacing w:after="0" w:line="68" w:lineRule="exact"/>
        <w:rPr>
          <w:sz w:val="20"/>
          <w:szCs w:val="20"/>
          <w:color w:val="auto"/>
        </w:rPr>
      </w:pPr>
    </w:p>
    <w:p>
      <w:pPr>
        <w:ind w:right="5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3.1.6 </w:t>
      </w:r>
      <w:r>
        <w:rPr>
          <w:rFonts w:ascii="Times New Roman" w:cs="Times New Roman" w:eastAsia="Times New Roman" w:hAnsi="Times New Roman"/>
          <w:sz w:val="18"/>
          <w:szCs w:val="18"/>
          <w:color w:val="auto"/>
        </w:rPr>
        <w:t>cause all such Registrable Securities to be listed on each national securities exchange on which similar securities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then listed;</w:t>
      </w:r>
    </w:p>
    <w:p>
      <w:pPr>
        <w:spacing w:after="0" w:line="47"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3.1.7 </w:t>
      </w:r>
      <w:r>
        <w:rPr>
          <w:rFonts w:ascii="Times New Roman" w:cs="Times New Roman" w:eastAsia="Times New Roman" w:hAnsi="Times New Roman"/>
          <w:sz w:val="18"/>
          <w:szCs w:val="18"/>
          <w:color w:val="auto"/>
        </w:rPr>
        <w:t>provide a transfer agent or warrant agent, as applicable, and registrar for all such Registrable Securities no later than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such Registration Statement;</w:t>
      </w:r>
    </w:p>
    <w:p>
      <w:pPr>
        <w:spacing w:after="0" w:line="47"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3.1.8 </w:t>
      </w:r>
      <w:r>
        <w:rPr>
          <w:rFonts w:ascii="Times New Roman" w:cs="Times New Roman" w:eastAsia="Times New Roman" w:hAnsi="Times New Roman"/>
          <w:sz w:val="18"/>
          <w:szCs w:val="18"/>
          <w:color w:val="auto"/>
        </w:rPr>
        <w:t>advise each seller of such Registrable Securities, promptly after it shall receive notice or obtain knowledge thereof, of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68"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3.1.9 </w:t>
      </w:r>
      <w:r>
        <w:rPr>
          <w:rFonts w:ascii="Times New Roman" w:cs="Times New Roman" w:eastAsia="Times New Roman" w:hAnsi="Times New Roman"/>
          <w:sz w:val="18"/>
          <w:szCs w:val="18"/>
          <w:color w:val="auto"/>
        </w:rPr>
        <w:t>prior to the filing of any Registration Statement or Prospectus or any amendment or supplement to such Registration Statement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furnish a copy thereof to each seller of such Registrable Securities or its counsel (excluding any exhibits thereto and any filing made under the Exchange Act that is to be incorporated by reference therein);</w:t>
      </w:r>
    </w:p>
    <w:p>
      <w:pPr>
        <w:spacing w:after="0" w:line="63"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3.1.10 </w:t>
      </w:r>
      <w:r>
        <w:rPr>
          <w:rFonts w:ascii="Times New Roman" w:cs="Times New Roman" w:eastAsia="Times New Roman" w:hAnsi="Times New Roman"/>
          <w:sz w:val="18"/>
          <w:szCs w:val="18"/>
          <w:color w:val="auto"/>
        </w:rPr>
        <w:t>notify the Holders at any time when a Prospectus relating to such Registration Statement is required to be delivered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3.1.11 </w:t>
      </w:r>
      <w:r>
        <w:rPr>
          <w:rFonts w:ascii="Times New Roman" w:cs="Times New Roman" w:eastAsia="Times New Roman" w:hAnsi="Times New Roman"/>
          <w:sz w:val="18"/>
          <w:szCs w:val="18"/>
          <w:color w:val="auto"/>
        </w:rPr>
        <w:t>in the event of an Underwritten Offering or sale by a broker, placement agent or sales agent pursuant to such Registration, permit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of the Holders, the Underwriters or other financial institutions facilitating such Underwritten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75"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3.1.12 </w:t>
      </w:r>
      <w:r>
        <w:rPr>
          <w:rFonts w:ascii="Times New Roman" w:cs="Times New Roman" w:eastAsia="Times New Roman" w:hAnsi="Times New Roman"/>
          <w:sz w:val="18"/>
          <w:szCs w:val="18"/>
          <w:color w:val="auto"/>
        </w:rPr>
        <w:t>use commercially reasonable efforts to obtain a “comfort” letter (including a bring- down letter dated as of the date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delivered for sale pursuant to such Registration) from the Company’s independent registered public accountants in the event of an Underwritten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as the managing Underwriter may reasonably request, and reasonably satisfactory to a majority in interest of the participating 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1" w:name="page212"/>
    <w:bookmarkEnd w:id="211"/>
    <w:p>
      <w:pPr>
        <w:ind w:left="4" w:right="2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3.1.13 </w:t>
      </w:r>
      <w:r>
        <w:rPr>
          <w:rFonts w:ascii="Times New Roman" w:cs="Times New Roman" w:eastAsia="Times New Roman" w:hAnsi="Times New Roman"/>
          <w:sz w:val="18"/>
          <w:szCs w:val="18"/>
          <w:color w:val="auto"/>
        </w:rPr>
        <w:t>in the event of an Underwritten Offering or sale by a broker, placement agent or sales agent pursuant to such Registration,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Registrable Securities are delivered for sale pursuant to such Registration,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provided such participating Holders provide such information to such counsel as is customarily required for purpose of such opinions;</w:t>
      </w:r>
    </w:p>
    <w:p>
      <w:pPr>
        <w:spacing w:after="0" w:line="74" w:lineRule="exact"/>
        <w:rPr>
          <w:sz w:val="20"/>
          <w:szCs w:val="20"/>
          <w:color w:val="auto"/>
        </w:rPr>
      </w:pPr>
    </w:p>
    <w:p>
      <w:pPr>
        <w:ind w:left="4"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3.1.14 </w:t>
      </w:r>
      <w:r>
        <w:rPr>
          <w:rFonts w:ascii="Times New Roman" w:cs="Times New Roman" w:eastAsia="Times New Roman" w:hAnsi="Times New Roman"/>
          <w:sz w:val="18"/>
          <w:szCs w:val="18"/>
          <w:color w:val="auto"/>
        </w:rPr>
        <w:t>in the event of any Underwritten Offering or sale by a broker, placement agent or sales agent pursuant to such Registration,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and perform its obligations under an underwriting or other purchase or sales agreement, in usual and customary form, with the managing Underwriter or the broker, placement agent or sales agent of such offering or sale;</w:t>
      </w:r>
    </w:p>
    <w:p>
      <w:pPr>
        <w:spacing w:after="0" w:line="6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3.1.15 </w:t>
      </w:r>
      <w:r>
        <w:rPr>
          <w:rFonts w:ascii="Times New Roman" w:cs="Times New Roman" w:eastAsia="Times New Roman" w:hAnsi="Times New Roman"/>
          <w:sz w:val="18"/>
          <w:szCs w:val="18"/>
          <w:color w:val="auto"/>
        </w:rPr>
        <w:t>make available to its security holders, as soon as reasonably practicable, an earnings statement covering the period of at least twelve</w:t>
      </w:r>
    </w:p>
    <w:p>
      <w:pPr>
        <w:spacing w:after="0" w:line="31" w:lineRule="exact"/>
        <w:rPr>
          <w:sz w:val="20"/>
          <w:szCs w:val="20"/>
          <w:color w:val="auto"/>
        </w:rPr>
      </w:pPr>
    </w:p>
    <w:p>
      <w:pPr>
        <w:ind w:left="4" w:right="20" w:hanging="4"/>
        <w:spacing w:after="0" w:line="260" w:lineRule="auto"/>
        <w:tabs>
          <w:tab w:leader="none" w:pos="34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69" w:lineRule="exact"/>
        <w:rPr>
          <w:sz w:val="20"/>
          <w:szCs w:val="20"/>
          <w:color w:val="auto"/>
        </w:rPr>
      </w:pPr>
    </w:p>
    <w:p>
      <w:pPr>
        <w:ind w:left="4" w:right="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3.1.16 </w:t>
      </w:r>
      <w:r>
        <w:rPr>
          <w:rFonts w:ascii="Times New Roman" w:cs="Times New Roman" w:eastAsia="Times New Roman" w:hAnsi="Times New Roman"/>
          <w:sz w:val="17"/>
          <w:szCs w:val="17"/>
          <w:color w:val="auto"/>
        </w:rPr>
        <w:t>if the Registration involves the Registration of Registrable Securities involving gross proceeds in excess of $35 million with respect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an Underwritten Offering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45" w:lineRule="exact"/>
        <w:rPr>
          <w:sz w:val="20"/>
          <w:szCs w:val="20"/>
          <w:color w:val="auto"/>
        </w:rPr>
      </w:pPr>
    </w:p>
    <w:p>
      <w:pPr>
        <w:ind w:left="4" w:right="6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3.1.17 </w:t>
      </w:r>
      <w:r>
        <w:rPr>
          <w:rFonts w:ascii="Times New Roman" w:cs="Times New Roman" w:eastAsia="Times New Roman" w:hAnsi="Times New Roman"/>
          <w:sz w:val="18"/>
          <w:szCs w:val="18"/>
          <w:color w:val="auto"/>
        </w:rPr>
        <w:t>otherwise, in good faith, cooperate reasonably with, and take such customary actions as may reasonably be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Holders, consistent with the terms of this Agreement, in connection with such Registration.</w:t>
      </w:r>
    </w:p>
    <w:p>
      <w:pPr>
        <w:spacing w:after="0" w:line="159"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spacing w:after="0" w:line="64"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3.2 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selling Registrable Securities in any offering shall bear the following incremental selling expenses relating to the sale of such Registrable Securities: Underwriters’ commissions and discounts and brokerage fees. Additionally, in an Underwritten Offering, any selling stockholders and the Company shall bear the Underwriter marketing costs and, other than as set forth in the definition of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reasonable and documented fees and expenses of any legal counsel representing the Holders, pro rata in proportion to the respective amount of shares each is selling in such Underwritten Offering.</w:t>
      </w:r>
    </w:p>
    <w:p>
      <w:pPr>
        <w:spacing w:after="0" w:line="74"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3.3 Requirements for Participation in Registration Statements and Offerings</w:t>
      </w:r>
      <w:r>
        <w:rPr>
          <w:rFonts w:ascii="Times New Roman" w:cs="Times New Roman" w:eastAsia="Times New Roman" w:hAnsi="Times New Roman"/>
          <w:sz w:val="18"/>
          <w:szCs w:val="18"/>
          <w:color w:val="auto"/>
        </w:rPr>
        <w:t>. The Holders of Registrable Securities shall provide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provide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12" w:name="page213"/>
    <w:bookmarkEnd w:id="212"/>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shall not affect the registration of the other Registrable Securities to be included in such Registration.</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3.4 Suspension of Sales; Adverse Disclosure; Restrictions on Registration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3.4.1 </w:t>
      </w:r>
      <w:r>
        <w:rPr>
          <w:rFonts w:ascii="Times New Roman" w:cs="Times New Roman" w:eastAsia="Times New Roman" w:hAnsi="Times New Roman"/>
          <w:sz w:val="18"/>
          <w:szCs w:val="18"/>
          <w:color w:val="auto"/>
        </w:rPr>
        <w:t>Upon receipt of written notice from the Company that a Registration Statement or Prospectus contains a Misstatement,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6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3.4.2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if the filing, initial effectiveness or continued use of a Registration Statement in respect of any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74"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3.4.3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(a) during the period starting with the date sixty (60) days prior to the Company’s good faith estimate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of the filing of, and ending on a date one hundred and eighty (180) days after the effective date of, a Company-initiated Registration, and provided that the Company continues to actively employ, in good faith, all reasonable efforts to maintain the effectiveness of the applicable Shelf Registration Statement, or (b) if,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3.4.4 </w:t>
      </w:r>
      <w:r>
        <w:rPr>
          <w:rFonts w:ascii="Times New Roman" w:cs="Times New Roman" w:eastAsia="Times New Roman" w:hAnsi="Times New Roman"/>
          <w:sz w:val="18"/>
          <w:szCs w:val="18"/>
          <w:color w:val="auto"/>
        </w:rPr>
        <w:t>The right to delay or suspend any filing, initial effectiveness or continued use of a Registration Statement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registered offering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shall be exercised by the Company, in the aggregate, for not more than sixty (60) consecutive calendar days or more than ninety (90) total calendar days in each case, during any twelve (12)-month period.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13" w:name="page214"/>
    <w:bookmarkEnd w:id="213"/>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 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upon written request with true and complete copies of all such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the Electronic Data Gathering, Analysis and Retrieval System shall be deemed to have been furnished or delivered to the Holders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further covenants that it shall use commercially reasonable efforts to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4.1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color w:val="auto"/>
        </w:rPr>
        <w:t>The Company agrees to indemnify, to the extent permitted by law, each Holder of Registrable Securities, its officers,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each person or entity who controls such Holder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filed pursuant to this Agreement or any omission or alleged omission of a material fact required to be stated therein or necessary to make the statements therein, in the case of a Prospectus or preliminary Prospectus in the light of the circumstances under which they were made, not misleading, except insofar as the same are caused by or contained in any information or affidavit so furnished in writing to the Company by such Holder expressly for use therein.</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color w:val="auto"/>
        </w:rPr>
        <w:t>In the case of a sale of Registrable Securities through a broker, placement agent or other sales agent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upon request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Agent, the Company will enter into an indemnity agreement with such Agent (in form and substance reasonably acceptable to such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the Company will agree to indemnify, to the extent permitted by law, such Agent against all losses, claims, damages, liabilities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and documented out-of-pocket expenses (including, without limitation, reasonable and documented outside attorneys’ fees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$15,000 without the Company’s consent) resulting from any untrue or alleged untrue statement of material fact contained in or incorporated by reference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Registration Statement, Prospectus or preliminary Prospectus or any amendment thereof or supplement thereto filed pursuant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omission or alleged omission of a material fact required to be stated therein or necessary to make the statements therein, in the case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preliminary Prospectus in the light of the circumstances under which they were made, not misleading, except insofar as the same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caused by or contained in any information furnished in writing to the Company by such Agent expressly for use therein.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14" w:name="page215"/>
    <w:bookmarkEnd w:id="214"/>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4.1.3 </w:t>
      </w:r>
      <w:r>
        <w:rPr>
          <w:rFonts w:ascii="Times New Roman" w:cs="Times New Roman" w:eastAsia="Times New Roman" w:hAnsi="Times New Roman"/>
          <w:sz w:val="18"/>
          <w:szCs w:val="18"/>
          <w:color w:val="auto"/>
        </w:rPr>
        <w:t>In connection with any Registration Statement filed pursuant to this Agreement in which a Holder of Registrable Securities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officers and agents and each person or entity who controls the Company (within the meaning of the Securities Act) against all losses, claims, damages, liabilities and reasonable and documented out-of-pocket expenses (including, without limitation, reasonable and documented outside attorneys’ fees not to exceed $15,000 without the Holder’s consent)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or preliminary Prospectus in the light of the circumstances under which they were made, not misleading, but only to the extent that such untrue or alleged untrue statement is contained in (or not contained in, in the case of an omission or alleged omission) any information or affidavit so furnished in writing by or on behalf of such Holder expressly for use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7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color w:val="auto"/>
        </w:rPr>
        <w:t>Any person or entity entitled to indemnification herein shall (i) give prompt written notice to the indemnifying party of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77"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color w:val="auto"/>
        </w:rPr>
        <w:t>The indemnification provided for under this Agreement shall remain in full force and effect regardless of any investigation made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71"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4.1.6 </w:t>
      </w:r>
      <w:r>
        <w:rPr>
          <w:rFonts w:ascii="Times New Roman" w:cs="Times New Roman" w:eastAsia="Times New Roman" w:hAnsi="Times New Roman"/>
          <w:sz w:val="18"/>
          <w:szCs w:val="18"/>
          <w:color w:val="auto"/>
        </w:rPr>
        <w:t>If the indemnification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indemnifying party is unavailable or insufficient to hold harmless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215" w:name="page216"/>
    <w:bookmarkEnd w:id="2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5.1 Notices</w:t>
      </w:r>
      <w:r>
        <w:rPr>
          <w:rFonts w:ascii="Times New Roman" w:cs="Times New Roman" w:eastAsia="Times New Roman" w:hAnsi="Times New Roman"/>
          <w:sz w:val="18"/>
          <w:szCs w:val="18"/>
          <w:color w:val="auto"/>
        </w:rPr>
        <w:t>. Any notice or communication under this Agreement shall be in writing and shall be deemed to have been duly given (i)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Any notice or communication under this Agreement must be addressed, if to the Company or Legacy Blaize, to: Blaize Holdings, Inc., 4659 Golden Foothill Parkway, Suite 206, El Dorado Hills, CA 95762, Attention: Dinakar Munagala Email: Dinakar.Munagala@blaize.com, and, if to any Holder, at such Holder’s address, electronic mail address or facsimile number as set forth in the Company’s books and records. Any party may change its address for notice at any time and from time to time by written notice to the other parties hereto.</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 Assignment; No Third-Party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5.2.1 </w:t>
      </w:r>
      <w:r>
        <w:rPr>
          <w:rFonts w:ascii="Times New Roman" w:cs="Times New Roman" w:eastAsia="Times New Roman" w:hAnsi="Times New Roman"/>
          <w:sz w:val="18"/>
          <w:szCs w:val="18"/>
          <w:color w:val="auto"/>
        </w:rPr>
        <w:t>This Agreement and the rights, duties and obligations of the Company hereunder may not be assigned or delegated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whole or in part without the prior written consent of the other parties hereto.</w:t>
      </w:r>
    </w:p>
    <w:p>
      <w:pPr>
        <w:spacing w:after="0" w:line="47" w:lineRule="exact"/>
        <w:rPr>
          <w:sz w:val="20"/>
          <w:szCs w:val="20"/>
          <w:color w:val="auto"/>
        </w:rPr>
      </w:pPr>
    </w:p>
    <w:p>
      <w:pPr>
        <w:ind w:right="2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5.2.2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this Agreement and the rights, duties and obligations of a Holder hereunder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assigned in whole or in part to such Holder’s Permitted Transferees;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hereunder that are personal to such Holders may not be assigned or delegated in whole or in part, except that each of the Holders shall be permitted to transfer its rights hereunder as a Holder to one or more affiliates or any direct or indirect partners, members, investors or equity holders of such Holder (it being understood that no such transfer shall reduce any rights of such Holder or such transferees).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16" w:name="page217"/>
    <w:bookmarkEnd w:id="216"/>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5.2.3 </w:t>
      </w:r>
      <w:r>
        <w:rPr>
          <w:rFonts w:ascii="Times New Roman" w:cs="Times New Roman" w:eastAsia="Times New Roman" w:hAnsi="Times New Roman"/>
          <w:sz w:val="18"/>
          <w:szCs w:val="18"/>
          <w:color w:val="auto"/>
        </w:rPr>
        <w:t>This Agreement and the provisions hereof shall be binding upon and shall inure to the benefit of each of the parties and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permitted assigns of the Holders, which shall include Permitted Transferees.</w:t>
      </w:r>
    </w:p>
    <w:p>
      <w:pPr>
        <w:spacing w:after="0" w:line="47"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5.2.4 </w:t>
      </w:r>
      <w:r>
        <w:rPr>
          <w:rFonts w:ascii="Times New Roman" w:cs="Times New Roman" w:eastAsia="Times New Roman" w:hAnsi="Times New Roman"/>
          <w:sz w:val="18"/>
          <w:szCs w:val="18"/>
          <w:color w:val="auto"/>
        </w:rPr>
        <w:t>This Agreement shall not confer any rights or benefits on any persons or entities that are not parties hereto, other than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3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5.2.5 </w:t>
      </w:r>
      <w:r>
        <w:rPr>
          <w:rFonts w:ascii="Times New Roman" w:cs="Times New Roman" w:eastAsia="Times New Roman" w:hAnsi="Times New Roman"/>
          <w:sz w:val="18"/>
          <w:szCs w:val="18"/>
          <w:color w:val="auto"/>
        </w:rPr>
        <w:t>No assignment by any party hereto of such party’s rights, duties and obligations hereunder shall be binding upon or obligate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unless it is permitted under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5.3 Counterparts</w:t>
      </w:r>
      <w:r>
        <w:rPr>
          <w:rFonts w:ascii="Times New Roman" w:cs="Times New Roman" w:eastAsia="Times New Roman" w:hAnsi="Times New Roman"/>
          <w:sz w:val="18"/>
          <w:szCs w:val="18"/>
          <w:color w:val="auto"/>
        </w:rPr>
        <w:t>. This Agreement may be executed (including by electronic signature)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shall constitute one and the same instrument.</w:t>
      </w:r>
    </w:p>
    <w:p>
      <w:pPr>
        <w:spacing w:after="0" w:line="47"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5.4 Governing Law; Venue</w:t>
      </w:r>
      <w:r>
        <w:rPr>
          <w:rFonts w:ascii="Times New Roman" w:cs="Times New Roman" w:eastAsia="Times New Roman" w:hAnsi="Times New Roman"/>
          <w:sz w:val="18"/>
          <w:szCs w:val="18"/>
          <w:color w:val="auto"/>
        </w:rPr>
        <w:t>. This Agreement, and all claims or causes of action based upon, arising out of, or related to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herein,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6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5.5 TRIAL BY JURY. EACH PARTY HERETO ACKNOWLEDGES AND AGREES THAT ANY CONTROVERSY WHICH MAY ARISE UNDER THIS AGREEMENT AND THE TRANSACTIONS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spacing w:after="0" w:line="7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5.6 Amendments and Modifications</w:t>
      </w:r>
      <w:r>
        <w:rPr>
          <w:rFonts w:ascii="Times New Roman" w:cs="Times New Roman" w:eastAsia="Times New Roman" w:hAnsi="Times New Roman"/>
          <w:sz w:val="18"/>
          <w:szCs w:val="18"/>
          <w:color w:val="auto"/>
        </w:rPr>
        <w:t>. Upon the written consent of (a) the Company and (b) the Holders of a majority of the total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the foregoing, any amendment hereto or waiver hereof shall also require the written consent of each Holder so long as such Holder and its affiliates hold, in the aggregate, at least ten percent (10%) of the outstanding shares of Common Stock of the Company;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17" w:name="page218"/>
    <w:bookmarkEnd w:id="217"/>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 Other Registration Rights</w:t>
      </w:r>
      <w:r>
        <w:rPr>
          <w:rFonts w:ascii="Times New Roman" w:cs="Times New Roman" w:eastAsia="Times New Roman" w:hAnsi="Times New Roman"/>
          <w:sz w:val="18"/>
          <w:szCs w:val="18"/>
          <w:color w:val="auto"/>
        </w:rPr>
        <w:t>. Other than as provided in (i) the Warrant Agreement, dated as of December 10, 2021, between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Continental Stock Transfer &amp; Trust Company and (ii) that certain Amended and Restated Registration Rights Agreement, dated as of the date hereof, by and among the Company and the other persons party thereto, 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7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5.8 Term</w:t>
      </w:r>
      <w:r>
        <w:rPr>
          <w:rFonts w:ascii="Times New Roman" w:cs="Times New Roman" w:eastAsia="Times New Roman" w:hAnsi="Times New Roman"/>
          <w:sz w:val="18"/>
          <w:szCs w:val="18"/>
          <w:color w:val="auto"/>
        </w:rPr>
        <w:t>. This Agreement shall terminate on the date that such Holder no longer holds any Registrable Securities.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47"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5.9 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such Holder in order for the Company to make determinations hereunder.</w:t>
      </w:r>
    </w:p>
    <w:p>
      <w:pPr>
        <w:spacing w:after="0" w:line="4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5.10 Standstill</w:t>
      </w:r>
      <w:r>
        <w:rPr>
          <w:rFonts w:ascii="Times New Roman" w:cs="Times New Roman" w:eastAsia="Times New Roman" w:hAnsi="Times New Roman"/>
          <w:sz w:val="18"/>
          <w:szCs w:val="18"/>
          <w:color w:val="auto"/>
        </w:rPr>
        <w:t>. Each Holder agrees that, at any time that such Holder beneficially owns (as such term is used in Section 13(d)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 more than 5.00% of the total number of outstanding shares of Common Stock, it shall not, nor will it cause any of its affiliates to, (a) take any action to acquire additional shares of Common Stock (other than, for the avoidance of doubt, any shares issuable as a result of obligations in effect as of the date hereof, and any stock splits, stock dividends, reorganizations, recapitalizations and the like) that would result in any increase of the fraction obtained by dividing (A) the number of shares of Common Stock beneficially owned by such Holder, and (B) the total number of outstanding shares of Common Stock, in each case as of the date hereof; (b) act, alone or jointly or in concert with others, to seek to control the Company, including, without limitation, by having or seeking one or more representatives serve on the board of directors or become an executive officer of the Company; (c) sell, transfer or otherwise dispose of any of its shares of Common Stock to any person that, to such Holder’s knowledge, alone or jointly or in concert with others, would become, as a result of such sale, transfer or disposition, the beneficial owner (as such term is used in Section 13(d) of the Exchange Act) of more than 10% of the shares of Common Stock or has publicly stated an intent to exercise control over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w:t>
      </w:r>
    </w:p>
    <w:p>
      <w:pPr>
        <w:ind w:left="4" w:hanging="4"/>
        <w:spacing w:after="0" w:line="251" w:lineRule="auto"/>
        <w:tabs>
          <w:tab w:leader="none" w:pos="24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 any sale, transfer or disposition, in a transaction or series of transactions, through an underwriter, broker or dealer where such Holder does not know the identity of the purchaser of the shares or (B) for the avoidance of doubt, any sale, transfer or disposition effected on any securities exchange so long as neither such Holder nor any underwriter, broker or dealer involved in such transaction solicited or arranged for the solicitation of orders to buy such shares in anticipation of or in connection with such sale; or (d) exercise any voting rights it has, together with its affiliates, with respect to any shares of Common Stock in excess of 9.90% of the total number of outstanding shares of Common Stock entitled to vote as of the relevant record date for such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this clause (d) shall not apply with respect to any proposal for which such failure to vote would have the effect of a vote against such proposal, and (B) for the avoidance of doubt, such Holder shall maintain its voting rights with respect to any shares of Common Stock not exceeding, together with its affiliates, 9.90% of the total number of outstanding shares of Common Stock entitled to vote as of the relevant record date for such vote.</w:t>
      </w:r>
    </w:p>
    <w:p>
      <w:pPr>
        <w:spacing w:after="0" w:line="8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5.11 Additional Holders; Joinder</w:t>
      </w:r>
      <w:r>
        <w:rPr>
          <w:rFonts w:ascii="Times New Roman" w:cs="Times New Roman" w:eastAsia="Times New Roman" w:hAnsi="Times New Roman"/>
          <w:sz w:val="18"/>
          <w:szCs w:val="18"/>
          <w:color w:val="auto"/>
        </w:rPr>
        <w:t>. In addition to persons or entities who may become Holders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subject to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each Holder that holds, in the aggregate together with its affiliates, at least five percent (5%) of the outstanding shares of Common Stock of the Company, the Company may make any person or entity who has or acquires Common Stock or rights to acquire Common Stock after the date hereof a party to this Agreement (each such person or entity, an “</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Times New Roman" w:cs="Times New Roman" w:eastAsia="Times New Roman" w:hAnsi="Times New Roman"/>
          <w:sz w:val="18"/>
          <w:szCs w:val="18"/>
          <w:u w:val="single" w:color="auto"/>
          <w:color w:val="auto"/>
        </w:rPr>
        <w:t>Additional Holder Common Stock</w:t>
      </w:r>
      <w:r>
        <w:rPr>
          <w:rFonts w:ascii="Times New Roman" w:cs="Times New Roman" w:eastAsia="Times New Roman" w:hAnsi="Times New Roman"/>
          <w:sz w:val="18"/>
          <w:szCs w:val="18"/>
          <w:color w:val="auto"/>
        </w:rPr>
        <w:t>”) shall be Registrable Securities to the extent provided herein and therein and such Additional Holder shall be a Holder under this Agreement with respect to such Additional Holder Common Stock.</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218" w:name="page219"/>
    <w:bookmarkEnd w:id="218"/>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5.12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74"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5.13 Entire Agreement; Restatement</w:t>
      </w:r>
      <w:r>
        <w:rPr>
          <w:rFonts w:ascii="Times New Roman" w:cs="Times New Roman" w:eastAsia="Times New Roman" w:hAnsi="Times New Roman"/>
          <w:sz w:val="18"/>
          <w:szCs w:val="18"/>
          <w:color w:val="auto"/>
        </w:rPr>
        <w:t>. This Agreement constitutes the full and entire agreement and understanding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all prior agreements and understandings relating to such subject matter.</w:t>
      </w:r>
    </w:p>
    <w:p>
      <w:pPr>
        <w:spacing w:after="0" w:line="47"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5.14 Most Favored Nations. </w:t>
      </w:r>
      <w:r>
        <w:rPr>
          <w:rFonts w:ascii="Times New Roman" w:cs="Times New Roman" w:eastAsia="Times New Roman" w:hAnsi="Times New Roman"/>
          <w:sz w:val="18"/>
          <w:szCs w:val="18"/>
          <w:color w:val="auto"/>
        </w:rPr>
        <w:t>To the extent that the Company or Legacy Blaize, on or after the date hereof, grants any such superior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rights or terms relating to the subject matter of this Agreement to any person than those provided to the Holders as set forth herein, any such superior or more favorable rights or terms shall also be deemed to have been granted simultaneously to each Holder on the date of such grant and the Company and Legacy Blaize shall amend this Agreement to reflect such superior or more favorable rights.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66"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BLAIZE HOLDINGS, INC.</w:t>
      </w:r>
      <w:r>
        <w:rPr>
          <w:rFonts w:ascii="Times New Roman" w:cs="Times New Roman" w:eastAsia="Times New Roman" w:hAnsi="Times New Roman"/>
          <w:sz w:val="17"/>
          <w:szCs w:val="17"/>
          <w:color w:val="auto"/>
        </w:rPr>
        <w:t>, a Delaware corporation</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100"/>
          </w:cols>
          <w:pgMar w:left="880" w:top="270" w:right="919" w:bottom="1440" w:gutter="0" w:footer="0" w:header="0"/>
        </w:sectPr>
      </w:pPr>
    </w:p>
    <w:bookmarkStart w:id="220" w:name="page221"/>
    <w:bookmarkEnd w:id="2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AVA INVESTORS S.A.</w:t>
      </w:r>
      <w:r>
        <w:rPr>
          <w:rFonts w:ascii="Times New Roman" w:cs="Times New Roman" w:eastAsia="Times New Roman" w:hAnsi="Times New Roman"/>
          <w:sz w:val="17"/>
          <w:szCs w:val="17"/>
          <w:color w:val="auto"/>
        </w:rPr>
        <w: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incorporated</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under the laws of Switzerland</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Barthélémy Debray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Barthélémy Debray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Raphaëlle Mahieu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Raphaëlle Mahieu</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AVA PRIVATE MARKETS S.À R.L.,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acting in respect of its Compartment Blaize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Barthélémy Debray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Barthélémy Debray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 Class A</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Damien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Damien Nussbaum</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 Class B</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BARTHÉLÉMY DEBRAY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Barthélémy Debray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Barthélémy Debray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RAPHAËLLE MAHIEU</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Raphaëlle Mahieu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Raphaëlle Mahieu</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BENJAMIN HAZAN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Benjamin Hazan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Benjamin Hazan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6" w:lineRule="exact"/>
        <w:rPr>
          <w:sz w:val="20"/>
          <w:szCs w:val="20"/>
          <w:color w:val="auto"/>
        </w:rPr>
      </w:pPr>
    </w:p>
    <w:p>
      <w:pPr>
        <w:jc w:val="both"/>
        <w:ind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Ava Private Markets S.a r.l. is a private limited liability company </w:t>
      </w:r>
      <w:r>
        <w:rPr>
          <w:rFonts w:ascii="Times New Roman" w:cs="Times New Roman" w:eastAsia="Times New Roman" w:hAnsi="Times New Roman"/>
          <w:sz w:val="18"/>
          <w:szCs w:val="18"/>
          <w:i w:val="1"/>
          <w:iCs w:val="1"/>
          <w:color w:val="auto"/>
        </w:rPr>
        <w:t>(société a responsabilite limitee)</w:t>
      </w:r>
      <w:r>
        <w:rPr>
          <w:rFonts w:ascii="Times New Roman" w:cs="Times New Roman" w:eastAsia="Times New Roman" w:hAnsi="Times New Roman"/>
          <w:sz w:val="18"/>
          <w:szCs w:val="18"/>
          <w:color w:val="auto"/>
        </w:rPr>
        <w:t xml:space="preserve"> incorporated under the laws of the Grand Duchy of Luxembourg, with its registered office at 6, Rue Dicks, L-1417 Luxembourg, and registered with the Luxembourg Trade and Companies Register </w:t>
      </w:r>
      <w:r>
        <w:rPr>
          <w:rFonts w:ascii="Times New Roman" w:cs="Times New Roman" w:eastAsia="Times New Roman" w:hAnsi="Times New Roman"/>
          <w:sz w:val="18"/>
          <w:szCs w:val="18"/>
          <w:i w:val="1"/>
          <w:iCs w:val="1"/>
          <w:color w:val="auto"/>
        </w:rPr>
        <w:t>(Registre de Commerce et des Societes, Luxembourg)</w:t>
      </w:r>
      <w:r>
        <w:rPr>
          <w:rFonts w:ascii="Times New Roman" w:cs="Times New Roman" w:eastAsia="Times New Roman" w:hAnsi="Times New Roman"/>
          <w:sz w:val="18"/>
          <w:szCs w:val="18"/>
          <w:color w:val="auto"/>
        </w:rPr>
        <w:t xml:space="preserve"> under number 8283362.</w:t>
      </w:r>
    </w:p>
    <w:p>
      <w:pPr>
        <w:spacing w:after="0" w:line="1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760"/>
          </w:cols>
          <w:pgMar w:left="440" w:top="270" w:right="69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 JOINDER</w:t>
      </w:r>
    </w:p>
    <w:p>
      <w:pPr>
        <w:spacing w:after="0" w:line="229"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The undersigned is executing and delivering 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pursuant to the Registration Rights Agreement, dated as of January 13, 2025 (as the same may hereafter be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persons or entities named as parties therein. Capitalized terms used but not otherwise defined herein shall have the meanings provided in the Registration Rights Agreement.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undersigned and its permitted assigns (if any) shall not have any rights as Holders, and the undersigned’s (and its transferees’) shares of Common Stock shall not be included as Registrable Securities, for purposes of the Excluded Sections.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Joinder, “</w:t>
      </w:r>
      <w:r>
        <w:rPr>
          <w:rFonts w:ascii="Times New Roman" w:cs="Times New Roman" w:eastAsia="Times New Roman" w:hAnsi="Times New Roman"/>
          <w:sz w:val="18"/>
          <w:szCs w:val="18"/>
          <w:u w:val="single" w:color="auto"/>
          <w:color w:val="auto"/>
        </w:rPr>
        <w:t>Excluded Sections</w:t>
      </w:r>
      <w:r>
        <w:rPr>
          <w:rFonts w:ascii="Times New Roman" w:cs="Times New Roman" w:eastAsia="Times New Roman" w:hAnsi="Times New Roman"/>
          <w:sz w:val="18"/>
          <w:szCs w:val="18"/>
          <w:color w:val="auto"/>
        </w:rPr>
        <w:t>” shall mean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-7620</wp:posOffset>
            </wp:positionV>
            <wp:extent cx="3429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6340" w:val="left"/>
        </w:tabs>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w:t>
      </w:r>
      <w:r>
        <w:rPr>
          <w:sz w:val="20"/>
          <w:szCs w:val="20"/>
          <w:color w:val="auto"/>
        </w:rPr>
        <w:tab/>
      </w:r>
      <w:r>
        <w:rPr>
          <w:rFonts w:ascii="Times New Roman" w:cs="Times New Roman" w:eastAsia="Times New Roman" w:hAnsi="Times New Roman"/>
          <w:sz w:val="17"/>
          <w:szCs w:val="17"/>
          <w:color w:val="auto"/>
        </w:rPr>
        <w:t>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-7620</wp:posOffset>
            </wp:positionV>
            <wp:extent cx="1143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-7620</wp:posOffset>
            </wp:positionV>
            <wp:extent cx="8566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171450</wp:posOffset>
            </wp:positionV>
            <wp:extent cx="23145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566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1000"/>
          </w:cols>
          <w:pgMar w:left="440" w:top="266" w:right="459" w:bottom="1440" w:gutter="0" w:footer="0" w:header="0"/>
        </w:sectPr>
      </w:pPr>
    </w:p>
    <w:bookmarkStart w:id="222" w:name="page223"/>
    <w:bookmarkEnd w:id="222"/>
    <w:p>
      <w:pPr>
        <w:jc w:val="center"/>
        <w:ind w:right="-5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 Investors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 Private Markets S.À 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Barthélémy Debray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Raphaëlle Mahieu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Hazan</w:t>
      </w:r>
    </w:p>
    <w:p>
      <w:pPr>
        <w:spacing w:after="0" w:line="139"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[Schedule I to Registration Rights Agreement]</w:t>
      </w:r>
    </w:p>
    <w:p>
      <w:pPr>
        <w:sectPr>
          <w:pgSz w:w="11900" w:h="16838" w:orient="portrait"/>
          <w:cols w:equalWidth="0" w:num="1">
            <w:col w:w="9579"/>
          </w:cols>
          <w:pgMar w:left="880" w:top="266" w:right="1440"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PLAN OF DISTRIBUTION</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the offer and sale, from time to time, by the Selling Stockholders of up to [      ] shares of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-185420</wp:posOffset>
            </wp:positionV>
            <wp:extent cx="3429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Stockholders.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Once issued and upon effectiveness of the registration statement of which this prospectus forms a part, the securities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their securities offered by this prospectus on any stock exchange, market or trading facility on which the securities are traded or in private transactions.</w:t>
      </w:r>
    </w:p>
    <w:p>
      <w:pPr>
        <w:spacing w:after="0" w:line="188"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Stockholders may use any one or more of the following methods when selling the securities offered by this prospectus:</w:t>
      </w:r>
    </w:p>
    <w:p>
      <w:pPr>
        <w:spacing w:after="0" w:line="67" w:lineRule="exact"/>
        <w:rPr>
          <w:sz w:val="20"/>
          <w:szCs w:val="20"/>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to Registration Rights Agreement]</w:t>
      </w:r>
    </w:p>
    <w:p>
      <w:pPr>
        <w:sectPr>
          <w:pgSz w:w="11900" w:h="16838" w:orient="portrait"/>
          <w:cols w:equalWidth="0" w:num="1">
            <w:col w:w="11020"/>
          </w:cols>
          <w:pgMar w:left="440" w:top="266" w:right="439" w:bottom="1440" w:gutter="0" w:footer="0" w:header="0"/>
        </w:sectPr>
      </w:pPr>
    </w:p>
    <w:bookmarkStart w:id="224" w:name="page225"/>
    <w:bookmarkEnd w:id="224"/>
    <w:p>
      <w:pPr>
        <w:ind w:left="960" w:hanging="424"/>
        <w:spacing w:after="0"/>
        <w:tabs>
          <w:tab w:leader="none" w:pos="9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 in-interest intends to sell our securities, we will, to the extent required, promptly file a supplement to this prospectus to name specifically such person as a Selling Stockholder.</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shares of our common stock, the Selling Stockholders may enter into hedging transactions with broker-dealers or other financial institutions, which may in turn engage in short sales of the shares of our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shares. The Selling Stockholders may also enter into option or other transactions with broker-dealers or other financial institutions or the creation of one or more derivative securities which require the delivery to such broker- 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to Registration Rights Agreement]</w:t>
      </w:r>
    </w:p>
    <w:p>
      <w:pPr>
        <w:sectPr>
          <w:pgSz w:w="11900" w:h="16838" w:orient="portrait"/>
          <w:cols w:equalWidth="0" w:num="1">
            <w:col w:w="11000"/>
          </w:cols>
          <w:pgMar w:left="440" w:top="270" w:right="459" w:bottom="1440" w:gutter="0" w:footer="0" w:header="0"/>
        </w:sectPr>
      </w:pPr>
    </w:p>
    <w:bookmarkStart w:id="225" w:name="page226"/>
    <w:bookmarkEnd w:id="22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[Annex A to Registration Rights Agreement]</w:t>
      </w:r>
    </w:p>
    <w:p>
      <w:pPr>
        <w:sectPr>
          <w:pgSz w:w="11900" w:h="16838" w:orient="portrait"/>
          <w:cols w:equalWidth="0" w:num="1">
            <w:col w:w="10880"/>
          </w:cols>
          <w:pgMar w:left="440" w:top="270" w:right="57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13, 2025, is made and entered into by and among Blaize Holdings, Inc., a Delaware corporation (formerly known as BurTech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Persons (as defined in the Merger Agreement (as defined below))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(such Persons, together with any other Person who hereafter becomes a party to this Agreement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Legacy Blaize</w:t>
      </w:r>
      <w:r>
        <w:rPr>
          <w:rFonts w:ascii="Times New Roman" w:cs="Times New Roman" w:eastAsia="Times New Roman" w:hAnsi="Times New Roman"/>
          <w:sz w:val="18"/>
          <w:szCs w:val="18"/>
          <w:color w:val="auto"/>
        </w:rPr>
        <w:t>”), and, solely for limited purposes set forth therein, Burkhan Capital LLC, a Delaware limited liability company,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dated as of December 22, 2023, pursuant to which, among other things, on the date hereof Merger Sub will merge with and into Legacy Blaize, with Legacy Blaize surviving as a wholly owned subsidiary of the Company, on the terms and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each of the Securityholders will own equity interests in the Company; and</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the parties hereto wish to set forth herein certain understandings between such parties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of equity interests in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121" w:lineRule="exact"/>
        <w:rPr>
          <w:sz w:val="20"/>
          <w:szCs w:val="20"/>
          <w:color w:val="auto"/>
        </w:rPr>
      </w:pPr>
    </w:p>
    <w:p>
      <w:pPr>
        <w:ind w:right="40" w:firstLine="436"/>
        <w:spacing w:after="0" w:line="253"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set forth herein, each Securityholder agrees not to, without the prior written consent of the board of directors of the Company,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promulgated thereunder, any shares of Acquiror Common Stock held by it immediately after the Effective Time, any shares of Acquiror Common Stock issuable upon the exercise or settlement, as applicable, of Acquiror Options or Acquiror RSUs held by it immediately after the Effective Time (other than shares of Acquiror Common Stock issued or issuable upon the exercise of Acquiror Private Placement Warrants), or any other securities convertible into or exercisable or exchangeable for Acquiror Common Stock held by it immediately after the Effective Time (other than Acquiror Private Placement Warrants) (collectively,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(ii) enter into any swap or other arrangement that transfers to another, in whole or in part, any of the economic consequences of ownership of any of the Lock-Up Shares,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until the date that is 180 days after the Closing Date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subject to the early release provisions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w:t>
      </w:r>
    </w:p>
    <w:p>
      <w:pPr>
        <w:spacing w:after="0" w:line="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not apply to:</w:t>
      </w:r>
    </w:p>
    <w:p>
      <w:pPr>
        <w:spacing w:after="0" w:line="130" w:lineRule="exact"/>
        <w:rPr>
          <w:rFonts w:ascii="Times New Roman" w:cs="Times New Roman" w:eastAsia="Times New Roman" w:hAnsi="Times New Roman"/>
          <w:sz w:val="18"/>
          <w:szCs w:val="18"/>
          <w:color w:val="auto"/>
        </w:rPr>
      </w:pPr>
    </w:p>
    <w:p>
      <w:pPr>
        <w:ind w:left="1420" w:right="100" w:hanging="439"/>
        <w:spacing w:after="0" w:line="258" w:lineRule="auto"/>
        <w:tabs>
          <w:tab w:leader="none" w:pos="14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(A) to another entity that is an affiliate (as defined in Rule 405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p>
      <w:pPr>
        <w:sectPr>
          <w:pgSz w:w="11900" w:h="16838" w:orient="portrait"/>
          <w:cols w:equalWidth="0" w:num="1">
            <w:col w:w="11020"/>
          </w:cols>
          <w:pgMar w:left="440" w:top="117" w:right="439" w:bottom="1440" w:gutter="0" w:footer="0" w:header="0"/>
        </w:sectPr>
      </w:pPr>
    </w:p>
    <w:bookmarkStart w:id="227" w:name="page228"/>
    <w:bookmarkEnd w:id="227"/>
    <w:p>
      <w:pPr>
        <w:ind w:left="439" w:right="200" w:hanging="439"/>
        <w:spacing w:after="0" w:line="266"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81"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130" w:lineRule="exact"/>
        <w:rPr>
          <w:rFonts w:ascii="Times New Roman" w:cs="Times New Roman" w:eastAsia="Times New Roman" w:hAnsi="Times New Roman"/>
          <w:sz w:val="18"/>
          <w:szCs w:val="18"/>
          <w:color w:val="auto"/>
        </w:rPr>
      </w:pPr>
    </w:p>
    <w:p>
      <w:pPr>
        <w:ind w:left="439" w:right="140" w:hanging="439"/>
        <w:spacing w:after="0" w:line="282"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operation of law or pursuant to a court order, such as a qualified domestic relations order, divorce decree or separation agreement;</w:t>
      </w:r>
    </w:p>
    <w:p>
      <w:pPr>
        <w:spacing w:after="0" w:line="67" w:lineRule="exact"/>
        <w:rPr>
          <w:rFonts w:ascii="Times New Roman" w:cs="Times New Roman" w:eastAsia="Times New Roman" w:hAnsi="Times New Roman"/>
          <w:sz w:val="18"/>
          <w:szCs w:val="18"/>
          <w:color w:val="auto"/>
        </w:rPr>
      </w:pPr>
    </w:p>
    <w:p>
      <w:pPr>
        <w:jc w:val="both"/>
        <w:ind w:left="439" w:right="40" w:hanging="439"/>
        <w:spacing w:after="0" w:line="266"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81"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that is a trust, Transfers to a trustor or beneficiary of the trust or to the estate of a beneficiary of such trust;</w:t>
      </w:r>
    </w:p>
    <w:p>
      <w:pPr>
        <w:spacing w:after="0" w:line="130" w:lineRule="exact"/>
        <w:rPr>
          <w:rFonts w:ascii="Times New Roman" w:cs="Times New Roman" w:eastAsia="Times New Roman" w:hAnsi="Times New Roman"/>
          <w:sz w:val="18"/>
          <w:szCs w:val="18"/>
          <w:color w:val="auto"/>
        </w:rPr>
      </w:pPr>
    </w:p>
    <w:p>
      <w:pPr>
        <w:ind w:left="439" w:right="620" w:hanging="439"/>
        <w:spacing w:after="0" w:line="282"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w:t>
      </w:r>
    </w:p>
    <w:p>
      <w:pPr>
        <w:spacing w:after="0" w:line="67" w:lineRule="exact"/>
        <w:rPr>
          <w:rFonts w:ascii="Times New Roman" w:cs="Times New Roman" w:eastAsia="Times New Roman" w:hAnsi="Times New Roman"/>
          <w:sz w:val="18"/>
          <w:szCs w:val="18"/>
          <w:color w:val="auto"/>
        </w:rPr>
      </w:pPr>
    </w:p>
    <w:p>
      <w:pPr>
        <w:ind w:left="439" w:right="140" w:hanging="439"/>
        <w:spacing w:after="0" w:line="261"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relating to Acquiror Common Stock or other securities convertible into or exercisable or exchangeable for Acquiror Common Stock acquired in open market transactions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transaction is required to be, or is, publicly announced (whether on Form 4, Form 5 or otherwise, other than a required filing on Schedule 13F, 13G or 13G/A) during the Lock-Up Period;</w:t>
      </w:r>
    </w:p>
    <w:p>
      <w:pPr>
        <w:spacing w:after="0" w:line="85" w:lineRule="exact"/>
        <w:rPr>
          <w:rFonts w:ascii="Times New Roman" w:cs="Times New Roman" w:eastAsia="Times New Roman" w:hAnsi="Times New Roman"/>
          <w:sz w:val="18"/>
          <w:szCs w:val="18"/>
          <w:color w:val="auto"/>
        </w:rPr>
      </w:pPr>
    </w:p>
    <w:p>
      <w:pPr>
        <w:ind w:left="439" w:right="20" w:hanging="439"/>
        <w:spacing w:after="0" w:line="255"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or warrants to purchase shares of Acquiror Common Stock or the vesting of stock awards of Acquiror Common Stock and any related transfer of shares of Acquiror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Acquiror Common Stock, it being understood that all shares of Acquiror Common Stock received upon such exercise, vesting or transfer will remain subject to the restrictions of this Agreement during the Lock-Up Period;</w:t>
      </w:r>
    </w:p>
    <w:p>
      <w:pPr>
        <w:spacing w:after="0" w:line="94" w:lineRule="exact"/>
        <w:rPr>
          <w:rFonts w:ascii="Times New Roman" w:cs="Times New Roman" w:eastAsia="Times New Roman" w:hAnsi="Times New Roman"/>
          <w:sz w:val="18"/>
          <w:szCs w:val="18"/>
          <w:color w:val="auto"/>
        </w:rPr>
      </w:pPr>
    </w:p>
    <w:p>
      <w:pPr>
        <w:ind w:left="439" w:hanging="439"/>
        <w:spacing w:after="0" w:line="266"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pursuant to any contractual arrangement in effect at the Effective Time that provides for the repurchase by the Company or forfeiture of Acquiror Common Stock or other securities convertible into or exercisable or exchangeable for Acquiror Common Stock in connection with the termination of the Securityholder’s service to the Company;</w:t>
      </w:r>
    </w:p>
    <w:p>
      <w:pPr>
        <w:spacing w:after="0" w:line="108"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79"/>
          </w:cols>
          <w:pgMar w:left="1421" w:top="270" w:right="499" w:bottom="1440" w:gutter="0" w:footer="0" w:header="0"/>
        </w:sectPr>
      </w:pPr>
    </w:p>
    <w:bookmarkStart w:id="228" w:name="page229"/>
    <w:bookmarkEnd w:id="228"/>
    <w:p>
      <w:pPr>
        <w:ind w:left="1420" w:right="200" w:hanging="439"/>
        <w:spacing w:after="0" w:line="258" w:lineRule="auto"/>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entry, by a Securityholder, at any time after the Effective Time, of any trading plan providing for the sale of shares of Acquiror Common Stock by a Securityholder, which trading plan meets the requirements of Rule 10b5-1(c)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plan does not provide for, or permit, the sale of any shares of Acquiror Common Stock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Lock-Up Period and no public announcement or filing is voluntarily made or required regarding such plan during the Lock-Up Period;</w:t>
      </w:r>
    </w:p>
    <w:p>
      <w:pPr>
        <w:spacing w:after="0" w:line="88" w:lineRule="exact"/>
        <w:rPr>
          <w:rFonts w:ascii="Times New Roman" w:cs="Times New Roman" w:eastAsia="Times New Roman" w:hAnsi="Times New Roman"/>
          <w:sz w:val="18"/>
          <w:szCs w:val="18"/>
          <w:color w:val="auto"/>
        </w:rPr>
      </w:pPr>
    </w:p>
    <w:p>
      <w:pPr>
        <w:jc w:val="both"/>
        <w:ind w:left="1420" w:right="100" w:hanging="439"/>
        <w:spacing w:after="0" w:line="266" w:lineRule="auto"/>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the event of completion of a liquidation, merger, stock exchange, reorganization or other similar transaction that results in all of the Company’s securityholders having the right to exchange their shares of Acquiror Common Stock for cash, securities or other property;</w:t>
      </w:r>
    </w:p>
    <w:p>
      <w:pPr>
        <w:spacing w:after="0" w:line="81" w:lineRule="exact"/>
        <w:rPr>
          <w:rFonts w:ascii="Times New Roman" w:cs="Times New Roman" w:eastAsia="Times New Roman" w:hAnsi="Times New Roman"/>
          <w:sz w:val="18"/>
          <w:szCs w:val="18"/>
          <w:color w:val="auto"/>
        </w:rPr>
      </w:pPr>
    </w:p>
    <w:p>
      <w:pPr>
        <w:ind w:left="1420" w:right="20" w:hanging="439"/>
        <w:spacing w:after="0" w:line="277" w:lineRule="auto"/>
        <w:tabs>
          <w:tab w:leader="none" w:pos="142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any shares of Acquiror Common Stock issuable upon the exchange at Closing of the Company Common Stock that is issuable upon the exercise of the Burkhan Warrants (the “</w:t>
      </w:r>
      <w:r>
        <w:rPr>
          <w:rFonts w:ascii="Times New Roman" w:cs="Times New Roman" w:eastAsia="Times New Roman" w:hAnsi="Times New Roman"/>
          <w:sz w:val="17"/>
          <w:szCs w:val="17"/>
          <w:u w:val="single" w:color="auto"/>
          <w:color w:val="auto"/>
        </w:rPr>
        <w:t>Burkhan Warrant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2,000,000 shares of the Burkhan Warrant Stock issued pursuant to Burkhan Warrant No. CS-1 may not be Transferred by Burkhan (or BurTech LP LLC, if applicable) without the consent of a majority of the members of an independent committee of the board of directors of the Company comprised of two (2) individuals designated by Legacy Blaize and one (1) individual designated by BurTech LP LLC; and</w:t>
      </w:r>
    </w:p>
    <w:p>
      <w:pPr>
        <w:spacing w:after="0" w:line="73" w:lineRule="exact"/>
        <w:rPr>
          <w:rFonts w:ascii="Times New Roman" w:cs="Times New Roman" w:eastAsia="Times New Roman" w:hAnsi="Times New Roman"/>
          <w:sz w:val="17"/>
          <w:szCs w:val="17"/>
          <w:color w:val="auto"/>
        </w:rPr>
      </w:pPr>
    </w:p>
    <w:p>
      <w:pPr>
        <w:ind w:left="1420" w:right="300" w:hanging="439"/>
        <w:spacing w:after="0" w:line="274" w:lineRule="auto"/>
        <w:tabs>
          <w:tab w:leader="none" w:pos="142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to satisfy any U.S. federal, state, or local income tax obligations of a Securityholder (or its direct or indirect owners) arising from a change in the U.S.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or the U.S. Treasury Regulations promulgated thereunder (the “</w:t>
      </w:r>
      <w:r>
        <w:rPr>
          <w:rFonts w:ascii="Times New Roman" w:cs="Times New Roman" w:eastAsia="Times New Roman" w:hAnsi="Times New Roman"/>
          <w:sz w:val="17"/>
          <w:szCs w:val="17"/>
          <w:u w:val="single" w:color="auto"/>
          <w:color w:val="auto"/>
        </w:rPr>
        <w:t>Regulations</w:t>
      </w:r>
      <w:r>
        <w:rPr>
          <w:rFonts w:ascii="Times New Roman" w:cs="Times New Roman" w:eastAsia="Times New Roman" w:hAnsi="Times New Roman"/>
          <w:sz w:val="17"/>
          <w:szCs w:val="17"/>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the case of clauses (i) through (vii), such permitted transferees must enter into a written agreement, in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this Agreement (it being understood that any references to “immediate family” in the agreement executed by such permitted transferee shall expressly refer only to the immediate family of the applicable Securityholder and not to the immediate family of the permitted transferee), agreeing to be bound by these Transfer restrictions. For purposes of this paragraph,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w:t>
      </w:r>
    </w:p>
    <w:p>
      <w:pPr>
        <w:spacing w:after="0" w:line="76" w:lineRule="exact"/>
        <w:rPr>
          <w:sz w:val="20"/>
          <w:szCs w:val="20"/>
          <w:color w:val="auto"/>
        </w:rPr>
      </w:pPr>
    </w:p>
    <w:p>
      <w:pPr>
        <w:ind w:right="40" w:firstLine="436"/>
        <w:spacing w:after="0" w:line="258" w:lineRule="auto"/>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releases or waives, in full or in part, any party from a lock-up agreement entered into in connection with the Closing, then the same number of Lock-Up Shares held by the undersigned as held by such released party shall be immediately and fully released on the same terms from the applicable prohibition(s) set forth herein. The foregoing provisions of this paragraph will not apply if (i) the release or waiver is granted to a holder of Acquiror Common Stock in connection with a follow-on public offering of Acquiror Common Stock pursuant to a registration statement filed with the SEC, whether or not such offering or sale is wholly or partially a secondary offering of the Acquiror Common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29" w:name="page230"/>
    <w:bookmarkEnd w:id="22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and the undersigned, only to the extent the undersigned has a contractual right to demand or require the registration of the undersigned’s Acquiror Common Stock or “piggyback” on a registration statement filed by the Company for the offer and sale of its Acquiror Common Stock, has been given an opportunity to participate on a basis consistent with such contractual rights in such follow-on offering, (ii)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(iii) the aggregate number of Lock-Up Shares affected by such releases or waivers (whether in one or multiple releases or waivers) with respect to any particular beneficial or record holder of Lock-Up Shares is less than or equal to 1% of the total number of outstanding shares of Acquiror Common Stock then outstanding (on a fully-diluted basis, calculated as of the date of such release or waiver), or (iv) the Company determines in its sole discretion that a release or waiver should be granted to a record or beneficial holder of Lock-Up Shares due to circumstances of emergency or hardship. In the event that the Company changes, amends, modifies or waives (other than to correct a typographical error) any particular provision of any other lock-up agreement entered into in connection with the Closing, then the undersigned shall be offered the option (but not the requirement) to make a corresponding change, amendment, modification or waiver to this Agreement, which option may be exercised by a written consent executed by the Securityholders holding a majority of the shares of Acquiror Common Stock then held by the Securityholders in the aggregate as to which this Agreement has not been terminated, executed in the same manner as this Agreement and which makes reference to this Agreement, and which changes, amendments, modifications or waivers, if approved in accordance with the terms hereof, will thereafter be binding on all of the undersigned.</w:t>
      </w:r>
    </w:p>
    <w:p>
      <w:pPr>
        <w:spacing w:after="0" w:line="88" w:lineRule="exact"/>
        <w:rPr>
          <w:sz w:val="20"/>
          <w:szCs w:val="20"/>
          <w:color w:val="auto"/>
        </w:rPr>
      </w:pPr>
    </w:p>
    <w:p>
      <w:pPr>
        <w:ind w:left="620" w:hanging="184"/>
        <w:spacing w:after="0"/>
        <w:tabs>
          <w:tab w:leader="none" w:pos="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upon the earlier of:</w:t>
      </w:r>
    </w:p>
    <w:p>
      <w:pPr>
        <w:spacing w:after="0" w:line="130" w:lineRule="exact"/>
        <w:rPr>
          <w:rFonts w:ascii="Times New Roman" w:cs="Times New Roman" w:eastAsia="Times New Roman" w:hAnsi="Times New Roman"/>
          <w:sz w:val="18"/>
          <w:szCs w:val="18"/>
          <w:color w:val="auto"/>
        </w:rPr>
      </w:pPr>
    </w:p>
    <w:p>
      <w:pPr>
        <w:jc w:val="both"/>
        <w:ind w:left="1420" w:hanging="439"/>
        <w:spacing w:after="0" w:line="272" w:lineRule="auto"/>
        <w:tabs>
          <w:tab w:leader="none" w:pos="1420"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first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and</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(iii) the liquidation of the Company.</w:t>
      </w:r>
    </w:p>
    <w:p>
      <w:pPr>
        <w:spacing w:after="0" w:line="112" w:lineRule="exact"/>
        <w:rPr>
          <w:rFonts w:ascii="Times New Roman" w:cs="Times New Roman" w:eastAsia="Times New Roman" w:hAnsi="Times New Roman"/>
          <w:sz w:val="17"/>
          <w:szCs w:val="17"/>
          <w:color w:val="auto"/>
        </w:rPr>
      </w:pPr>
    </w:p>
    <w:p>
      <w:pPr>
        <w:ind w:left="1420" w:right="80" w:hanging="439"/>
        <w:spacing w:after="0" w:line="256" w:lineRule="auto"/>
        <w:tabs>
          <w:tab w:leader="none" w:pos="14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$12.50 per share (as adjusted for stock splits, stock dividends, reorganizations, recapitalizations and the like) for any 20 trading days within any 30-trading day period and (iv) the liquidation of the Company.</w:t>
      </w:r>
    </w:p>
    <w:p>
      <w:pPr>
        <w:spacing w:after="0" w:line="92" w:lineRule="exact"/>
        <w:rPr>
          <w:rFonts w:ascii="Times New Roman" w:cs="Times New Roman" w:eastAsia="Times New Roman" w:hAnsi="Times New Roman"/>
          <w:sz w:val="18"/>
          <w:szCs w:val="18"/>
          <w:color w:val="auto"/>
        </w:rPr>
      </w:pPr>
    </w:p>
    <w:p>
      <w:pPr>
        <w:ind w:left="1420" w:right="80" w:hanging="439"/>
        <w:spacing w:after="0" w:line="256" w:lineRule="auto"/>
        <w:tabs>
          <w:tab w:leader="none" w:pos="14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$15.00 per share (as adjusted for stock splits, stock dividends, reorganizations, recapitalizations and the like) for any 20 trading days within any 30-trading day period and (iv) the liquidation of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30" w:name="page231"/>
    <w:bookmarkEnd w:id="230"/>
    <w:p>
      <w:pPr>
        <w:ind w:left="1420" w:right="80" w:hanging="439"/>
        <w:spacing w:after="0" w:line="256" w:lineRule="auto"/>
        <w:tabs>
          <w:tab w:leader="none" w:pos="14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 additional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$17.50 per share (as adjusted for stock splits, stock dividends, reorganizations, recapitalizations and the like) for any 20 trading days within any 30-trading day period and (iv) the liquidation of the Company.</w:t>
      </w:r>
    </w:p>
    <w:p>
      <w:pPr>
        <w:spacing w:after="0" w:line="79" w:lineRule="exact"/>
        <w:rPr>
          <w:rFonts w:ascii="Times New Roman" w:cs="Times New Roman" w:eastAsia="Times New Roman" w:hAnsi="Times New Roman"/>
          <w:sz w:val="18"/>
          <w:szCs w:val="18"/>
          <w:color w:val="auto"/>
        </w:rPr>
      </w:pPr>
    </w:p>
    <w:p>
      <w:pPr>
        <w:ind w:right="220" w:firstLine="436"/>
        <w:spacing w:after="0" w:line="312"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spacing w:after="0" w:line="31" w:lineRule="exact"/>
        <w:rPr>
          <w:rFonts w:ascii="Times New Roman" w:cs="Times New Roman" w:eastAsia="Times New Roman" w:hAnsi="Times New Roman"/>
          <w:sz w:val="17"/>
          <w:szCs w:val="17"/>
          <w:color w:val="auto"/>
        </w:rPr>
      </w:pPr>
    </w:p>
    <w:p>
      <w:pPr>
        <w:ind w:right="20" w:firstLine="436"/>
        <w:spacing w:after="0" w:line="258"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or modified in whole or in part, only by a duly authorized agreement in writing, executed by the Company and the Securityholders holding a majority of the shares of Acquiror Common Stock then held by the Securityholders in the aggregate as to which this Agreement has not been terminated, executed in the same manner as this Agreement and which makes reference to this Agreement. This Agreement may not be modified or amended except as provided in the immediately preceding sentence and any purported amendment by any party or parties hereto effected in a manner which does not comply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no party hereto may assign either this Agreement or any of its rights, interests or obligations hereunder without the prior written consent of (i) with respect to any Securityholder, the Company, and (ii) with respect to the Company, the Securityholders holding a majority of the shares of Acquiror Common Stock then held by the Securityholders in the aggregate as to which this Agreement has not been terminated. Any purported assignment in violation of this paragraph shall be void and ineffectual and shall not operate to transfer or assign any interest or title to the purported assignee. This Agreement shall be binding on each Securityholder and each of its respective successors, heirs and assigns and permitted transferees.</w:t>
      </w:r>
    </w:p>
    <w:p>
      <w:pPr>
        <w:spacing w:after="0" w:line="79"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Agreement shall be brought and enforced in the Delaware Chancery Court, and irrevocably submit to such jurisdiction and venue, which jurisdiction and venue shall be exclusive and (ii) waive any objection to such exclusive jurisdiction and venue or that such courts represent an inconvenient forum.</w:t>
      </w:r>
    </w:p>
    <w:p>
      <w:pPr>
        <w:spacing w:after="0" w:line="75" w:lineRule="exact"/>
        <w:rPr>
          <w:rFonts w:ascii="Times New Roman" w:cs="Times New Roman" w:eastAsia="Times New Roman" w:hAnsi="Times New Roman"/>
          <w:sz w:val="18"/>
          <w:szCs w:val="18"/>
          <w:color w:val="auto"/>
        </w:rPr>
      </w:pPr>
    </w:p>
    <w:p>
      <w:pPr>
        <w:ind w:right="60" w:firstLine="436"/>
        <w:spacing w:after="0" w:line="266"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shall constitute one and the same agreement. Delivery of an executed counterpart of a signature page to this Agreement or any joinder to this Agreement by electronic means, including DocuSign, e-mail, or scanned pages shall be effective as delivery of a manually executed counterpart to this Agreement.</w:t>
      </w:r>
    </w:p>
    <w:p>
      <w:pPr>
        <w:spacing w:after="0" w:line="67" w:lineRule="exact"/>
        <w:rPr>
          <w:rFonts w:ascii="Times New Roman" w:cs="Times New Roman" w:eastAsia="Times New Roman" w:hAnsi="Times New Roman"/>
          <w:sz w:val="18"/>
          <w:szCs w:val="18"/>
          <w:color w:val="auto"/>
        </w:rPr>
      </w:pPr>
    </w:p>
    <w:p>
      <w:pPr>
        <w:ind w:right="60" w:firstLine="436"/>
        <w:spacing w:after="0" w:line="255" w:lineRule="auto"/>
        <w:tabs>
          <w:tab w:leader="none" w:pos="7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are not affected in any manner materially adverse to any party hereto. Upon such determination that any term or other provision of this Agreement is invalid, illegal or unenforceable under applicable law,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31" w:name="page232"/>
    <w:bookmarkEnd w:id="231"/>
    <w:p>
      <w:pPr>
        <w:ind w:left="-300" w:firstLine="436"/>
        <w:spacing w:after="0" w:line="282" w:lineRule="auto"/>
        <w:tabs>
          <w:tab w:leader="none" w:pos="40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20"/>
          </w:cols>
          <w:pgMar w:left="740" w:top="270" w:right="7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4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579"/>
          </w:cols>
          <w:pgMar w:left="880" w:top="270" w:right="1440" w:bottom="1440" w:gutter="0" w:footer="0" w:header="0"/>
        </w:sectPr>
      </w:pPr>
    </w:p>
    <w:bookmarkStart w:id="233" w:name="page234"/>
    <w:bookmarkEnd w:id="23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Abhishek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Abhishek Agrawal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34" w:name="page235"/>
    <w:bookmarkEnd w:id="23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Anderson Investments Pte. Ltd.</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Sherlyn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Sherlyn Lim</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35" w:name="page236"/>
    <w:bookmarkEnd w:id="23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Aswathy Asok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Aswathy Asok</w:t>
      </w:r>
    </w:p>
    <w:p>
      <w:pPr>
        <w:spacing w:after="0" w:line="27" w:lineRule="exact"/>
        <w:rPr>
          <w:sz w:val="20"/>
          <w:szCs w:val="20"/>
          <w:color w:val="auto"/>
        </w:rPr>
      </w:pPr>
    </w:p>
    <w:p>
      <w:pPr>
        <w:ind w:left="3040" w:right="479" w:firstLine="2569"/>
        <w:spacing w:after="0" w:line="433" w:lineRule="auto"/>
        <w:rPr>
          <w:sz w:val="20"/>
          <w:szCs w:val="20"/>
          <w:color w:val="auto"/>
        </w:rPr>
      </w:pPr>
      <w:r>
        <w:rPr>
          <w:rFonts w:ascii="Times New Roman" w:cs="Times New Roman" w:eastAsia="Times New Roman" w:hAnsi="Times New Roman"/>
          <w:sz w:val="18"/>
          <w:szCs w:val="18"/>
          <w:color w:val="auto"/>
        </w:rPr>
        <w:t xml:space="preserve">Title: Staff Hardware Design Engineer </w:t>
      </w: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36" w:name="page237"/>
    <w:bookmarkEnd w:id="23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Ayush Aggarwal and Deepa Guamukhdas Jagyasi</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Ayush Aggarwal and Deepa Guamukhdas Jagyasi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10000"/>
          </w:cols>
          <w:pgMar w:left="1440" w:top="266" w:right="459" w:bottom="1440" w:gutter="0" w:footer="0" w:header="0"/>
        </w:sectPr>
      </w:pPr>
    </w:p>
    <w:bookmarkStart w:id="237" w:name="page238"/>
    <w:bookmarkEnd w:id="2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BESS VENTURES AND ADVISORY, LLC</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Lane Bess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38" w:name="page239"/>
    <w:bookmarkEnd w:id="23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4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39" w:name="page240"/>
    <w:bookmarkEnd w:id="23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Coral Gables Trust Company, Trustee of the Destin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Huang Irrevocable Trust Dated October 19, 2021</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DeNapoli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DeNapoli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Trust Officer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560"/>
          </w:cols>
          <w:pgMar w:left="1440" w:top="266" w:right="899" w:bottom="1440" w:gutter="0" w:footer="0" w:header="0"/>
        </w:sectPr>
      </w:pPr>
    </w:p>
    <w:bookmarkStart w:id="240" w:name="page241"/>
    <w:bookmarkEnd w:id="24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41" w:name="page242"/>
    <w:bookmarkEnd w:id="2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Franklin Strategic Series - Franklin Small-Mid Cap Growth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JP Scandalios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JP Scandalios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SVP/Portfolio Manager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900"/>
          </w:cols>
          <w:pgMar w:left="1440" w:top="266" w:right="559" w:bottom="1440" w:gutter="0" w:footer="0" w:header="0"/>
        </w:sectPr>
      </w:pPr>
    </w:p>
    <w:bookmarkStart w:id="242" w:name="page243"/>
    <w:bookmarkEnd w:id="24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Franklin Templeton Variable Insurance Products Trust -</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Franklin Small-Mid Cap Growth VIP Fund</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JP Scandalios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JP Scandalios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SVP/Portfolio Manager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620"/>
          </w:cols>
          <w:pgMar w:left="1440" w:top="266" w:right="839" w:bottom="1440" w:gutter="0" w:footer="0" w:header="0"/>
        </w:sectPr>
      </w:pPr>
    </w:p>
    <w:bookmarkStart w:id="243" w:name="page244"/>
    <w:bookmarkEnd w:id="24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Frederick Weber and Katherine Weber, Trustees of the</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Weber Living Trust dated March 14, 2017, and 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amendments thereto</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Frederick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Frederick Weber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Trustee of the Weber Living Trust dated March 14,</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2017</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860"/>
          </w:cols>
          <w:pgMar w:left="1440" w:top="266" w:right="599" w:bottom="1440" w:gutter="0" w:footer="0" w:header="0"/>
        </w:sectPr>
      </w:pPr>
    </w:p>
    <w:bookmarkStart w:id="244" w:name="page245"/>
    <w:bookmarkEnd w:id="24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Golla Sai Sandeep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Golla Sai Sandeep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45" w:name="page246"/>
    <w:bookmarkEnd w:id="24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JIH Vermögensverwaltungs GmbH</w:t>
      </w:r>
    </w:p>
    <w:p>
      <w:pPr>
        <w:spacing w:after="0" w:line="218"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Stefan Hambrecht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Stefan Hambrecht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46" w:name="page247"/>
    <w:bookmarkEnd w:id="24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 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 Yin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47" w:name="page248"/>
    <w:bookmarkEnd w:id="24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Khushbu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Khushbu Agarwal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48" w:name="page249"/>
    <w:bookmarkEnd w:id="24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Linda L. Lester, Trustee of the LLL Trust, Dated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January 2, 2018</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Linda L. 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Linda L. Lester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Security Holder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360"/>
          </w:cols>
          <w:pgMar w:left="1440" w:top="266" w:right="1099" w:bottom="1440" w:gutter="0" w:footer="0" w:header="0"/>
        </w:sectPr>
      </w:pPr>
    </w:p>
    <w:bookmarkStart w:id="249" w:name="page250"/>
    <w:bookmarkEnd w:id="24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Poonam Vilas Metkar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Poonam Vilas Metkar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0" w:name="page251"/>
    <w:bookmarkEnd w:id="250"/>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Pramod Kaddi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Pramod Kaddi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1" w:name="page252"/>
    <w:bookmarkEnd w:id="25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Sandeep Masade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Sandeep Masade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Individual Investor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2" w:name="page253"/>
    <w:bookmarkEnd w:id="25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Satyaki Koneru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Satyaki Koneru</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3" w:name="page254"/>
    <w:bookmarkEnd w:id="25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Sean O’Kane and Ann O’Kane Revocable Living Trust</w:t>
      </w:r>
    </w:p>
    <w:p>
      <w:pPr>
        <w:spacing w:after="0" w:line="218"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O’Kane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600"/>
          </w:cols>
          <w:pgMar w:left="1440" w:top="266" w:right="859" w:bottom="1440" w:gutter="0" w:footer="0" w:header="0"/>
        </w:sectPr>
      </w:pPr>
    </w:p>
    <w:bookmarkStart w:id="254" w:name="page255"/>
    <w:bookmarkEnd w:id="25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Shahin Farshchi</w:t>
      </w:r>
    </w:p>
    <w:p>
      <w:pPr>
        <w:spacing w:after="0" w:line="207"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Shahin Farshchi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Shahin Farshchi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Self</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5" w:name="page256"/>
    <w:bookmarkEnd w:id="25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Shrikant 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Shrikant Raman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6" w:name="page257"/>
    <w:bookmarkEnd w:id="25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Sudhakar Kale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Sudhakar Kale</w:t>
      </w:r>
    </w:p>
    <w:p>
      <w:pPr>
        <w:spacing w:after="0" w:line="27"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VP of Silicon Engineering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57" w:name="page258"/>
    <w:bookmarkEnd w:id="25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Tatsuya Toyoda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Tatsuya Toyoda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Share Holder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387" w:right="1440" w:bottom="1440" w:gutter="0" w:footer="0" w:header="0"/>
        </w:sectPr>
      </w:pPr>
    </w:p>
    <w:bookmarkStart w:id="258" w:name="page259"/>
    <w:bookmarkEnd w:id="25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TLG FUND I LP</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 Michael Lawrie</w:t>
      </w:r>
    </w:p>
    <w:p>
      <w:pPr>
        <w:spacing w:after="0" w:line="27"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of TLG Capital Management, Ltd.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Manager to TLG Fund I LP</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360"/>
          </w:cols>
          <w:pgMar w:left="1440" w:top="266" w:right="1099" w:bottom="1440" w:gutter="0" w:footer="0" w:header="0"/>
        </w:sectPr>
      </w:pPr>
    </w:p>
    <w:bookmarkStart w:id="259" w:name="page260"/>
    <w:bookmarkEnd w:id="25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Umar Nath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Umar Nath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60" w:name="page261"/>
    <w:bookmarkEnd w:id="26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VISTA GRAN VERDE HOLDINGS INC.</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C. Suchianco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C. Suchianco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61" w:name="page262"/>
    <w:bookmarkEnd w:id="261"/>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SECURITYHOLDERS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Abhishek Agrawal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Anderson Investments Pte.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Aswathy Asok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Ayush Aggarwal and Deepa Guamukhdas Jagyasi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Bess Ventures and Advisory,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Capital LLC</w:t>
      </w:r>
    </w:p>
    <w:p>
      <w:pPr>
        <w:spacing w:after="0" w:line="225" w:lineRule="exact"/>
        <w:rPr>
          <w:sz w:val="20"/>
          <w:szCs w:val="20"/>
          <w:color w:val="auto"/>
        </w:rPr>
      </w:pPr>
    </w:p>
    <w:p>
      <w:pPr>
        <w:ind w:right="2739"/>
        <w:spacing w:after="0" w:line="500" w:lineRule="auto"/>
        <w:rPr>
          <w:sz w:val="20"/>
          <w:szCs w:val="20"/>
          <w:color w:val="auto"/>
        </w:rPr>
      </w:pPr>
      <w:r>
        <w:rPr>
          <w:rFonts w:ascii="Times New Roman" w:cs="Times New Roman" w:eastAsia="Times New Roman" w:hAnsi="Times New Roman"/>
          <w:sz w:val="18"/>
          <w:szCs w:val="18"/>
          <w:color w:val="auto"/>
        </w:rPr>
        <w:t>Coral Gables Trust Company, Trustee of the Destin Huang Irrevocable Trust Dated October 19, 2021 Dinakar Munagala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Strategic Series - Franklin Small-Mid Cap Growth Fund</w:t>
      </w:r>
    </w:p>
    <w:p>
      <w:pPr>
        <w:spacing w:after="0" w:line="225" w:lineRule="exact"/>
        <w:rPr>
          <w:sz w:val="20"/>
          <w:szCs w:val="20"/>
          <w:color w:val="auto"/>
        </w:rPr>
      </w:pPr>
    </w:p>
    <w:p>
      <w:pPr>
        <w:ind w:right="2819"/>
        <w:spacing w:after="0" w:line="500" w:lineRule="auto"/>
        <w:rPr>
          <w:sz w:val="20"/>
          <w:szCs w:val="20"/>
          <w:color w:val="auto"/>
        </w:rPr>
      </w:pPr>
      <w:r>
        <w:rPr>
          <w:rFonts w:ascii="Times New Roman" w:cs="Times New Roman" w:eastAsia="Times New Roman" w:hAnsi="Times New Roman"/>
          <w:sz w:val="18"/>
          <w:szCs w:val="18"/>
          <w:color w:val="auto"/>
        </w:rPr>
        <w:t>Franklin Templeton Variable Insurance Products Trust – Franklin Small-Mid Cap Growth VIP Fund Frederick Weber and Katherine Weber, Trustees of the Weber Living Trust dated March 14, 2017 Golla Sai Sandeep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JIH Vermögensverwaltungs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 Yin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Khushbu Agarwal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L. Lester, Trustee of the LLL Trust, Dated January 2,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Poonam Vilas Metkar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Pramod Kaddi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Sandeep Masade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Satyaki Koneru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O’Kane and Ann O’Kane Revocable Living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Shahin Farshchi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Shrikant Raman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Sudhakar Kale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Tatsuya Toyoda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TLG Fund 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Umar Nath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 Gran Verde Holdings Inc.</w:t>
      </w:r>
    </w:p>
    <w:p>
      <w:pPr>
        <w:sectPr>
          <w:pgSz w:w="11900" w:h="16838" w:orient="portrait"/>
          <w:cols w:equalWidth="0" w:num="1">
            <w:col w:w="10019"/>
          </w:cols>
          <w:pgMar w:left="440" w:top="266" w:right="1440"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13, 2025, is made and entered into by and among Blaize Holdings, Inc., a Delaware corporation (formerly known as BurTech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Persons (as defined in the Merger Agreement (as defined below))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(such Persons, together with any other Person who hereafter becomes a party to this Agreement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Legacy Blaize</w:t>
      </w:r>
      <w:r>
        <w:rPr>
          <w:rFonts w:ascii="Times New Roman" w:cs="Times New Roman" w:eastAsia="Times New Roman" w:hAnsi="Times New Roman"/>
          <w:sz w:val="18"/>
          <w:szCs w:val="18"/>
          <w:color w:val="auto"/>
        </w:rPr>
        <w:t>”), and, solely for limited purposes set forth therein, Burkhan Capital LLC, a Delaware limited liability company,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dated as of December 22, 2023, pursuant to which, among other things, on the date hereof Merger Sub will merge with and into Legacy Blaize, with Legacy Blaize surviving as a wholly owned subsidiary of the Company, on the terms and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each of the Securityholders will own equity interests in the Company; and</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the parties hereto wish to set forth herein certain understandings between such parties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of equity interests in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121" w:lineRule="exact"/>
        <w:rPr>
          <w:sz w:val="20"/>
          <w:szCs w:val="20"/>
          <w:color w:val="auto"/>
        </w:rPr>
      </w:pPr>
    </w:p>
    <w:p>
      <w:pPr>
        <w:ind w:right="40" w:firstLine="436"/>
        <w:spacing w:after="0" w:line="253" w:lineRule="auto"/>
        <w:tabs>
          <w:tab w:leader="none" w:pos="6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set forth herein, each Securityholder agrees not to, without the prior written consent of the board of directors of the Company,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promulgated thereunder, any shares of Acquiror Common Stock held by it immediately after the Effective Time, any shares of Acquiror Common Stock issuable upon the exercise or settlement, as applicable, of Acquiror Options or Acquiror RSUs held by it immediately after the Effective Time (other than shares of Acquiror Common Stock issued or issuable upon the exercise of Acquiror Private Placement Warrants), or any other securities convertible into or exercisable or exchangeable for Acquiror Common Stock held by it immediately after the Effective Time (other than Acquiror Private Placement Warrants) (collectively,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(ii) enter into any swap or other arrangement that transfers to another, in whole or in part, any of the economic consequences of ownership of any of the Lock-Up Shares,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until the date that is 180 days after the Closing Date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subject to the early release provisions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w:t>
      </w:r>
    </w:p>
    <w:p>
      <w:pPr>
        <w:sectPr>
          <w:pgSz w:w="11900" w:h="16838" w:orient="portrait"/>
          <w:cols w:equalWidth="0" w:num="1">
            <w:col w:w="11020"/>
          </w:cols>
          <w:pgMar w:left="440" w:top="117" w:right="439" w:bottom="1440" w:gutter="0" w:footer="0" w:header="0"/>
        </w:sectPr>
      </w:pPr>
    </w:p>
    <w:bookmarkStart w:id="263" w:name="page264"/>
    <w:bookmarkEnd w:id="263"/>
    <w:p>
      <w:pPr>
        <w:ind w:left="184" w:hanging="184"/>
        <w:spacing w:after="0"/>
        <w:tabs>
          <w:tab w:leader="none" w:pos="18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restrictions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not apply to:</w:t>
      </w:r>
    </w:p>
    <w:p>
      <w:pPr>
        <w:spacing w:after="0" w:line="130" w:lineRule="exact"/>
        <w:rPr>
          <w:rFonts w:ascii="Times New Roman" w:cs="Times New Roman" w:eastAsia="Times New Roman" w:hAnsi="Times New Roman"/>
          <w:sz w:val="18"/>
          <w:szCs w:val="18"/>
          <w:color w:val="auto"/>
        </w:rPr>
      </w:pPr>
    </w:p>
    <w:p>
      <w:pPr>
        <w:ind w:left="984" w:right="40" w:hanging="439"/>
        <w:spacing w:after="0" w:line="258"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(A) to another entity that is an affiliate (as defined in Rule 405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p>
      <w:pPr>
        <w:spacing w:after="0" w:line="88" w:lineRule="exact"/>
        <w:rPr>
          <w:rFonts w:ascii="Times New Roman" w:cs="Times New Roman" w:eastAsia="Times New Roman" w:hAnsi="Times New Roman"/>
          <w:sz w:val="18"/>
          <w:szCs w:val="18"/>
          <w:color w:val="auto"/>
        </w:rPr>
      </w:pPr>
    </w:p>
    <w:p>
      <w:pPr>
        <w:ind w:left="984" w:right="200" w:hanging="439"/>
        <w:spacing w:after="0" w:line="266"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81" w:lineRule="exact"/>
        <w:rPr>
          <w:rFonts w:ascii="Times New Roman" w:cs="Times New Roman" w:eastAsia="Times New Roman" w:hAnsi="Times New Roman"/>
          <w:sz w:val="18"/>
          <w:szCs w:val="18"/>
          <w:color w:val="auto"/>
        </w:rPr>
      </w:pPr>
    </w:p>
    <w:p>
      <w:pPr>
        <w:ind w:left="984" w:hanging="439"/>
        <w:spacing w:after="0"/>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130" w:lineRule="exact"/>
        <w:rPr>
          <w:rFonts w:ascii="Times New Roman" w:cs="Times New Roman" w:eastAsia="Times New Roman" w:hAnsi="Times New Roman"/>
          <w:sz w:val="18"/>
          <w:szCs w:val="18"/>
          <w:color w:val="auto"/>
        </w:rPr>
      </w:pPr>
    </w:p>
    <w:p>
      <w:pPr>
        <w:ind w:left="984" w:right="140" w:hanging="439"/>
        <w:spacing w:after="0" w:line="282"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operation of law or pursuant to a court order, such as a qualified domestic relations order, divorce decree or separation agreement;</w:t>
      </w:r>
    </w:p>
    <w:p>
      <w:pPr>
        <w:spacing w:after="0" w:line="67" w:lineRule="exact"/>
        <w:rPr>
          <w:rFonts w:ascii="Times New Roman" w:cs="Times New Roman" w:eastAsia="Times New Roman" w:hAnsi="Times New Roman"/>
          <w:sz w:val="18"/>
          <w:szCs w:val="18"/>
          <w:color w:val="auto"/>
        </w:rPr>
      </w:pPr>
    </w:p>
    <w:p>
      <w:pPr>
        <w:jc w:val="both"/>
        <w:ind w:left="984" w:right="40" w:hanging="439"/>
        <w:spacing w:after="0" w:line="266"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81" w:lineRule="exact"/>
        <w:rPr>
          <w:rFonts w:ascii="Times New Roman" w:cs="Times New Roman" w:eastAsia="Times New Roman" w:hAnsi="Times New Roman"/>
          <w:sz w:val="18"/>
          <w:szCs w:val="18"/>
          <w:color w:val="auto"/>
        </w:rPr>
      </w:pPr>
    </w:p>
    <w:p>
      <w:pPr>
        <w:ind w:left="984" w:hanging="439"/>
        <w:spacing w:after="0"/>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that is a trust, Transfers to a trustor or beneficiary of the trust or to the estate of a beneficiary of such trust;</w:t>
      </w:r>
    </w:p>
    <w:p>
      <w:pPr>
        <w:spacing w:after="0" w:line="130" w:lineRule="exact"/>
        <w:rPr>
          <w:rFonts w:ascii="Times New Roman" w:cs="Times New Roman" w:eastAsia="Times New Roman" w:hAnsi="Times New Roman"/>
          <w:sz w:val="18"/>
          <w:szCs w:val="18"/>
          <w:color w:val="auto"/>
        </w:rPr>
      </w:pPr>
    </w:p>
    <w:p>
      <w:pPr>
        <w:ind w:left="984" w:right="620" w:hanging="439"/>
        <w:spacing w:after="0" w:line="282"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w:t>
      </w:r>
    </w:p>
    <w:p>
      <w:pPr>
        <w:spacing w:after="0" w:line="67" w:lineRule="exact"/>
        <w:rPr>
          <w:rFonts w:ascii="Times New Roman" w:cs="Times New Roman" w:eastAsia="Times New Roman" w:hAnsi="Times New Roman"/>
          <w:sz w:val="18"/>
          <w:szCs w:val="18"/>
          <w:color w:val="auto"/>
        </w:rPr>
      </w:pPr>
    </w:p>
    <w:p>
      <w:pPr>
        <w:ind w:left="984" w:right="140" w:hanging="439"/>
        <w:spacing w:after="0" w:line="261"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relating to Acquiror Common Stock or other securities convertible into or exercisable or exchangeable for Acquiror Common Stock acquired in open market transactions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transaction is required to be, or is, publicly announced (whether on Form 4, Form 5 or otherwise, other than a required filing on Schedule 13F, 13G or 13G/A) during the Lock-Up Period;</w:t>
      </w:r>
    </w:p>
    <w:p>
      <w:pPr>
        <w:spacing w:after="0" w:line="85" w:lineRule="exact"/>
        <w:rPr>
          <w:rFonts w:ascii="Times New Roman" w:cs="Times New Roman" w:eastAsia="Times New Roman" w:hAnsi="Times New Roman"/>
          <w:sz w:val="18"/>
          <w:szCs w:val="18"/>
          <w:color w:val="auto"/>
        </w:rPr>
      </w:pPr>
    </w:p>
    <w:p>
      <w:pPr>
        <w:ind w:left="984" w:right="20" w:hanging="439"/>
        <w:spacing w:after="0" w:line="255"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or warrants to purchase shares of Acquiror Common Stock or the vesting of stock awards of Acquiror Common Stock and any related transfer of shares of Acquiror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Acquiror Common Stock, it being understood that all shares of Acquiror Common Stock received upon such exercise, vesting or transfer will remain subject to the restrictions of this Agreement during the Lock-Up Period;</w:t>
      </w:r>
    </w:p>
    <w:p>
      <w:pPr>
        <w:spacing w:after="0" w:line="94" w:lineRule="exact"/>
        <w:rPr>
          <w:rFonts w:ascii="Times New Roman" w:cs="Times New Roman" w:eastAsia="Times New Roman" w:hAnsi="Times New Roman"/>
          <w:sz w:val="18"/>
          <w:szCs w:val="18"/>
          <w:color w:val="auto"/>
        </w:rPr>
      </w:pPr>
    </w:p>
    <w:p>
      <w:pPr>
        <w:ind w:left="984" w:hanging="439"/>
        <w:spacing w:after="0" w:line="266" w:lineRule="auto"/>
        <w:tabs>
          <w:tab w:leader="none" w:pos="98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pursuant to any contractual arrangement in effect at the Effective Time that provides for the repurchase by the Company or forfeiture of Acquiror Common Stock or other securities convertible into or exercisable or exchangeable for Acquiror Common Stock in connection with the termination of the Securityholder’s service to the Company;</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4"/>
          </w:cols>
          <w:pgMar w:left="876" w:top="270" w:right="499" w:bottom="1440" w:gutter="0" w:footer="0" w:header="0"/>
        </w:sectPr>
      </w:pPr>
    </w:p>
    <w:bookmarkStart w:id="264" w:name="page265"/>
    <w:bookmarkEnd w:id="264"/>
    <w:p>
      <w:pPr>
        <w:ind w:left="1420" w:right="200" w:hanging="439"/>
        <w:spacing w:after="0" w:line="258" w:lineRule="auto"/>
        <w:tabs>
          <w:tab w:leader="none" w:pos="14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entry, by a Securityholder, at any time after the Effective Time, of any trading plan providing for the sale of shares of Acquiror Common Stock by a Securityholder, which trading plan meets the requirements of Rule 10b5-1(c)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plan does not provide for, or permit, the sale of any shares of Acquiror Common Stock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Lock-Up Period and no public announcement or filing is voluntarily made or required regarding such plan during the Lock-Up Period;</w:t>
      </w:r>
    </w:p>
    <w:p>
      <w:pPr>
        <w:spacing w:after="0" w:line="88" w:lineRule="exact"/>
        <w:rPr>
          <w:rFonts w:ascii="Times New Roman" w:cs="Times New Roman" w:eastAsia="Times New Roman" w:hAnsi="Times New Roman"/>
          <w:sz w:val="18"/>
          <w:szCs w:val="18"/>
          <w:color w:val="auto"/>
        </w:rPr>
      </w:pPr>
    </w:p>
    <w:p>
      <w:pPr>
        <w:jc w:val="both"/>
        <w:ind w:left="1420" w:right="100" w:hanging="439"/>
        <w:spacing w:after="0" w:line="266" w:lineRule="auto"/>
        <w:tabs>
          <w:tab w:leader="none" w:pos="14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the event of completion of a liquidation, merger, stock exchange, reorganization or other similar transaction that results in all of the Company’s securityholders having the right to exchange their shares of Acquiror Common Stock for cash, securities or other property;</w:t>
      </w:r>
    </w:p>
    <w:p>
      <w:pPr>
        <w:spacing w:after="0" w:line="81" w:lineRule="exact"/>
        <w:rPr>
          <w:rFonts w:ascii="Times New Roman" w:cs="Times New Roman" w:eastAsia="Times New Roman" w:hAnsi="Times New Roman"/>
          <w:sz w:val="18"/>
          <w:szCs w:val="18"/>
          <w:color w:val="auto"/>
        </w:rPr>
      </w:pPr>
    </w:p>
    <w:p>
      <w:pPr>
        <w:ind w:left="1420" w:right="20" w:hanging="439"/>
        <w:spacing w:after="0" w:line="277" w:lineRule="auto"/>
        <w:tabs>
          <w:tab w:leader="none" w:pos="142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any shares of Acquiror Common Stock issuable upon the exchange at Closing of the Company Common Stock that is issuable upon the exercise of the Burkhan Warrants (the “</w:t>
      </w:r>
      <w:r>
        <w:rPr>
          <w:rFonts w:ascii="Times New Roman" w:cs="Times New Roman" w:eastAsia="Times New Roman" w:hAnsi="Times New Roman"/>
          <w:sz w:val="17"/>
          <w:szCs w:val="17"/>
          <w:u w:val="single" w:color="auto"/>
          <w:color w:val="auto"/>
        </w:rPr>
        <w:t>Burkhan Warrant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2,000,000 shares of the Burkhan Warrant Stock issued pursuant to Burkhan Warrant No. CS-1 may not be Transferred by Burkhan (or BurTech LP LLC, if applicable) without the consent of a majority of the members of an independent committee of the board of directors of the Company comprised of two (2) individuals designated by Legacy Blaize and one (1) individual designated by BurTech LP LLC; and</w:t>
      </w:r>
    </w:p>
    <w:p>
      <w:pPr>
        <w:spacing w:after="0" w:line="73" w:lineRule="exact"/>
        <w:rPr>
          <w:rFonts w:ascii="Times New Roman" w:cs="Times New Roman" w:eastAsia="Times New Roman" w:hAnsi="Times New Roman"/>
          <w:sz w:val="17"/>
          <w:szCs w:val="17"/>
          <w:color w:val="auto"/>
        </w:rPr>
      </w:pPr>
    </w:p>
    <w:p>
      <w:pPr>
        <w:ind w:left="1420" w:right="300" w:hanging="439"/>
        <w:spacing w:after="0" w:line="274" w:lineRule="auto"/>
        <w:tabs>
          <w:tab w:leader="none" w:pos="142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to satisfy any U.S. federal, state, or local income tax obligations of a Securityholder (or its direct or indirect owners) arising from a change in the U.S.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or the U.S. Treasury Regulations promulgated thereunder (the “</w:t>
      </w:r>
      <w:r>
        <w:rPr>
          <w:rFonts w:ascii="Times New Roman" w:cs="Times New Roman" w:eastAsia="Times New Roman" w:hAnsi="Times New Roman"/>
          <w:sz w:val="17"/>
          <w:szCs w:val="17"/>
          <w:u w:val="single" w:color="auto"/>
          <w:color w:val="auto"/>
        </w:rPr>
        <w:t>Regulations</w:t>
      </w:r>
      <w:r>
        <w:rPr>
          <w:rFonts w:ascii="Times New Roman" w:cs="Times New Roman" w:eastAsia="Times New Roman" w:hAnsi="Times New Roman"/>
          <w:sz w:val="17"/>
          <w:szCs w:val="17"/>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the case of clauses (i) through (vii), such permitted transferees must enter into a written agreement, in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this Agreement (it being understood that any references to “immediate family” in the agreement executed by such permitted transferee shall expressly refer only to the immediate family of the applicable Securityholder and not to the immediate family of the permitted transferee), agreeing to be bound by these Transfer restrictions. For purposes of this paragraph,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w:t>
      </w:r>
    </w:p>
    <w:p>
      <w:pPr>
        <w:spacing w:after="0" w:line="76" w:lineRule="exact"/>
        <w:rPr>
          <w:sz w:val="20"/>
          <w:szCs w:val="20"/>
          <w:color w:val="auto"/>
        </w:rPr>
      </w:pPr>
    </w:p>
    <w:p>
      <w:pPr>
        <w:ind w:right="40" w:firstLine="436"/>
        <w:spacing w:after="0" w:line="258" w:lineRule="auto"/>
        <w:tabs>
          <w:tab w:leader="none" w:pos="6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releases or waives, in full or in part, any party from a lock- up agreement entered into in connection with the Closing, then the same number of Lock-Up Shares held by the undersigned as held by such released party shall be immediately and fully released on the same terms from the applicable prohibition(s) set forth herein. The foregoing provisions of this paragraph will not apply if (i) the release or waiver is granted to a holder of Acquiror Common Stock in connection with a follow- on public offering of Acquiror Common Stock pursuant to a registration statement filed with the SEC, whether or not such offering or sale is wholly or partially a secondary offering of the Acquiror Common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65" w:name="page266"/>
    <w:bookmarkEnd w:id="26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and the undersigned, only to the extent the undersigned has a contractual right to demand or require the registration of the undersigned’s Acquiror Common Stock or “piggyback” on a registration statement filed by the Company for the offer and sale of its Acquiror Common Stock, has been given an opportunity to participate on a basis consistent with such contractual rights in such follow-on offering, (ii)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(iii) the aggregate number of Lock-Up Shares affected by such releases or waivers (whether in one or multiple releases or waivers) with respect to any particular beneficial or record holder of Lock-Up Shares is less than or equal to 1% of the total number of outstanding shares of Acquiror Common Stock then outstanding (on a fully-diluted basis, calculated as of the date of such release or waiver), or (iv) the Company determines in its sole discretion that a release or waiver should be granted to a record or beneficial holder of Lock-Up Shares due to circumstances of emergency or hardship. In the event that the Company changes, amends, modifies or waives (other than to correct a typographical error) any particular provision of any other lock-up agreement entered into in connection with the Closing, then the undersigned shall be offered the option (but not the requirement) to make a corresponding change, amendment, modification or waiver to this Agreement, which option may be exercised by a written consent executed by the Securityholders holding a majority of the shares of Acquiror Common Stock then held by the Securityholders in the aggregate as to which this Agreement has not been terminated, executed in the same manner as this Agreement and which makes reference to this Agreement, and which changes, amendments, modifications or waivers, if approved in accordance with the terms hereof, will thereafter be binding on all of the undersigned.</w:t>
      </w:r>
    </w:p>
    <w:p>
      <w:pPr>
        <w:spacing w:after="0" w:line="88" w:lineRule="exact"/>
        <w:rPr>
          <w:sz w:val="20"/>
          <w:szCs w:val="20"/>
          <w:color w:val="auto"/>
        </w:rPr>
      </w:pPr>
    </w:p>
    <w:p>
      <w:pPr>
        <w:ind w:left="620" w:hanging="184"/>
        <w:spacing w:after="0"/>
        <w:tabs>
          <w:tab w:leader="none" w:pos="6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upon the earlier of:</w:t>
      </w:r>
    </w:p>
    <w:p>
      <w:pPr>
        <w:spacing w:after="0" w:line="130"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25% of each Securityholder’s Lock-Up Shares, the Closing Date. For the avoidance of doubt, the first 25% of each Securityholder’s Lock-Up Shares shall not be subject to the terms of this Agreement for any period of time.</w:t>
      </w:r>
    </w:p>
    <w:p>
      <w:pPr>
        <w:spacing w:after="0" w:line="67" w:lineRule="exact"/>
        <w:rPr>
          <w:rFonts w:ascii="Times New Roman" w:cs="Times New Roman" w:eastAsia="Times New Roman" w:hAnsi="Times New Roman"/>
          <w:sz w:val="18"/>
          <w:szCs w:val="18"/>
          <w:color w:val="auto"/>
        </w:rPr>
      </w:pPr>
    </w:p>
    <w:p>
      <w:pPr>
        <w:ind w:left="1420" w:right="80" w:hanging="439"/>
        <w:spacing w:after="0" w:line="256" w:lineRule="auto"/>
        <w:tabs>
          <w:tab w:leader="none" w:pos="14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$12.50 per share (as adjusted for stock splits, stock dividends, reorganizations, recapitalizations and the like) for any 20 trading days within any 30-trading day period and (iv) the liquidation of the Company.</w:t>
      </w:r>
    </w:p>
    <w:p>
      <w:pPr>
        <w:spacing w:after="0" w:line="92" w:lineRule="exact"/>
        <w:rPr>
          <w:rFonts w:ascii="Times New Roman" w:cs="Times New Roman" w:eastAsia="Times New Roman" w:hAnsi="Times New Roman"/>
          <w:sz w:val="18"/>
          <w:szCs w:val="18"/>
          <w:color w:val="auto"/>
        </w:rPr>
      </w:pPr>
    </w:p>
    <w:p>
      <w:pPr>
        <w:ind w:left="1420" w:right="80" w:hanging="439"/>
        <w:spacing w:after="0" w:line="256" w:lineRule="auto"/>
        <w:tabs>
          <w:tab w:leader="none" w:pos="14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$15.00 per share (as adjusted for stock splits, stock dividends, reorganizations, recapitalizations and the like) for any 20 trading days within any 30-trading day period and (iv) the liquidation of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66" w:name="page267"/>
    <w:bookmarkEnd w:id="266"/>
    <w:p>
      <w:pPr>
        <w:ind w:left="1420" w:right="80" w:hanging="439"/>
        <w:spacing w:after="0" w:line="256" w:lineRule="auto"/>
        <w:tabs>
          <w:tab w:leader="none" w:pos="142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an additional 25% of each Securityholder’s Lock-Up Shares,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$17.50 per share (as adjusted for stock splits, stock dividends, reorganizations, recapitalizations and the like) for any 20 trading days within any 30-trading day period and (iv) the liquidation of the Company.</w:t>
      </w:r>
    </w:p>
    <w:p>
      <w:pPr>
        <w:spacing w:after="0" w:line="79" w:lineRule="exact"/>
        <w:rPr>
          <w:rFonts w:ascii="Times New Roman" w:cs="Times New Roman" w:eastAsia="Times New Roman" w:hAnsi="Times New Roman"/>
          <w:sz w:val="18"/>
          <w:szCs w:val="18"/>
          <w:color w:val="auto"/>
        </w:rPr>
      </w:pPr>
    </w:p>
    <w:p>
      <w:pPr>
        <w:ind w:right="220" w:firstLine="436"/>
        <w:spacing w:after="0" w:line="312" w:lineRule="auto"/>
        <w:tabs>
          <w:tab w:leader="none" w:pos="6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spacing w:after="0" w:line="31" w:lineRule="exact"/>
        <w:rPr>
          <w:rFonts w:ascii="Times New Roman" w:cs="Times New Roman" w:eastAsia="Times New Roman" w:hAnsi="Times New Roman"/>
          <w:sz w:val="17"/>
          <w:szCs w:val="17"/>
          <w:color w:val="auto"/>
        </w:rPr>
      </w:pPr>
    </w:p>
    <w:p>
      <w:pPr>
        <w:ind w:right="20" w:firstLine="436"/>
        <w:spacing w:after="0" w:line="258" w:lineRule="auto"/>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or modified in whole or in part, only by a duly authorized agreement in writing, executed by the Company and the Securityholders holding a majority of the shares of Acquiror Common Stock then held by the Securityholders in the aggregate as to which this Agreement has not been terminated, executed in the same manner as this Agreement and which makes reference to this Agreement. This Agreement may not be modified or amended except as provided in the immediately preceding sentence and any purported amendment by any party or parties hereto effected in a manner which does not comply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no party hereto may assign either this Agreement or any of its rights, interests or obligations hereunder without the prior written consent of (i) with respect to any Securityholder, the Company, and (ii) with respect to the Company, the Securityholders holding a majority of the shares of Acquiror Common Stock then held by the Securityholders in the aggregate as to which this Agreement has not been terminated. Any purported assignment in violation of this paragraph shall be void and ineffectual and shall not operate to transfer or assign any interest or title to the purported assignee. This Agreement shall be binding on each Securityholder and each of its respective successors, heirs and assigns and permitted transferees.</w:t>
      </w:r>
    </w:p>
    <w:p>
      <w:pPr>
        <w:spacing w:after="0" w:line="79"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Agreement shall be brought and enforced in the Delaware Chancery Court, and irrevocably submit to such jurisdiction and venue, which jurisdiction and venue shall be exclusive and (ii) waive any objection to such exclusive jurisdiction and venue or that such courts represent an inconvenient forum.</w:t>
      </w:r>
    </w:p>
    <w:p>
      <w:pPr>
        <w:spacing w:after="0" w:line="75" w:lineRule="exact"/>
        <w:rPr>
          <w:rFonts w:ascii="Times New Roman" w:cs="Times New Roman" w:eastAsia="Times New Roman" w:hAnsi="Times New Roman"/>
          <w:sz w:val="18"/>
          <w:szCs w:val="18"/>
          <w:color w:val="auto"/>
        </w:rPr>
      </w:pPr>
    </w:p>
    <w:p>
      <w:pPr>
        <w:ind w:right="60" w:firstLine="436"/>
        <w:spacing w:after="0" w:line="266" w:lineRule="auto"/>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shall constitute one and the same agreement. Delivery of an executed counterpart of a signature page to this Agreement or any joinder to this Agreement by electronic means, including DocuSign, e-mail, or scanned pages shall be effective as delivery of a manually executed counterpart to this Agreement.</w:t>
      </w:r>
    </w:p>
    <w:p>
      <w:pPr>
        <w:spacing w:after="0" w:line="67" w:lineRule="exact"/>
        <w:rPr>
          <w:rFonts w:ascii="Times New Roman" w:cs="Times New Roman" w:eastAsia="Times New Roman" w:hAnsi="Times New Roman"/>
          <w:sz w:val="18"/>
          <w:szCs w:val="18"/>
          <w:color w:val="auto"/>
        </w:rPr>
      </w:pPr>
    </w:p>
    <w:p>
      <w:pPr>
        <w:ind w:right="60" w:firstLine="436"/>
        <w:spacing w:after="0" w:line="255" w:lineRule="auto"/>
        <w:tabs>
          <w:tab w:leader="none" w:pos="71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are not affected in any manner materially adverse to any party hereto. Upon such determination that any term or other provision of this Agreement is invalid, illegal or unenforceable under applicable law,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67" w:name="page268"/>
    <w:bookmarkEnd w:id="267"/>
    <w:p>
      <w:pPr>
        <w:ind w:left="-300" w:firstLine="436"/>
        <w:spacing w:after="0" w:line="282" w:lineRule="auto"/>
        <w:tabs>
          <w:tab w:leader="none" w:pos="40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20"/>
          </w:cols>
          <w:pgMar w:left="740" w:top="270" w:right="7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579"/>
          </w:cols>
          <w:pgMar w:left="880" w:top="270" w:right="1440" w:bottom="1440" w:gutter="0" w:footer="0" w:header="0"/>
        </w:sectPr>
      </w:pPr>
    </w:p>
    <w:bookmarkStart w:id="269" w:name="page270"/>
    <w:bookmarkEnd w:id="26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Farnam Jahanian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Farnam Jahanian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70" w:name="page271"/>
    <w:bookmarkEnd w:id="27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U&amp;L Holdings, LLC</w:t>
      </w:r>
    </w:p>
    <w:p>
      <w:pPr>
        <w:spacing w:after="0" w:line="225"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Lorenzo Lamadrid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Lorenzo Lamadrid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66" w:right="1440" w:bottom="1440" w:gutter="0" w:footer="0" w:header="0"/>
        </w:sectPr>
      </w:pPr>
    </w:p>
    <w:bookmarkStart w:id="271" w:name="page272"/>
    <w:bookmarkEnd w:id="271"/>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right"/>
        <w:ind w:right="3619"/>
        <w:spacing w:after="0"/>
        <w:rPr>
          <w:sz w:val="20"/>
          <w:szCs w:val="20"/>
          <w:color w:val="auto"/>
        </w:rPr>
      </w:pPr>
      <w:r>
        <w:rPr>
          <w:rFonts w:ascii="Times New Roman" w:cs="Times New Roman" w:eastAsia="Times New Roman" w:hAnsi="Times New Roman"/>
          <w:sz w:val="18"/>
          <w:szCs w:val="18"/>
          <w:b w:val="1"/>
          <w:bCs w:val="1"/>
          <w:color w:val="auto"/>
        </w:rPr>
        <w:t>SECURITYHOLDERS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Farnam Jahanian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U&amp;L Holdings, LLC</w:t>
      </w:r>
    </w:p>
    <w:p>
      <w:pPr>
        <w:sectPr>
          <w:pgSz w:w="11900" w:h="16838" w:orient="portrait"/>
          <w:cols w:equalWidth="0" w:num="1">
            <w:col w:w="10019"/>
          </w:cols>
          <w:pgMar w:left="440" w:top="266" w:right="1440"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SECURED PROMISSORY NOTE AND PLEDGE AGREEMENT</w:t>
      </w:r>
    </w:p>
    <w:p>
      <w:pPr>
        <w:spacing w:after="0" w:line="229" w:lineRule="exact"/>
        <w:rPr>
          <w:sz w:val="20"/>
          <w:szCs w:val="20"/>
          <w:color w:val="auto"/>
        </w:rPr>
      </w:pPr>
    </w:p>
    <w:p>
      <w:pPr>
        <w:ind w:left="4" w:right="440"/>
        <w:spacing w:after="0" w:line="266" w:lineRule="auto"/>
        <w:rPr>
          <w:sz w:val="20"/>
          <w:szCs w:val="20"/>
          <w:color w:val="auto"/>
        </w:rPr>
      </w:pPr>
      <w:r>
        <w:rPr>
          <w:rFonts w:ascii="Times New Roman" w:cs="Times New Roman" w:eastAsia="Times New Roman" w:hAnsi="Times New Roman"/>
          <w:sz w:val="18"/>
          <w:szCs w:val="18"/>
          <w:color w:val="auto"/>
        </w:rPr>
        <w:t>THIS SECURED PROMISSORY NOTE AND PLEDGE AGREEMENT HAS NOT BEEN REGISTERED UNDER THE SECURITIES ACT OF 1933, AS AMENDED. IT MAY NOT BE SOLD OR TRANSFERRED IN THE ABSENCE OF REGISTRATION OR AN EXEMPTION THEREFROM UNDER SAID ACT.</w:t>
      </w:r>
    </w:p>
    <w:p>
      <w:pPr>
        <w:spacing w:after="0" w:line="324" w:lineRule="exact"/>
        <w:rPr>
          <w:sz w:val="20"/>
          <w:szCs w:val="20"/>
          <w:color w:val="auto"/>
        </w:rPr>
      </w:pPr>
    </w:p>
    <w:p>
      <w:pPr>
        <w:ind w:left="4"/>
        <w:spacing w:after="0"/>
        <w:tabs>
          <w:tab w:leader="none" w:pos="9764" w:val="left"/>
        </w:tabs>
        <w:rPr>
          <w:sz w:val="20"/>
          <w:szCs w:val="20"/>
          <w:color w:val="auto"/>
        </w:rPr>
      </w:pPr>
      <w:r>
        <w:rPr>
          <w:rFonts w:ascii="Times New Roman" w:cs="Times New Roman" w:eastAsia="Times New Roman" w:hAnsi="Times New Roman"/>
          <w:sz w:val="18"/>
          <w:szCs w:val="18"/>
          <w:color w:val="auto"/>
        </w:rPr>
        <w:t>$8,753,744.21</w:t>
      </w:r>
      <w:r>
        <w:rPr>
          <w:sz w:val="20"/>
          <w:szCs w:val="20"/>
          <w:color w:val="auto"/>
        </w:rPr>
        <w:tab/>
      </w:r>
      <w:r>
        <w:rPr>
          <w:rFonts w:ascii="Times New Roman" w:cs="Times New Roman" w:eastAsia="Times New Roman" w:hAnsi="Times New Roman"/>
          <w:sz w:val="18"/>
          <w:szCs w:val="18"/>
          <w:color w:val="auto"/>
        </w:rPr>
        <w:t>January 13, 2025</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FOR VALUE RECEIVED, BurTech LP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unconditionally promises to pay as set out hereunder, on behalf of, and if required hereunder in the case of an Event of Default (as defined below), to, Burtech Acquisition Corp., a Delaware corporation, or its successors and permitted assigns (including Blaize Holdings, Inc. following Closing (as defined herein)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 principal amount of Eight Million Seven Hundred Fifty-Three Thousand Seven Hundred Forty-Four and 21/100 Dollars ($8,753,744.21), upon the terms and conditions set forth in this Secured Promissory Note and Pledge Agreement (as may be amended, modified or supplemented from time to time,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424" w:hanging="424"/>
        <w:spacing w:after="0"/>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Acquiror and Company Transaction Expenses; Note Amount; Payments and Reductions.</w:t>
      </w:r>
    </w:p>
    <w:p>
      <w:pPr>
        <w:spacing w:after="0" w:line="117" w:lineRule="exact"/>
        <w:rPr>
          <w:rFonts w:ascii="Times New Roman" w:cs="Times New Roman" w:eastAsia="Times New Roman" w:hAnsi="Times New Roman"/>
          <w:sz w:val="18"/>
          <w:szCs w:val="18"/>
          <w:color w:val="auto"/>
        </w:rPr>
      </w:pPr>
    </w:p>
    <w:p>
      <w:pPr>
        <w:ind w:left="4" w:right="40" w:firstLine="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 This Note is issued pursuant to the agreement of the Lender and the Borrower in connection with certain obligations set out in the Agreement and Plan of Merger, dated as of December 22, 2023, by and among Lender, BurTech Merger Sub Inc., a Delaware corporation and a wholly owned subsidiary of Lender,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for the limited purposes set forth therein, Burkhan Capital LLC, a Delaware limited liability company (as amended on April 22, 2024, October 24, 2024 and November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such that notwithstanding Section 11.6 of the Merger Agreement, the Borrower and the Lender,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have agreed under that certain Letter Agreement dated December 31, 2024 (the “</w:t>
      </w:r>
      <w:r>
        <w:rPr>
          <w:rFonts w:ascii="Times New Roman" w:cs="Times New Roman" w:eastAsia="Times New Roman" w:hAnsi="Times New Roman"/>
          <w:sz w:val="18"/>
          <w:szCs w:val="18"/>
          <w:u w:val="single" w:color="auto"/>
          <w:color w:val="auto"/>
        </w:rPr>
        <w:t>Dec 31 Letter Agreement</w:t>
      </w:r>
      <w:r>
        <w:rPr>
          <w:rFonts w:ascii="Times New Roman" w:cs="Times New Roman" w:eastAsia="Times New Roman" w:hAnsi="Times New Roman"/>
          <w:sz w:val="18"/>
          <w:szCs w:val="18"/>
          <w:color w:val="auto"/>
        </w:rPr>
        <w:t>”), that certain Acquiror Transaction Expenses and Company Transaction Expenses (each as defined in the Merger Agreement) payable at Closing (as defined in the Merger Agreement) by the Lender as set forth in Exhibit A attached to the Dec 31 Letter Agreement will instead become the responsibility of, and payable by, the Borrower (the “</w:t>
      </w:r>
      <w:r>
        <w:rPr>
          <w:rFonts w:ascii="Times New Roman" w:cs="Times New Roman" w:eastAsia="Times New Roman" w:hAnsi="Times New Roman"/>
          <w:sz w:val="18"/>
          <w:szCs w:val="18"/>
          <w:u w:val="single" w:color="auto"/>
          <w:color w:val="auto"/>
        </w:rPr>
        <w:t>Covered Expenses</w:t>
      </w:r>
      <w:r>
        <w:rPr>
          <w:rFonts w:ascii="Times New Roman" w:cs="Times New Roman" w:eastAsia="Times New Roman" w:hAnsi="Times New Roman"/>
          <w:sz w:val="18"/>
          <w:szCs w:val="18"/>
          <w:color w:val="auto"/>
        </w:rPr>
        <w:t xml:space="preserve">”). Certain of the Covered Expenses shall be paid via liquidation of the Trust Account (as defined in the Merger Agreement) and disbursement of the amounts therein on or about Closing to certain payees, with the balance of the Covered Expenses after such payments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Remaining Covered Expenses</w:t>
      </w:r>
      <w:r>
        <w:rPr>
          <w:rFonts w:ascii="Times New Roman" w:cs="Times New Roman" w:eastAsia="Times New Roman" w:hAnsi="Times New Roman"/>
          <w:sz w:val="18"/>
          <w:szCs w:val="18"/>
          <w:color w:val="auto"/>
        </w:rPr>
        <w:t>”) immediately across from the name of the applicable payee (each a ”</w:t>
      </w:r>
      <w:r>
        <w:rPr>
          <w:rFonts w:ascii="Times New Roman" w:cs="Times New Roman" w:eastAsia="Times New Roman" w:hAnsi="Times New Roman"/>
          <w:sz w:val="18"/>
          <w:szCs w:val="18"/>
          <w:u w:val="single" w:color="auto"/>
          <w:color w:val="auto"/>
        </w:rPr>
        <w:t>Payee</w:t>
      </w:r>
      <w:r>
        <w:rPr>
          <w:rFonts w:ascii="Times New Roman" w:cs="Times New Roman" w:eastAsia="Times New Roman" w:hAnsi="Times New Roman"/>
          <w:sz w:val="18"/>
          <w:szCs w:val="18"/>
          <w:color w:val="auto"/>
        </w:rPr>
        <w:t>”). The principal amount of Eight Million Seven Hundred Fifty- Three Thousand Seven Hundred Forty-Four and 21/100 Dollars ($8,753,744.21) due under this Note reflects the aggregate amount of the Remaining Covered Expenses.</w:t>
      </w:r>
    </w:p>
    <w:p>
      <w:pPr>
        <w:spacing w:after="0" w:line="79"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6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Borrower or an affiliate of Borrower pays to Payee(s) any amount with respect to applicable Remaining Covered Expenses, the Borrower shall promptly notify the Lender in writing of the same and attach to such notice evidence of the successful transfer of the relevant amounts via wire transfer or ACH to the account of such Payee(s) (each such paid amount being a “</w:t>
      </w:r>
      <w:r>
        <w:rPr>
          <w:rFonts w:ascii="Times New Roman" w:cs="Times New Roman" w:eastAsia="Times New Roman" w:hAnsi="Times New Roman"/>
          <w:sz w:val="18"/>
          <w:szCs w:val="18"/>
          <w:u w:val="single" w:color="auto"/>
          <w:color w:val="auto"/>
        </w:rPr>
        <w:t>Borrower Paid Covered Expenses</w:t>
      </w:r>
      <w:r>
        <w:rPr>
          <w:rFonts w:ascii="Times New Roman" w:cs="Times New Roman" w:eastAsia="Times New Roman" w:hAnsi="Times New Roman"/>
          <w:sz w:val="18"/>
          <w:szCs w:val="18"/>
          <w:color w:val="auto"/>
        </w:rPr>
        <w:t>”), and the principal amount of this Note shall automatically be reduced by the amount of such Borrower Paid Covered Expenses with no further signature or action required by the Borrower or the Lender and shall deliver such Amended Note to the Borrower.</w:t>
      </w:r>
    </w:p>
    <w:p>
      <w:pPr>
        <w:sectPr>
          <w:pgSz w:w="11900" w:h="16838" w:orient="portrait"/>
          <w:cols w:equalWidth="0" w:num="1">
            <w:col w:w="11024"/>
          </w:cols>
          <w:pgMar w:left="436" w:top="117" w:right="439" w:bottom="1440" w:gutter="0" w:footer="0" w:header="0"/>
        </w:sectPr>
      </w:pPr>
    </w:p>
    <w:bookmarkStart w:id="273" w:name="page274"/>
    <w:bookmarkEnd w:id="273"/>
    <w:p>
      <w:pPr>
        <w:ind w:left="4" w:right="20" w:firstLine="987"/>
        <w:spacing w:after="0" w:line="267" w:lineRule="auto"/>
        <w:tabs>
          <w:tab w:leader="none" w:pos="1310" w:val="left"/>
        </w:tabs>
        <w:numPr>
          <w:ilvl w:val="2"/>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Payee (other than Lender) demands payment from Lender on or after the Closing but prior to the Expense Payment Deadline (as defined below), the Borrower and the Lender shall each use commercially reasonable best efforts to cause Payee to agree to a reduction in the amount due to it with respected to the Remaining Covered Expenses applicable to such Payee and an extension of the timeline for payment of such amount or reduced amount (as applicable). For the avoidance of doubt, if such Payee agrees to a reduction in the amount of such applicable Remaining Covered Expenses as evidenced in a writing signed by such Payee and delivered to Lender, then Section 1(a)(iv) shall apply and this Note shall be amended and restated to reflect such reduced amount with no further signature or action required by the Borrower or the Lender. If following the completion of such efforts by the Borrower and Lender, Lender or an affiliate of Lender is required to pay to such Payee such Remaining Covered Expenses prior to the Expense Payment Deadline for any reason, including, but not limited to, a failure of the Borrower to pay such Remaining Covered Expenses to the Payee at the time they become due pursuant to any engagement letter or other agreement (including as set forth above in this Section 1(a)(iii)) between the Borrower and such Payee (such payment, a “</w:t>
      </w:r>
      <w:r>
        <w:rPr>
          <w:rFonts w:ascii="Times New Roman" w:cs="Times New Roman" w:eastAsia="Times New Roman" w:hAnsi="Times New Roman"/>
          <w:sz w:val="17"/>
          <w:szCs w:val="17"/>
          <w:u w:val="single" w:color="auto"/>
          <w:color w:val="auto"/>
        </w:rPr>
        <w:t>Paid Remaining Covered Expense</w:t>
      </w:r>
      <w:r>
        <w:rPr>
          <w:rFonts w:ascii="Times New Roman" w:cs="Times New Roman" w:eastAsia="Times New Roman" w:hAnsi="Times New Roman"/>
          <w:sz w:val="17"/>
          <w:szCs w:val="17"/>
          <w:color w:val="auto"/>
        </w:rPr>
        <w:t>”), Borrower shall have ninety</w:t>
      </w:r>
    </w:p>
    <w:p>
      <w:pPr>
        <w:spacing w:after="0" w:line="3" w:lineRule="exact"/>
        <w:rPr>
          <w:rFonts w:ascii="Times New Roman" w:cs="Times New Roman" w:eastAsia="Times New Roman" w:hAnsi="Times New Roman"/>
          <w:sz w:val="17"/>
          <w:szCs w:val="17"/>
          <w:color w:val="auto"/>
        </w:rPr>
      </w:pPr>
    </w:p>
    <w:p>
      <w:pPr>
        <w:ind w:left="4" w:right="180" w:hanging="4"/>
        <w:spacing w:after="0" w:line="252" w:lineRule="auto"/>
        <w:tabs>
          <w:tab w:leader="none" w:pos="34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date on which payment of such Paid Remaining Covered Expense is made by Lender or its affiliate to such Payee (the last day of such ninety (90) day period being the “</w:t>
      </w:r>
      <w:r>
        <w:rPr>
          <w:rFonts w:ascii="Times New Roman" w:cs="Times New Roman" w:eastAsia="Times New Roman" w:hAnsi="Times New Roman"/>
          <w:sz w:val="18"/>
          <w:szCs w:val="18"/>
          <w:u w:val="single" w:color="auto"/>
          <w:color w:val="auto"/>
        </w:rPr>
        <w:t>Lender Payment Reimbursement Date</w:t>
      </w:r>
      <w:r>
        <w:rPr>
          <w:rFonts w:ascii="Times New Roman" w:cs="Times New Roman" w:eastAsia="Times New Roman" w:hAnsi="Times New Roman"/>
          <w:sz w:val="18"/>
          <w:szCs w:val="18"/>
          <w:color w:val="auto"/>
        </w:rPr>
        <w:t>”) to reimburse Lender in immediately available cash in full the amount of such Paid Remaining Covered Expense. Following payment by the Borrower of any reimbursement to Lender pursuant to this Section 1(a) (iii), the amount of such reimbursement shall constitute a Borrower Paid Covered Expense for purposes of this Note, and the principal amount of this Note shall automatically be reduced by the amount of the reimbursement received by Lender with no further signature or action required by the Borrower or the Lender.</w:t>
      </w:r>
    </w:p>
    <w:p>
      <w:pPr>
        <w:spacing w:after="0" w:line="81"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30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Payees agrees to a reduction in the amount due to it with respect to the Remaining Covered Expenses, as evidenced in a writing signed by the applicable Payee and delivered by the Borrower to the Lender (each a “</w:t>
      </w:r>
      <w:r>
        <w:rPr>
          <w:rFonts w:ascii="Times New Roman" w:cs="Times New Roman" w:eastAsia="Times New Roman" w:hAnsi="Times New Roman"/>
          <w:sz w:val="18"/>
          <w:szCs w:val="18"/>
          <w:u w:val="single" w:color="auto"/>
          <w:color w:val="auto"/>
        </w:rPr>
        <w:t>Reduced Payment Amount</w:t>
      </w:r>
      <w:r>
        <w:rPr>
          <w:rFonts w:ascii="Times New Roman" w:cs="Times New Roman" w:eastAsia="Times New Roman" w:hAnsi="Times New Roman"/>
          <w:sz w:val="18"/>
          <w:szCs w:val="18"/>
          <w:color w:val="auto"/>
        </w:rPr>
        <w:t>”), then the Lender shall amend and restate this Note (an “</w:t>
      </w:r>
      <w:r>
        <w:rPr>
          <w:rFonts w:ascii="Times New Roman" w:cs="Times New Roman" w:eastAsia="Times New Roman" w:hAnsi="Times New Roman"/>
          <w:sz w:val="18"/>
          <w:szCs w:val="18"/>
          <w:u w:val="single" w:color="auto"/>
          <w:color w:val="auto"/>
        </w:rPr>
        <w:t>Amended Note</w:t>
      </w:r>
      <w:r>
        <w:rPr>
          <w:rFonts w:ascii="Times New Roman" w:cs="Times New Roman" w:eastAsia="Times New Roman" w:hAnsi="Times New Roman"/>
          <w:sz w:val="18"/>
          <w:szCs w:val="18"/>
          <w:color w:val="auto"/>
        </w:rPr>
        <w:t>”) to bear a reduced principal amount taking into account such Reduced Payment Amount with no further signature or action required by the Borrower or the Lender and shall deliver such Amended Note to the Borrower.</w:t>
      </w:r>
    </w:p>
    <w:p>
      <w:pPr>
        <w:spacing w:after="0" w:line="71" w:lineRule="exact"/>
        <w:rPr>
          <w:rFonts w:ascii="Times New Roman" w:cs="Times New Roman" w:eastAsia="Times New Roman" w:hAnsi="Times New Roman"/>
          <w:sz w:val="18"/>
          <w:szCs w:val="18"/>
          <w:color w:val="auto"/>
        </w:rPr>
      </w:pPr>
    </w:p>
    <w:p>
      <w:pPr>
        <w:jc w:val="both"/>
        <w:ind w:left="4" w:right="40" w:firstLine="987"/>
        <w:spacing w:after="0" w:line="261" w:lineRule="auto"/>
        <w:tabs>
          <w:tab w:leader="none" w:pos="125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certainty, all of the Borrower and the Lender’s rights, obligations, covenants, representations and warranties contained in this Note shall remain unchanged and shall remain in full force and effect under an Amended Note which shall only amend this Note pursuant to this Section 1(a) to reflect Reduced Payment Amounts;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other terms in an Amended Note that deviate from those contained in this Note shall be null and void unless such Amended Note is executed by both the Borrower and the Lender.</w:t>
      </w:r>
    </w:p>
    <w:p>
      <w:pPr>
        <w:spacing w:after="0" w:line="71" w:lineRule="exact"/>
        <w:rPr>
          <w:rFonts w:ascii="Times New Roman" w:cs="Times New Roman" w:eastAsia="Times New Roman" w:hAnsi="Times New Roman"/>
          <w:sz w:val="18"/>
          <w:szCs w:val="18"/>
          <w:color w:val="auto"/>
        </w:rPr>
      </w:pPr>
    </w:p>
    <w:p>
      <w:pPr>
        <w:ind w:left="4" w:firstLine="436"/>
        <w:spacing w:after="0" w:line="261" w:lineRule="auto"/>
        <w:tabs>
          <w:tab w:leader="none" w:pos="62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to pay to the Lender, beginning on the Maturity Date, interest at a rate equal to 7% per annum with annual compounding, compounded on December 31 of each year this Note remains outstanding, regarding the remaining principal amount of the Note as at the Maturity Date, until such remaining principal amount is paid. Interest will be computed on the basis of a 365-day or 366-day year, as appropriate, for the actual days elapsed.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274" w:name="page275"/>
    <w:bookmarkEnd w:id="274"/>
    <w:p>
      <w:pPr>
        <w:ind w:left="444" w:right="100"/>
        <w:spacing w:after="0" w:line="34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Any remaining obligations under this Note shall be due and payable in full upon an Event of Default (as defined below) (the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d. All payments received by the Lender hereunder in the case of an Event of Default will be applied: (i) first, to the cost of collection of any</w:t>
      </w:r>
    </w:p>
    <w:p>
      <w:pPr>
        <w:spacing w:after="0" w:line="1" w:lineRule="exact"/>
        <w:rPr>
          <w:sz w:val="20"/>
          <w:szCs w:val="20"/>
          <w:color w:val="auto"/>
        </w:rPr>
      </w:pPr>
    </w:p>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t>amounts due under this Note, or any other reasonable fees and reasonable expenses of Lender incurred in connection with the collection or enforcement of this Note, (ii) next, to accrued but unpaid interest with respect to this Note; and (iii) thereafter, the balance to principal of this Note. All payments due and payable hereunder shall be made free and clear of any taxes, encumbrances or offsets and the Borrower hereby waives all right under law to set off any amounts owed hereunder. Amounts borrowed and repaid may not be reborrowed.</w:t>
      </w:r>
    </w:p>
    <w:p>
      <w:pPr>
        <w:spacing w:after="0" w:line="337" w:lineRule="exact"/>
        <w:rPr>
          <w:sz w:val="20"/>
          <w:szCs w:val="20"/>
          <w:color w:val="auto"/>
        </w:rPr>
      </w:pPr>
    </w:p>
    <w:p>
      <w:pPr>
        <w:ind w:left="424" w:hanging="424"/>
        <w:spacing w:after="0"/>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New Blaize Share Issuances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1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holds 2,000,000 shares of Class A Common Stock, par value $0.0001 per share, of the Lender, which will become shares of Common Stock, par value $0.0001 per share (“</w:t>
      </w:r>
      <w:r>
        <w:rPr>
          <w:rFonts w:ascii="Times New Roman" w:cs="Times New Roman" w:eastAsia="Times New Roman" w:hAnsi="Times New Roman"/>
          <w:sz w:val="18"/>
          <w:szCs w:val="18"/>
          <w:u w:val="single" w:color="auto"/>
          <w:color w:val="auto"/>
        </w:rPr>
        <w:t>New Blaize Shares</w:t>
      </w:r>
      <w:r>
        <w:rPr>
          <w:rFonts w:ascii="Times New Roman" w:cs="Times New Roman" w:eastAsia="Times New Roman" w:hAnsi="Times New Roman"/>
          <w:sz w:val="18"/>
          <w:szCs w:val="18"/>
          <w:color w:val="auto"/>
        </w:rPr>
        <w:t>”), of Blaize Holdings, Inc. (“</w:t>
      </w:r>
      <w:r>
        <w:rPr>
          <w:rFonts w:ascii="Times New Roman" w:cs="Times New Roman" w:eastAsia="Times New Roman" w:hAnsi="Times New Roman"/>
          <w:sz w:val="18"/>
          <w:szCs w:val="18"/>
          <w:u w:val="single" w:color="auto"/>
          <w:color w:val="auto"/>
        </w:rPr>
        <w:t>New Blaize</w:t>
      </w:r>
      <w:r>
        <w:rPr>
          <w:rFonts w:ascii="Times New Roman" w:cs="Times New Roman" w:eastAsia="Times New Roman" w:hAnsi="Times New Roman"/>
          <w:sz w:val="18"/>
          <w:szCs w:val="18"/>
          <w:color w:val="auto"/>
        </w:rPr>
        <w:t>”) in connection with the Closing (the “</w:t>
      </w:r>
      <w:r>
        <w:rPr>
          <w:rFonts w:ascii="Times New Roman" w:cs="Times New Roman" w:eastAsia="Times New Roman" w:hAnsi="Times New Roman"/>
          <w:sz w:val="18"/>
          <w:szCs w:val="18"/>
          <w:u w:val="single" w:color="auto"/>
          <w:color w:val="auto"/>
        </w:rPr>
        <w:t>Designated Shares</w:t>
      </w:r>
      <w:r>
        <w:rPr>
          <w:rFonts w:ascii="Times New Roman" w:cs="Times New Roman" w:eastAsia="Times New Roman" w:hAnsi="Times New Roman"/>
          <w:sz w:val="18"/>
          <w:szCs w:val="18"/>
          <w:color w:val="auto"/>
        </w:rPr>
        <w:t>”). The Borrower hereby pledges to the Lender, and grants to the Lender a first priority security interest in and continuing lien on all of the Borrower’s right, title and interest in, to and under the Designated Shares held directly or indirectly by the Borrower, together with all dividends, distributions, interest, profits, premiums, income, proceeds and products of and from any and all of the foregoing (collectively, the “</w:t>
      </w:r>
      <w:r>
        <w:rPr>
          <w:rFonts w:ascii="Times New Roman" w:cs="Times New Roman" w:eastAsia="Times New Roman" w:hAnsi="Times New Roman"/>
          <w:sz w:val="18"/>
          <w:szCs w:val="18"/>
          <w:u w:val="single" w:color="auto"/>
          <w:color w:val="auto"/>
        </w:rPr>
        <w:t>Pledged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and the acceptance of the Pledged Collateral for purposes of this Note, will be deemed to waive any transfer restrictions that may cover the Pledged Collateral pursuant to that certain Letter Agreement, dated December 10, 2021 by and among the Lender, the Borrower and its officers and directors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xml:space="preserve">”). For the avoidance of doubt, until such time as the Lender exercises its rights with respect to the Pledged Collateral, all economic burdens and benefits of ownership with respect to the Pledged Collateral, including any such aforementioned transfer restrictions, the right to appreciation, the risk of loss and the right to receive dividends, are retained by the Borrower, but shall be subject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w:t>
      </w:r>
    </w:p>
    <w:p>
      <w:pPr>
        <w:spacing w:after="0" w:line="86" w:lineRule="exact"/>
        <w:rPr>
          <w:rFonts w:ascii="Times New Roman" w:cs="Times New Roman" w:eastAsia="Times New Roman" w:hAnsi="Times New Roman"/>
          <w:sz w:val="18"/>
          <w:szCs w:val="18"/>
          <w:color w:val="auto"/>
        </w:rPr>
      </w:pPr>
    </w:p>
    <w:p>
      <w:pPr>
        <w:ind w:left="4" w:firstLine="436"/>
        <w:spacing w:after="0" w:line="282" w:lineRule="auto"/>
        <w:tabs>
          <w:tab w:leader="none" w:pos="62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secures, and the Pledged Collateral is security for the prompt payment in full when due, whether at stated maturity, by acceleration or otherwise, and performance of all obligations of the Borrower of any kind under or in connection with this Note.</w:t>
      </w:r>
    </w:p>
    <w:p>
      <w:pPr>
        <w:spacing w:after="0" w:line="53"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1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certificates evidencing the Pledged Collateral shall be delivered to and held by or on behalf of the Lender. All Pledged Collateral so delivered shall be accompanied by duly executed instruments of transfer or assignment in blank, and in form and substance satisfactory to the Lender. If any of the Pledged Collateral constitutes an uncertificated security (as defined in the Uniform Commercial Code), the Borrower shall cause the issuer thereof to agree in writing with the Borrower and the Lender that such issuer will comply with instructions originated by the Lender without further consent of the Borrower, such agreement to be in form and substance reasonably satisfactory to Lender. If any of the Pledged Collateral is currently not certificated but later becomes certificated, the Borrower shall immediately deliver to the Lender all such certificates evidencing the Pledged Collateral, together with by duly executed instruments of transfer or assignment in blank, and in form and substance reasonably satisfactory to the Lender.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275" w:name="page276"/>
    <w:bookmarkEnd w:id="27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This Note shall create a continuing security interest in the Pledged Collateral and shall remain in full force and effect until the satisfaction of all obligations under this Note. Upon the earlier of (i) Borrower’s payment of all Remaining Covered Expenses (as reduced from time to time by any Reduced Payment Amounts) to the Payees and delivery of a written notice to the Lender confirming the same (collectively, the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and (ii) satisfaction of all obligations under this Note, the security interest granted hereby shall automatically terminate hereunder and all rights to the Pledged Collateral shall revert to the Borrower.</w:t>
      </w:r>
    </w:p>
    <w:p>
      <w:pPr>
        <w:spacing w:after="0" w:line="7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e. Pursuant to the Dec 31 Letter Agreement, promptly following the execution of this Note and at Closing, in consideration for its entry into this Note, the Lender shall issue to the Borrower 750,000 shares of Common Stock, par value $0.0001 per share of New Blaize, as further described in the Dec 31 Letter Agreement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 The Borrower agrees, from time to time and at its expense, that it shall promptly execute and deliver and file or cause to be filed of record all financing statements, amendments thereto or other further instruments and documents, and take all further action, that may be reasonably necessary, or that the Lender may reasonably request, in order to create and/or maintain the validity, perfection or priority of and protect any security interest granted or purported to be granted hereby or to enable the Lender to exercise and enforce its rights and remedies hereunder with respect to the Pledged Collateral. Should the Borrower fail to do so, the Lender is authorized to file or cause to be filed, and if applicable sign any such financing statements or other documents as the Borrower’s agent to the extent permitted by law and to advance such reasonable costs related thereto, the payment of which shall be secured by the lien created by this Note. The Borrower further agrees that a photocopy or other reproduction of this Note or of a financing statement is sufficient as a financing statement. Borrower represents and warrants that its exact legal name and principal residence are as set forth on the signature pages hereto. The Borrower agrees that it shall not change its legal name or principal residence except upon prior written notice thereof to Lender, and shall file or cause to be filed of record all financing statements or amendments thereto as may be reasonably necessary to maintain the validity, perfection and priority of the security interest granted hereby as a result of such change.</w:t>
      </w:r>
    </w:p>
    <w:p>
      <w:pPr>
        <w:spacing w:after="0" w:line="8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g. The Borrower agrees not to: (i) directly or indirectly (whether by act, omission, or operation of law), Transfer any of the Pledged Collateral (other than the pledge pursuant to this Note); (ii) create or permit to exist any pledge upon or with respect to any of the Pledged Collateral except pursuant to this Note; (iii) create, incur, assume or suffer to exist any indebtedness or liability that is secured by the Pledged Collateral; or (iv) enter into any other contractual obligations which may restrict or inhibit the Lender’s rights or ability to sell or otherwise dispose of the Pledged Collateral or any part thereof.</w:t>
      </w:r>
    </w:p>
    <w:p>
      <w:pPr>
        <w:spacing w:after="0" w:line="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h. The Borrower hereby appoints the Lender as the Borrower’s attorney-in-fact effective upon the occurrence and during the continuance of an Event of Default, with full authority in the place and stead of the Borrower and in the name of the Borrower or otherwise, from time to time in the Lender’s discretion to take any action and to execute any instrument which the Lender may deem necessary or advisable to accomplish the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without limitation, to receive, indorse and collect all instruments made payable to the Borrower representing any distribution in respect of the Pledged Collateral or any part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76" w:name="page277"/>
    <w:bookmarkEnd w:id="276"/>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Lender shall have the right, at any time in its discretion following the occurrence of an Event of Default, to transfer to or to register in the name of the Lender or any of its nominees any or all of the Pledged Collateral, including by instruction to the Lender’s transfer agent, without further action or consent by, or notice to, the Borrower.</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Borrower represents and warrants as follows:</w:t>
      </w:r>
    </w:p>
    <w:p>
      <w:pPr>
        <w:spacing w:after="0" w:line="131" w:lineRule="exact"/>
        <w:rPr>
          <w:sz w:val="20"/>
          <w:szCs w:val="20"/>
          <w:color w:val="auto"/>
        </w:rPr>
      </w:pPr>
    </w:p>
    <w:p>
      <w:pPr>
        <w:ind w:left="1420" w:hanging="439"/>
        <w:spacing w:after="0"/>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sole record and beneficial owner of, and possesses legal title to, the Pledged Collateral.</w:t>
      </w:r>
    </w:p>
    <w:p>
      <w:pPr>
        <w:spacing w:after="0" w:line="130" w:lineRule="exact"/>
        <w:rPr>
          <w:rFonts w:ascii="Times New Roman" w:cs="Times New Roman" w:eastAsia="Times New Roman" w:hAnsi="Times New Roman"/>
          <w:sz w:val="18"/>
          <w:szCs w:val="18"/>
          <w:color w:val="auto"/>
        </w:rPr>
      </w:pPr>
    </w:p>
    <w:p>
      <w:pPr>
        <w:ind w:left="1420" w:right="480" w:hanging="439"/>
        <w:spacing w:after="0" w:line="312" w:lineRule="auto"/>
        <w:tabs>
          <w:tab w:leader="none" w:pos="142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this Note, the Lender has a valid and perfected first priority security interest in the Pledged Collateral, securing the payment of the principal of and the interest on the Note and the performance of Borrower’s obligations pursuant to this Note.</w:t>
      </w:r>
    </w:p>
    <w:p>
      <w:pPr>
        <w:spacing w:after="0" w:line="45" w:lineRule="exact"/>
        <w:rPr>
          <w:rFonts w:ascii="Times New Roman" w:cs="Times New Roman" w:eastAsia="Times New Roman" w:hAnsi="Times New Roman"/>
          <w:sz w:val="17"/>
          <w:szCs w:val="17"/>
          <w:color w:val="auto"/>
        </w:rPr>
      </w:pPr>
    </w:p>
    <w:p>
      <w:pPr>
        <w:ind w:left="1420" w:right="20" w:hanging="439"/>
        <w:spacing w:after="0" w:line="258" w:lineRule="auto"/>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any other party (including, without limitation, any creditor of the Borrower) and no governmental approval is required either (i) for the pledge by the Borrower of the Pledged Collateral pursuant to this Note or for the execution, delivery or performance of this Note by Borrower or (ii) for the exercise by the Lender of the voting or other rights provided for in this Note or the remedies in respect of the Pledged Collateral pursuant to this Note (except as may be required in connection with such disposition by laws affecting the offering and sale of securities generally).</w:t>
      </w:r>
    </w:p>
    <w:p>
      <w:pPr>
        <w:spacing w:after="0" w:line="88"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Collateral is free of all other encumbrances, liens, security interests or defenses other than pursuant to this Note, or as the Lender or its affiliates may have otherwise placed or caused to be placed on the Pledged Collateral, and Borrower will not further encumber the Pledged Collateral without the prior written consent of Lender.</w:t>
      </w:r>
    </w:p>
    <w:p>
      <w:pPr>
        <w:spacing w:after="0" w:line="81"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pay the principal sum of the Note, together with accrued interest (if applicable), at the times and in the manners provided in this Note.</w:t>
      </w:r>
    </w:p>
    <w:p>
      <w:pPr>
        <w:spacing w:after="0" w:line="67" w:lineRule="exact"/>
        <w:rPr>
          <w:rFonts w:ascii="Times New Roman" w:cs="Times New Roman" w:eastAsia="Times New Roman" w:hAnsi="Times New Roman"/>
          <w:sz w:val="18"/>
          <w:szCs w:val="18"/>
          <w:color w:val="auto"/>
        </w:rPr>
      </w:pPr>
    </w:p>
    <w:p>
      <w:pPr>
        <w:ind w:left="1420" w:right="380" w:hanging="439"/>
        <w:spacing w:after="0" w:line="282" w:lineRule="auto"/>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as of the date any property becomes Pledged Collateral, the foregoing representations and warranties shall apply to such additional Pledged Collateral.</w:t>
      </w:r>
    </w:p>
    <w:p>
      <w:pPr>
        <w:spacing w:after="0" w:line="6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has been duly authorized, validly executed and delivered by the Borrower. Assuming the due authorization, execution and delivery of the same by the Lender, this Note shall constitute the valid and legally binding obligation of the Borrower, enforceable against the Borrower in accordance with its terms, except as such enforceability may be limited by bankruptcy, insolvency, reorganization, moratorium and similar laws affecting creditors generally and by the availability of equitable remedies.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77" w:name="page278"/>
    <w:bookmarkEnd w:id="277"/>
    <w:p>
      <w:pPr>
        <w:ind w:left="439" w:hanging="439"/>
        <w:spacing w:after="0" w:line="253" w:lineRule="auto"/>
        <w:tabs>
          <w:tab w:leader="none" w:pos="43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(i) is a “qualified institutional buyer” (as defined in Rule 144A under the Securities Act), an institutional “accredited investor” (within the meaning of Rule 501(a)(1), (2), (3), or (7) under the Securities Act), or an “accredited investor” (within the meaning of Rule 501(a) under the Securities Act) satisfying the applicable requirements, (ii) is acquiring the Subscribed Shares only for its own account and not for the account of others, or if Borrower is subscribing for the Subscribed Shares as a fiduciary or agent for one or more investor accounts, each owner of such account is a “qualified institutional buyer” (as defined in Rule 144A under the Securities Act) or an “accredited investor” (within the meaning of Rule 501(a) under the Securities Act) and Borrower has sole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Borrower is not an entity formed for the specific purpose of acquiring the Subscribed Shares.</w:t>
      </w:r>
    </w:p>
    <w:p>
      <w:pPr>
        <w:spacing w:after="0" w:line="99" w:lineRule="exact"/>
        <w:rPr>
          <w:rFonts w:ascii="Times New Roman" w:cs="Times New Roman" w:eastAsia="Times New Roman" w:hAnsi="Times New Roman"/>
          <w:sz w:val="18"/>
          <w:szCs w:val="18"/>
          <w:color w:val="auto"/>
        </w:rPr>
      </w:pPr>
    </w:p>
    <w:p>
      <w:pPr>
        <w:ind w:left="439" w:right="60" w:hanging="439"/>
        <w:spacing w:after="0" w:line="270" w:lineRule="auto"/>
        <w:tabs>
          <w:tab w:leader="none" w:pos="439"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acknowledges and agrees that the Subscribed Shares are being offered in a transaction not involving any public offering within the meaning of the Securities Act and that the Subscribed Shares have not been registered under the Securities Act. Borrower acknowledges and agrees that the Subscribed Shares may not be offered, resold, transferred, pledged or otherwise disposed of by Borrower absent an effective registration statement under the Securities Act, except (i) to the Lender or a subsidiary thereof,</w:t>
      </w:r>
    </w:p>
    <w:p>
      <w:pPr>
        <w:spacing w:after="0" w:line="2" w:lineRule="exact"/>
        <w:rPr>
          <w:rFonts w:ascii="Times New Roman" w:cs="Times New Roman" w:eastAsia="Times New Roman" w:hAnsi="Times New Roman"/>
          <w:sz w:val="17"/>
          <w:szCs w:val="17"/>
          <w:color w:val="auto"/>
        </w:rPr>
      </w:pPr>
    </w:p>
    <w:p>
      <w:pPr>
        <w:ind w:left="43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 pursuant to an applicable exemption from the registration requirements of the Securities Act, and, in each of clauses (i)-(ii), in accordance with any applicable securities laws of the states and other jurisdictions of the United States, and that any certificates or account entries representing the Subscribed Shares shall contain a restrictive legend to such effect. Borrower acknowledges and agrees that the Subscribed Shares will be subject to these securities law transfer restrictions, and as a result of these transfer restrictions, Borrower may not be able to readily offer, resell, transfer, pledge or otherwise dispose of the Subscribed Shares and may be required to bear the financial risk of an investment in the Subscribed Shares for an indefinite period of time . The Borrower acknowledges and agrees that the Subscribed Shares will not be immediately eligible for offer, resale, transfer, pledge or disposition pursuant to Rule 144 promulgated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until at least one year following the filing by Lender of certain required information with the Commission after the Closing Date. Borrower acknowledges and agrees that it has been advised to consult legal counsel prior to making any offer, resale, pledge or transfer of any of the Subscribed Shares. Notwithstanding the foregoing, it is acknowledged and agreed by Lender that under the Dec 31 Letter Agreement, Lender is required to within thirty (30) days of the Closing Date (as defined in the Merger Agreement), file a general “registration statement” covering the resale by the Borrower of the Subscribed Shares in accordance with applicable SEC rules, regulations and interpretations so as to permit the resale of such securities by the Borrower under Rule 415 at the then prevailing market prices, and shall take all reasonable steps to get the registration statement declared effective as soon as possible.</w:t>
      </w:r>
    </w:p>
    <w:p>
      <w:pPr>
        <w:spacing w:after="0" w:line="123"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1421" w:top="270" w:right="459" w:bottom="1440" w:gutter="0" w:footer="0" w:header="0"/>
        </w:sectPr>
      </w:pPr>
    </w:p>
    <w:bookmarkStart w:id="278" w:name="page279"/>
    <w:bookmarkEnd w:id="278"/>
    <w:p>
      <w:pPr>
        <w:ind w:left="439" w:hanging="439"/>
        <w:spacing w:after="0" w:line="253" w:lineRule="auto"/>
        <w:tabs>
          <w:tab w:leader="none" w:pos="43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acknowledges that it is aware that there are substantial risks incident to the ownership of the Subscribed Shares,. The Borrower has such knowledge and experience in financial and business matters as to be capable of evaluating the merits and risks of an investment in the Subscribed Shares, and the Borrower has had an opportunity to seek, and has sought, such accounting, legal, business and tax advice as the Borrower has considered necessary to make an informed investment decision. The Borrower acknowledges and agrees that neither the Lender nor any of its affiliates has provided any tax advice to the Borrower or made any representations or warranties or guarantees to the Borrower regarding the tax treatment of its investment in the Subscribed Shares. Borrower (i) is an institutional account as defined in FINRA Rule 4512(c) or an “accredited investor” as defined in Rule 501(a) under the Securities Act, (ii) is a sophisticated investor, experienced in investing in private equity transactions and current or former special purpose acquisition companies and capable of evaluating investment risks independently, both in general and with regard to all transactions and investment strategies involving a security or securities, and (iii) has exercised independent judgment in evaluating its participation in the Subscribed Shares.</w:t>
      </w:r>
    </w:p>
    <w:p>
      <w:pPr>
        <w:spacing w:after="0" w:line="97" w:lineRule="exact"/>
        <w:rPr>
          <w:rFonts w:ascii="Times New Roman" w:cs="Times New Roman" w:eastAsia="Times New Roman" w:hAnsi="Times New Roman"/>
          <w:sz w:val="18"/>
          <w:szCs w:val="18"/>
          <w:color w:val="auto"/>
        </w:rPr>
      </w:pPr>
    </w:p>
    <w:p>
      <w:pPr>
        <w:ind w:left="439" w:right="100" w:hanging="439"/>
        <w:spacing w:after="0" w:line="266" w:lineRule="auto"/>
        <w:tabs>
          <w:tab w:leader="none" w:pos="43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analyzed and fully considered the risks of the Subscribed Shares and determined that the Subscribed Shares are suitable for the Borrower and that the Borrower is able at this time and in the foreseeable future to bear the economic risk of a total loss. The Borrower acknowledges specifically that a possibility of total loss exists.</w:t>
      </w:r>
    </w:p>
    <w:p>
      <w:pPr>
        <w:spacing w:after="0" w:line="81" w:lineRule="exact"/>
        <w:rPr>
          <w:rFonts w:ascii="Times New Roman" w:cs="Times New Roman" w:eastAsia="Times New Roman" w:hAnsi="Times New Roman"/>
          <w:sz w:val="18"/>
          <w:szCs w:val="18"/>
          <w:color w:val="auto"/>
        </w:rPr>
      </w:pPr>
    </w:p>
    <w:p>
      <w:pPr>
        <w:ind w:left="439" w:right="180" w:hanging="439"/>
        <w:spacing w:after="0" w:line="282" w:lineRule="auto"/>
        <w:tabs>
          <w:tab w:leader="none" w:pos="43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understands and agrees that no federal or state agency has passed upon or endorsed the merits of the offering of the Subscribed Shares or made any findings or determination as to the fairness of this investment.</w:t>
      </w:r>
    </w:p>
    <w:p>
      <w:pPr>
        <w:spacing w:after="0" w:line="67" w:lineRule="exact"/>
        <w:rPr>
          <w:rFonts w:ascii="Times New Roman" w:cs="Times New Roman" w:eastAsia="Times New Roman" w:hAnsi="Times New Roman"/>
          <w:sz w:val="18"/>
          <w:szCs w:val="18"/>
          <w:color w:val="auto"/>
        </w:rPr>
      </w:pPr>
    </w:p>
    <w:p>
      <w:pPr>
        <w:ind w:left="439" w:hanging="439"/>
        <w:spacing w:after="0" w:line="273" w:lineRule="auto"/>
        <w:tabs>
          <w:tab w:leader="none" w:pos="439"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Borrower nor any of its affiliates, officers, directors, managers, managing members, general partners or any other person acting in a similar capacity or carrying out a similar function is (i) a person (including individual or entity) that is the target of economic or financial sanctions or trade embargoes imposed, administered or enforced from time to time by relevant governmental authorities, including, but not limited to those administered by the U.S. government through the Office of Foreign Assets Control of the U.S. Department of the Treasury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or the U.S. Department of State, the United Nations Security Council, the European Union, or His Majesty’s Treasury of the United Kingdom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(ii) a person or entity listed on the List of Specially Designated Nationals and Blocked Persons administered by OFAC, or in any Executive Order issued by the President of</w:t>
      </w:r>
    </w:p>
    <w:p>
      <w:pPr>
        <w:spacing w:after="0" w:line="104"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59"/>
          </w:cols>
          <w:pgMar w:left="1421" w:top="270" w:right="519" w:bottom="1440" w:gutter="0" w:footer="0" w:header="0"/>
        </w:sectPr>
      </w:pPr>
    </w:p>
    <w:bookmarkStart w:id="279" w:name="page280"/>
    <w:bookmarkEnd w:id="279"/>
    <w:p>
      <w:pPr>
        <w:ind w:left="142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United States and administered by OFAC, or any other any Sanctions- related list of sanctioned persons maintained by OFAC, the Department of Commerce or the U.S. Department of State, the United Nations Security Council, the European Union, any EU member state, or the United Kingdom (collectively, “</w:t>
      </w:r>
      <w:r>
        <w:rPr>
          <w:rFonts w:ascii="Times New Roman" w:cs="Times New Roman" w:eastAsia="Times New Roman" w:hAnsi="Times New Roman"/>
          <w:sz w:val="17"/>
          <w:szCs w:val="17"/>
          <w:u w:val="single" w:color="auto"/>
          <w:color w:val="auto"/>
        </w:rPr>
        <w:t>Sanctions Lists</w:t>
      </w:r>
      <w:r>
        <w:rPr>
          <w:rFonts w:ascii="Times New Roman" w:cs="Times New Roman" w:eastAsia="Times New Roman" w:hAnsi="Times New Roman"/>
          <w:sz w:val="17"/>
          <w:szCs w:val="17"/>
          <w:color w:val="auto"/>
        </w:rPr>
        <w:t>”), (iii) organized, incorporated, established, located, resident or a citizen, national, or the government, including any political subdivision, agency, or instrumentality thereof, of, Cuba, Iran, North Korea, Syria, Venezuela, Afghanistan, the Crimea, the so-called Donetsk People’s Republic, or the so-called Luhansk People’s Republic regions of Ukraine, or any other country or territory embargoed or subject to substantial trade restrictions by the United States, the European Union or any individual European Union member state, or the United Kingdom; (iv) directly or indirectly owned or controlled 50% or more by, or acting on behalf of, any such person or persons described in any of the foregoing clauses</w:t>
      </w:r>
    </w:p>
    <w:p>
      <w:pPr>
        <w:ind w:left="1644" w:hanging="213"/>
        <w:spacing w:after="0"/>
        <w:tabs>
          <w:tab w:leader="none" w:pos="1644" w:val="left"/>
        </w:tabs>
        <w:numPr>
          <w:ilvl w:val="4"/>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or (v) a non-U.S. shell bank or providing banking services indirectly to a non-U.S. shell bank (collectively,</w:t>
      </w:r>
    </w:p>
    <w:p>
      <w:pPr>
        <w:spacing w:after="0" w:line="9" w:lineRule="exact"/>
        <w:rPr>
          <w:rFonts w:ascii="Times New Roman" w:cs="Times New Roman" w:eastAsia="Times New Roman" w:hAnsi="Times New Roman"/>
          <w:sz w:val="18"/>
          <w:szCs w:val="18"/>
          <w:color w:val="auto"/>
        </w:rPr>
      </w:pPr>
    </w:p>
    <w:p>
      <w:pPr>
        <w:ind w:left="1424" w:firstLine="7"/>
        <w:spacing w:after="0" w:line="251" w:lineRule="auto"/>
        <w:tabs>
          <w:tab w:leader="none" w:pos="1639" w:val="left"/>
        </w:tabs>
        <w:numPr>
          <w:ilvl w:val="4"/>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Borrower agrees to provide law enforcement agencies, if requested thereby, such records as required by applicable law; provided that the Borrower is permitted to do so under applicable law. The Borrower represents that (i)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the Borrower maintains policies and procedures to ensure compliance with its obligations under the BSA/PATRIOT Act, and (ii) to the extent required, it maintains policies and procedures reasonably designed to ensure compliance with the anti-money laundering-related laws administered and enforced by other governmental authorities. Borrower also represents that it maintains policies and procedures reasonably designed to ensure compliance with Sanctions.</w:t>
      </w:r>
    </w:p>
    <w:p>
      <w:pPr>
        <w:spacing w:after="0" w:line="99" w:lineRule="exact"/>
        <w:rPr>
          <w:rFonts w:ascii="Times New Roman" w:cs="Times New Roman" w:eastAsia="Times New Roman" w:hAnsi="Times New Roman"/>
          <w:sz w:val="18"/>
          <w:szCs w:val="18"/>
          <w:color w:val="auto"/>
        </w:rPr>
      </w:pPr>
    </w:p>
    <w:p>
      <w:pPr>
        <w:ind w:left="1424" w:right="20" w:hanging="439"/>
        <w:spacing w:after="0" w:line="261" w:lineRule="auto"/>
        <w:tabs>
          <w:tab w:leader="none" w:pos="1424" w:val="left"/>
        </w:tabs>
        <w:numPr>
          <w:ilvl w:val="3"/>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person (as defined in 31 C.F.R. Part 800.224) in which the national or subnational governments of a single foreign state have a substantial interest (as defined in 31 C.F.R. Part 800.244) will acquire a substantial interest in the Lender as a result of the issuance of the Subscribed Shares hereunder, and no foreign person will have control (as defined in 31 C.F.R. Part 800.208) over the Lender as a result of the issuance of Subscribed Shares hereunder.</w:t>
      </w:r>
    </w:p>
    <w:p>
      <w:pPr>
        <w:spacing w:after="0" w:line="85" w:lineRule="exact"/>
        <w:rPr>
          <w:rFonts w:ascii="Times New Roman" w:cs="Times New Roman" w:eastAsia="Times New Roman" w:hAnsi="Times New Roman"/>
          <w:sz w:val="18"/>
          <w:szCs w:val="18"/>
          <w:color w:val="auto"/>
        </w:rPr>
      </w:pPr>
    </w:p>
    <w:p>
      <w:pPr>
        <w:ind w:left="1424" w:right="340" w:hanging="439"/>
        <w:spacing w:after="0" w:line="282" w:lineRule="auto"/>
        <w:tabs>
          <w:tab w:leader="none" w:pos="1424" w:val="left"/>
        </w:tabs>
        <w:numPr>
          <w:ilvl w:val="3"/>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having received and read the Risk Factors included in the proxy statement filed with respect to the transactions contemplated by the Merger Agreement and Lender’s other publicly available filings with the SEC.</w:t>
      </w:r>
    </w:p>
    <w:p>
      <w:pPr>
        <w:spacing w:after="0" w:line="3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of the following events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hereunder:</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082"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failure to pay the Remaining Covered Expenses (as reduced from time to time by Reduced Payment Amounts) to the Payees by ninety (90) days after the date that the Subscribed Shares are registered and listed for trading on Nasdaq Global Market (such date, the “</w:t>
      </w:r>
      <w:r>
        <w:rPr>
          <w:rFonts w:ascii="Times New Roman" w:cs="Times New Roman" w:eastAsia="Times New Roman" w:hAnsi="Times New Roman"/>
          <w:sz w:val="18"/>
          <w:szCs w:val="18"/>
          <w:u w:val="single" w:color="auto"/>
          <w:color w:val="auto"/>
        </w:rPr>
        <w:t>Expense Payment Deadline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280" w:name="page281"/>
    <w:bookmarkEnd w:id="280"/>
    <w:p>
      <w:pPr>
        <w:ind w:left="680" w:hanging="261"/>
        <w:spacing w:after="0"/>
        <w:tabs>
          <w:tab w:leader="none" w:pos="6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Borrower’s failure to reimburse Lender by the Lender Payment Reimbursement Date with respect to a </w:t>
      </w:r>
      <w:r>
        <w:rPr>
          <w:rFonts w:ascii="Times New Roman" w:cs="Times New Roman" w:eastAsia="Times New Roman" w:hAnsi="Times New Roman"/>
          <w:sz w:val="18"/>
          <w:szCs w:val="18"/>
          <w:u w:val="single" w:color="auto"/>
          <w:color w:val="auto"/>
        </w:rPr>
        <w:t>Paid Remaining Covered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180" w:firstLine="419"/>
        <w:spacing w:after="0" w:line="261" w:lineRule="auto"/>
        <w:tabs>
          <w:tab w:leader="none" w:pos="73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fails to perform or observe in any material respect any covenant or other agreement contained in this Note, on the one hand, and the Lender, on the other hand, and if such failure is curable as determined reasonably by the Lender in good faith, such failure has not been cured within twenty (20) days written notice from the Lender, or any representation, warranty or statement made by the Borrower in this Note was inaccurate or untrue in any material respect when made;</w:t>
      </w:r>
    </w:p>
    <w:p>
      <w:pPr>
        <w:spacing w:after="0" w:line="71" w:lineRule="exact"/>
        <w:rPr>
          <w:rFonts w:ascii="Times New Roman" w:cs="Times New Roman" w:eastAsia="Times New Roman" w:hAnsi="Times New Roman"/>
          <w:sz w:val="18"/>
          <w:szCs w:val="18"/>
          <w:color w:val="auto"/>
        </w:rPr>
      </w:pPr>
    </w:p>
    <w:p>
      <w:pPr>
        <w:ind w:right="80" w:firstLine="419"/>
        <w:spacing w:after="0" w:line="312" w:lineRule="auto"/>
        <w:tabs>
          <w:tab w:leader="none" w:pos="728"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asserts, supports another’s assertion or fails to refute the assertion that the Borrower’s obligations under this Note are invalid (in whole or in part) or that the security interest granted pursuant to this Note are invalid, subordinated, or otherwise impaired in any way;</w:t>
      </w:r>
    </w:p>
    <w:p>
      <w:pPr>
        <w:spacing w:after="0" w:line="31" w:lineRule="exact"/>
        <w:rPr>
          <w:rFonts w:ascii="Times New Roman" w:cs="Times New Roman" w:eastAsia="Times New Roman" w:hAnsi="Times New Roman"/>
          <w:sz w:val="17"/>
          <w:szCs w:val="17"/>
          <w:color w:val="auto"/>
        </w:rPr>
      </w:pPr>
    </w:p>
    <w:p>
      <w:pPr>
        <w:ind w:right="140" w:firstLine="419"/>
        <w:spacing w:after="0" w:line="266" w:lineRule="auto"/>
        <w:tabs>
          <w:tab w:leader="none" w:pos="6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fail to have a first priority perfected security interest in and first priority lien on the Pledged Collateral, other than a failure that results solely from the Lender’s action or inaction, and such failure has not been cured within thirty (30) days written notice from the Lender;</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7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becomes insolvent or admits in writing its inability or refusal to pay the Borrower’s debts as they become due or Borrower fails to pay any debt of Borrower that is $10,000 individually or $25,000 in the aggregate as such debt becomes due;</w:t>
      </w:r>
    </w:p>
    <w:p>
      <w:pPr>
        <w:spacing w:after="0" w:line="53" w:lineRule="exact"/>
        <w:rPr>
          <w:rFonts w:ascii="Times New Roman" w:cs="Times New Roman" w:eastAsia="Times New Roman" w:hAnsi="Times New Roman"/>
          <w:sz w:val="18"/>
          <w:szCs w:val="18"/>
          <w:color w:val="auto"/>
        </w:rPr>
      </w:pPr>
    </w:p>
    <w:p>
      <w:pPr>
        <w:ind w:right="160" w:firstLine="419"/>
        <w:spacing w:after="0" w:line="266" w:lineRule="auto"/>
        <w:tabs>
          <w:tab w:leader="none" w:pos="7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commences any case or other proceeding under any law relating to bankruptcy, insolvency, reorganization or relief of debtors, or seeking appointment of a receiver, trustee, custodian or other similar official for the Borrower or for all or any part of the Borrower’s property, or shall take any action to authorize any of the foregoing; or</w:t>
      </w:r>
    </w:p>
    <w:p>
      <w:pPr>
        <w:spacing w:after="0" w:line="67" w:lineRule="exact"/>
        <w:rPr>
          <w:rFonts w:ascii="Times New Roman" w:cs="Times New Roman" w:eastAsia="Times New Roman" w:hAnsi="Times New Roman"/>
          <w:sz w:val="18"/>
          <w:szCs w:val="18"/>
          <w:color w:val="auto"/>
        </w:rPr>
      </w:pPr>
    </w:p>
    <w:p>
      <w:pPr>
        <w:ind w:right="40" w:firstLine="419"/>
        <w:spacing w:after="0" w:line="258" w:lineRule="auto"/>
        <w:tabs>
          <w:tab w:leader="none" w:pos="8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case or proceeding is commenced against the Borrower to have an order for relief entered against the Borrower under any law relating to bankruptcy, insolvency, reorganization or relief of debtors, or seeking other similar official relief for the Borrower or any part of the Borrower’s property, and such case or proceeding (x) results in the entry of an order for relief against the Borrower which is not fully stayed within twenty (20) days after the entry thereof, (y) is not dismissed within ninety (90) days of commencement or (z) is consented to or acquiesced in by the Borrower.</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281" w:name="page282"/>
    <w:bookmarkEnd w:id="281"/>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Upon the occurrence of an Event of Default (other than with respect to subsections (vi), (vii) and (viii) immediately above) and at any time thereafter during the continuance of such Event of Default, the Lender may declare all amounts due under this Note (including, without limitation, the aggregate principal amount outstanding hereunder and all accrued and unpaid interest and all of the Lender’s costs and expenses of enforcing this Note) immediately due and payable, without presentment, demand, protest, and notice of acceleration, notice of intent to accelerate or other notice of any kind, all of which are hereby expressly waived by the Borrower. In the case of an Event of Default referenced in subsections (vi), (vii) or (viii) above, all amounts due under this Note (including, without limitation, the aggregate principal amount outstanding hereunder and all accrued and unpaid interest and all of the Lender’s costs and expenses of enforcing this Note) shall automatically and immediately become due and payable to the Lender, without presentment, demand, protest, and notice of acceleration, notice of intent to accelerate or other notice of any kind, all of which are hereby expressly waived by the Borrower. The Lender shall have all remedies available to itself in law or equity, including, but not limited to, those remedies available pursuant to this Note.</w:t>
      </w:r>
    </w:p>
    <w:p>
      <w:pPr>
        <w:spacing w:after="0" w:line="343" w:lineRule="exact"/>
        <w:rPr>
          <w:sz w:val="20"/>
          <w:szCs w:val="20"/>
          <w:color w:val="auto"/>
        </w:rPr>
      </w:pPr>
    </w:p>
    <w:p>
      <w:pPr>
        <w:ind w:left="424" w:hanging="424"/>
        <w:spacing w:after="0"/>
        <w:tabs>
          <w:tab w:leader="none" w:pos="42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Recourse.</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Note represents a full recourse obligation of the Borrower with respect to the Remaining Covered Expenses identified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Recourse Amount</w:t>
      </w:r>
      <w:r>
        <w:rPr>
          <w:rFonts w:ascii="Times New Roman" w:cs="Times New Roman" w:eastAsia="Times New Roman" w:hAnsi="Times New Roman"/>
          <w:sz w:val="18"/>
          <w:szCs w:val="18"/>
          <w:color w:val="auto"/>
        </w:rPr>
        <w:t>”). If, for any reason, the Borrower fails to pay the full amount of the Recourse Amount to the Payees as due hereunder and the net cash proceeds of any sale or other disposition of the Pledged Collateral are insufficient to cover the full amount remaining due in respect of the Recourse Amount, the Borrower shall be personally liable for 100% of all remaining unpaid Recourse Amount. Notwithstanding any other provision herein, all payments made by the Borrower to the Lender shall be first applied to any outstanding balance of the Recourse Amounts.</w:t>
      </w:r>
    </w:p>
    <w:p>
      <w:pPr>
        <w:spacing w:after="0" w:line="332" w:lineRule="exact"/>
        <w:rPr>
          <w:sz w:val="20"/>
          <w:szCs w:val="20"/>
          <w:color w:val="auto"/>
        </w:rPr>
      </w:pPr>
    </w:p>
    <w:p>
      <w:pPr>
        <w:ind w:left="424" w:hanging="424"/>
        <w:spacing w:after="0"/>
        <w:tabs>
          <w:tab w:leader="none" w:pos="4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Waivers, Consents and Agreements.</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Borrower hereby: (a) waives presentment, demand, protest, suretyship defenses and defenses in the nature thereof; (b) waives any defenses based upon and specifically assents to any and all extensions and postponements of the time for payment, amendments, modifications, changes in terms and conditions and all other indulgences and forbearances which may be granted by the holder to any party now or hereafter liable hereunder or for the indebtedness evidenced hereby; (c) agrees to any substitution, exchange, release, surrender or other delivery of any security or collateral now or hereafter held hereunder and to the addition or release of any other party or person primarily or secondarily liable; (d) agrees that if any security or collateral given to secure this Note or the obligations evidenced hereby shall be found to be unenforceable in full or to any extent, or if the Lender or any other party shall fail to duly perfect or protect such collateral, the same shall not relieve or release any party liable hereon or thereon nor vitiate any other security or collateral given for any obligations evidenced hereby or thereby; (e) agrees to pay all costs and expenses incurred by the Lender or any of the Lender’s affiliates or any other holder of this Note in connection with the collection of the obligations evidenced hereby, including, without limitation, all reasonable attorneys’ fees and costs, for the collection of the obligations evidenced hereby and the enforcement of rights and remedies hereunder, whether or not suit is instituted; (f) waives any defenses based upon the validity or enforceability of this Note against the Borrower; and (g) consents to all of the terms and conditions contained in this Note and all other instruments hereafter executed evidencing or governing all or any portion of the security or collateral for the obligations under this Note.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82" w:name="page283"/>
    <w:bookmarkEnd w:id="282"/>
    <w:p>
      <w:pPr>
        <w:ind w:left="424" w:hanging="424"/>
        <w:spacing w:after="0"/>
        <w:tabs>
          <w:tab w:leader="none" w:pos="42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p>
    <w:p>
      <w:pPr>
        <w:spacing w:after="0" w:line="11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Borrower will indemnify, defend and hold harmless the Lender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Lender Losses</w:t>
      </w:r>
      <w:r>
        <w:rPr>
          <w:rFonts w:ascii="Times New Roman" w:cs="Times New Roman" w:eastAsia="Times New Roman" w:hAnsi="Times New Roman"/>
          <w:sz w:val="18"/>
          <w:szCs w:val="18"/>
          <w:color w:val="auto"/>
        </w:rPr>
        <w:t xml:space="preserve">”) arising out of or in connection with Borrower’s breach of the representations and warranties in this Note and the Lender’s execution and performance of this Note, in each case as such Lender Loss is suffered or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that any such Lender Loss is finally adjudicated to have been directly caused by the gross negligence or willful misconduct of the Lender, the Lender will reimburse the Borrower the amount of such indemnified Lender Loss to the extent attributable to such gross negligence or willful misconduct.</w:t>
      </w:r>
    </w:p>
    <w:p>
      <w:pPr>
        <w:spacing w:after="0" w:line="337" w:lineRule="exact"/>
        <w:rPr>
          <w:sz w:val="20"/>
          <w:szCs w:val="20"/>
          <w:color w:val="auto"/>
        </w:rPr>
      </w:pPr>
    </w:p>
    <w:p>
      <w:pPr>
        <w:ind w:left="424" w:hanging="424"/>
        <w:spacing w:after="0"/>
        <w:tabs>
          <w:tab w:leader="none" w:pos="42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Not A Bar.</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No delay or omission on the part of the holder in exercising any right hereunder or any other instrument or agreement now or hereafter executed in connection herewith, or any agreement or instrument which is given or may be given to secure the obligations evidenced hereby, or any other agreement now or hereafter executed in connection herewith or therewith shall operate as a waiver of any such right or of any other right of such holder, nor shall any delay, omission or waiver on any one occasion be deemed to be a bar to or waiver of the same or of any other right on any future occasion.</w:t>
      </w:r>
    </w:p>
    <w:p>
      <w:pPr>
        <w:spacing w:after="0" w:line="328" w:lineRule="exact"/>
        <w:rPr>
          <w:sz w:val="20"/>
          <w:szCs w:val="20"/>
          <w:color w:val="auto"/>
        </w:rPr>
      </w:pPr>
    </w:p>
    <w:p>
      <w:pPr>
        <w:ind w:left="424" w:hanging="424"/>
        <w:spacing w:after="0"/>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p>
    <w:p>
      <w:pPr>
        <w:spacing w:after="0" w:line="11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If one or more provisions of this Note are held to be unenforceable under applicable law, such provision shall be excluded from this Note and the balance of this Note shall be interpreted as if such provision were so excluded and shall be enforceable in accordance with its terms.</w:t>
      </w:r>
    </w:p>
    <w:p>
      <w:pPr>
        <w:spacing w:after="0" w:line="310" w:lineRule="exact"/>
        <w:rPr>
          <w:sz w:val="20"/>
          <w:szCs w:val="20"/>
          <w:color w:val="auto"/>
        </w:rPr>
      </w:pPr>
    </w:p>
    <w:p>
      <w:pPr>
        <w:ind w:left="424" w:hanging="424"/>
        <w:spacing w:after="0"/>
        <w:tabs>
          <w:tab w:leader="none" w:pos="42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Usury.</w:t>
      </w:r>
    </w:p>
    <w:p>
      <w:pPr>
        <w:spacing w:after="0" w:line="11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Borrower shall not be obligated to pay, and the Lender shall not collect, interest at a rate higher than the maximum permitted by applicable law or the maximum that will not subject the Lender to any civil or criminal penalties. If, because of the acceleration of maturity, the payment of interest in advance or any other reason, the Borrower is required to pay interest at a rate in excess of such maximum rate, the rate of interest under such provision shall immediately and automatically be reduced to such maximum rate and any payment made in excess of such maximum rate, together with interest thereon at the rate provided herein from the date of such payment, shall be immediately and automatically applied to the reduction of the unpaid principal balance of this Note as of the date on which such excess payment was made. If the amount to be so applied to reduction of the unpaid principal balance exceeds the unpaid principal balance, the amount of such excess shall be refunded by the Lender to the Borrower.</w:t>
      </w:r>
    </w:p>
    <w:p>
      <w:pPr>
        <w:spacing w:after="0" w:line="337" w:lineRule="exact"/>
        <w:rPr>
          <w:sz w:val="20"/>
          <w:szCs w:val="20"/>
          <w:color w:val="auto"/>
        </w:rPr>
      </w:pPr>
    </w:p>
    <w:p>
      <w:pPr>
        <w:ind w:left="424" w:hanging="424"/>
        <w:spacing w:after="0"/>
        <w:tabs>
          <w:tab w:leader="none" w:pos="42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117"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All notices, requests, demands, waivers and other communications required or permitted to be given under this Note shall be in writing and be deemed to have been duly given if (a) delivered personally, (b) mailed, certified or registered mail with postage prepaid, (c) sent by next- day or overnight mail or delivery or (d) sent by electronic mail (so long as the sender of such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83" w:name="page284"/>
    <w:bookmarkEnd w:id="28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mail does not receive an automatic message from the recipient’s email server indicating that the recipient did not receive such electronic mail), as follows (or to such other address as the party entitled to notice shall hereafter designate in accordance with the terms hereof): (i) if to the Borrower, at the Borrower’s address as set forth on the signature page, or at such other address as the Borrower shall have furnished to the Lender in writing, or (ii) if to the Lender, at the Lender’s address as set forth below, or at such other address as the Lender shall have furnished to the Borrower in writing. All such notices, requests, demands, waivers and other communications shall be deemed to have been received by (w) if by personal delivery, on the day delivered, (x) if by certified or registered mail, on the fifth business day after the mailing thereof, (y) if by next-day or overnight mail or delivery, on the day delivered, or (z) if by electronic mail, at the time indicated in such sent email (but only so long as the sender of such electronic mail does not receive an automatic message from the recipient’s email server indicating that the recipient did not receive such electronic mail):</w:t>
      </w:r>
    </w:p>
    <w:p>
      <w:pPr>
        <w:spacing w:after="0" w:line="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Lender: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140 Scott Drive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Brian Patterson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brian.patterson@lw.com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Borrower, to the applicable address indicated on the Borrower’s signature page hereto.</w:t>
      </w:r>
    </w:p>
    <w:p>
      <w:pPr>
        <w:spacing w:after="0" w:line="131" w:lineRule="exact"/>
        <w:rPr>
          <w:sz w:val="20"/>
          <w:szCs w:val="20"/>
          <w:color w:val="auto"/>
        </w:rPr>
      </w:pPr>
    </w:p>
    <w:p>
      <w:pPr>
        <w:ind w:left="424" w:hanging="424"/>
        <w:spacing w:after="0"/>
        <w:tabs>
          <w:tab w:leader="none" w:pos="42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Documents.</w:t>
      </w:r>
    </w:p>
    <w:p>
      <w:pPr>
        <w:spacing w:after="0" w:line="11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Upon receipt of an affidavit of the Lender as to the loss, theft, destruction, or mutilation of this Note and, in the case of any such destruction or mutilation, upon surrender (to the extent possible) and cancellation of this Note, the Borrower will issue, in lieu thereof, a replacement Note in the same principal amount thereof and otherwise of like tenor.</w:t>
      </w:r>
    </w:p>
    <w:p>
      <w:pPr>
        <w:spacing w:after="0" w:line="81" w:lineRule="exact"/>
        <w:rPr>
          <w:sz w:val="20"/>
          <w:szCs w:val="20"/>
          <w:color w:val="auto"/>
        </w:rPr>
      </w:pPr>
    </w:p>
    <w:p>
      <w:pPr>
        <w:ind w:left="544" w:hanging="544"/>
        <w:spacing w:after="0"/>
        <w:tabs>
          <w:tab w:leader="none" w:pos="5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This Note shall be governed and construed and the rights and liabilities of the parties hereto shall be determined in accordance with the internal laws of the State of Delaware, without regard to the conflict of laws principles thereof. EACH OF THE PARTIES HEREBY WAIVES TO THE FULLEST EXTENT PERMITTED BY APPLICABLE LAW ANY RIGHT IT MAY HAVE TO A TRIAL BY JURY WITH RESPECT TO ANY PROCEEDING DIRECTLY OR INDIRECTLY ARISING OUT OF, UNDER OR IN CONNECTION WITH THIS NOTE OR THE TRANSACTIONS CONTEMPLATED HEREBY. EACH OF THE PARTIES HERETO</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284" w:name="page285"/>
    <w:bookmarkEnd w:id="28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(A) CERTIFIES THAT NO REPRESENTATIVE, AGENT OR ATTORNEY OF THE OTHER PARTY HAS REPRESENTED, EXPRESSLY OR OTHERWISE, THAT SUCH OTHER PARTY WOULD NOT, IN THE EVENT OF LITIGATION, SEEK TO ENFORCE THE FOREGOING WAIVER AND (B) ACKNOWLEDGES THAT IT HAS BEEN INDUCED TO ENTER INTO THIS NOTE AND TRANSACTIONS CONTEMPLATED HEREBY, AMONG OTHER THINGS, THE MUTUAL WAIVERS AND CERTIFICATIONS IN THIS SECTION.</w:t>
      </w:r>
    </w:p>
    <w:p>
      <w:pPr>
        <w:spacing w:after="0" w:line="85" w:lineRule="exact"/>
        <w:rPr>
          <w:sz w:val="20"/>
          <w:szCs w:val="20"/>
          <w:color w:val="auto"/>
        </w:rPr>
      </w:pPr>
    </w:p>
    <w:p>
      <w:pPr>
        <w:ind w:left="424" w:hanging="424"/>
        <w:spacing w:after="0"/>
        <w:tabs>
          <w:tab w:leader="none" w:pos="42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Borrower acknowledges and agrees that this Note, the existence hereof and all terms of this Note are confidential and, without the prior written consent of the Lender, may not be disclosed in any manner or form to any person, other than (a) as required by applicable law (so long as the Borrower provides the Lender with prompt written notice of such requirement, to the extent not prohibited by law, and cooperates with the Lender to obtain an appropriate protective order, minimize the required disclosure and obtain reasonable assurance that any information will be accorded confidential treatment), (b) as necessary to enforce this Note in accordance with the terms hereof or (c) to the Borrower’s attorney, financial advisor, and/or tax advisor (if any) on a need-to-know basis (provided such person is advised of the confidential nature of the information provided and agrees to hold such information in confidence and the Borrower shall be liable for any further disclosure or other use of such information by any person referred to in this clause (c)).</w:t>
      </w:r>
    </w:p>
    <w:p>
      <w:pPr>
        <w:spacing w:after="0" w:line="97" w:lineRule="exact"/>
        <w:rPr>
          <w:sz w:val="20"/>
          <w:szCs w:val="20"/>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Oral Change; Assignment.</w:t>
      </w:r>
    </w:p>
    <w:p>
      <w:pPr>
        <w:spacing w:after="0" w:line="117"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set forth in Section 1 with respect to the Amended Note, this Note may only be amended, terminated, extended or otherwise modified by a writing signed by the party against which enforcement is sought. In no event shall any oral agreements, promises, actions, inactions, knowledge, course of conduct, course of dealing, or the like be effective to amend, terminate, extend or otherwise modify this Note. Neither this Note nor any obligations or duties hereunder may be sold, assigned or delegated by the Borrower without the prior written consent of the Lender. This Note may not be sold, assigned or delegated by the Lender without the prior written consent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Borrower’s consent shall not be required for a sale, assignment or delegation of this Note by the Lender to any of its affiliates.</w:t>
      </w:r>
    </w:p>
    <w:p>
      <w:pPr>
        <w:spacing w:after="0" w:line="93" w:lineRule="exact"/>
        <w:rPr>
          <w:sz w:val="20"/>
          <w:szCs w:val="20"/>
          <w:color w:val="auto"/>
        </w:rPr>
      </w:pPr>
    </w:p>
    <w:p>
      <w:pPr>
        <w:ind w:left="424" w:hanging="424"/>
        <w:spacing w:after="0"/>
        <w:tabs>
          <w:tab w:leader="none" w:pos="4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p>
    <w:p>
      <w:pPr>
        <w:spacing w:after="0" w:line="117"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All representations, warranties and covenants of the Borrower contained herein shall survive the execution and delivery of this Note, and shall terminate only upon the full and final payment and performance by the Borrower of its indebtedness and obligations secured hereby.</w:t>
      </w:r>
    </w:p>
    <w:p>
      <w:pPr>
        <w:spacing w:after="0" w:line="67" w:lineRule="exact"/>
        <w:rPr>
          <w:sz w:val="20"/>
          <w:szCs w:val="20"/>
          <w:color w:val="auto"/>
        </w:rPr>
      </w:pPr>
    </w:p>
    <w:p>
      <w:pPr>
        <w:ind w:left="424" w:hanging="424"/>
        <w:spacing w:after="0"/>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Lender.</w:t>
      </w:r>
    </w:p>
    <w:p>
      <w:pPr>
        <w:spacing w:after="0" w:line="11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This Note and the rights and remedies provided for herein may be enforced by the Lender or any subsequent holder hereof. Wherever the context permits each reference to the term “holder” herein shall mean and refer to the Lender or the then subsequent holder of this Note.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85" w:name="page286"/>
    <w:bookmarkEnd w:id="285"/>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p>
    <w:p>
      <w:pPr>
        <w:spacing w:after="0" w:line="11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This Note may be executed in two or more counterparts, which may be delivered by facsimile or .pdf copy, each of which shall be deemed an original and all of which together shall constitute one instrument.</w:t>
      </w:r>
    </w:p>
    <w:p>
      <w:pPr>
        <w:spacing w:after="0" w:line="160" w:lineRule="exact"/>
        <w:rPr>
          <w:sz w:val="20"/>
          <w:szCs w:val="20"/>
          <w:color w:val="auto"/>
        </w:rPr>
      </w:pPr>
    </w:p>
    <w:p>
      <w:pPr>
        <w:jc w:val="center"/>
        <w:ind w:right="-40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40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24"/>
          </w:cols>
          <w:pgMar w:left="436" w:top="270" w:right="8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Note to be duly executed as of the date first set forth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Senior Managing Member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5601 Arbor Lane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Coral Gables, FL 33156 Email: shahal@burkhan.world</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Secured Promissory Note and Pledge Agreement</w:t>
      </w:r>
      <w:r>
        <w:rPr>
          <w:rFonts w:ascii="Times New Roman" w:cs="Times New Roman" w:eastAsia="Times New Roman" w:hAnsi="Times New Roman"/>
          <w:sz w:val="18"/>
          <w:szCs w:val="18"/>
          <w:color w:val="auto"/>
        </w:rPr>
        <w:t>]</w:t>
      </w:r>
    </w:p>
    <w:p>
      <w:pPr>
        <w:sectPr>
          <w:pgSz w:w="11900" w:h="16838" w:orient="portrait"/>
          <w:cols w:equalWidth="0" w:num="1">
            <w:col w:w="10160"/>
          </w:cols>
          <w:pgMar w:left="880" w:top="270" w:right="85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229"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This letter agreement (this “</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 is made and entered into on January 13, 2025, by and among BurTech Acquisition Corp., a Delaware corporation (“</w:t>
      </w:r>
      <w:r>
        <w:rPr>
          <w:rFonts w:ascii="Times New Roman" w:cs="Times New Roman" w:eastAsia="Times New Roman" w:hAnsi="Times New Roman"/>
          <w:sz w:val="17"/>
          <w:szCs w:val="17"/>
          <w:u w:val="single" w:color="auto"/>
          <w:color w:val="auto"/>
        </w:rPr>
        <w:t>Acquiror</w:t>
      </w:r>
      <w:r>
        <w:rPr>
          <w:rFonts w:ascii="Times New Roman" w:cs="Times New Roman" w:eastAsia="Times New Roman" w:hAnsi="Times New Roman"/>
          <w:sz w:val="17"/>
          <w:szCs w:val="17"/>
          <w:color w:val="auto"/>
        </w:rPr>
        <w:t>”), BurTech Merger Sub Inc., a Delaware corporation and a direct wholly owned subsidiary of Acquiror, Blaize,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Burkhan Capital LLC, a Delaware limited liability company (“</w:t>
      </w:r>
      <w:r>
        <w:rPr>
          <w:rFonts w:ascii="Times New Roman" w:cs="Times New Roman" w:eastAsia="Times New Roman" w:hAnsi="Times New Roman"/>
          <w:sz w:val="17"/>
          <w:szCs w:val="17"/>
          <w:u w:val="single" w:color="auto"/>
          <w:color w:val="auto"/>
        </w:rPr>
        <w:t>Burkhan</w:t>
      </w:r>
      <w:r>
        <w:rPr>
          <w:rFonts w:ascii="Times New Roman" w:cs="Times New Roman" w:eastAsia="Times New Roman" w:hAnsi="Times New Roman"/>
          <w:sz w:val="17"/>
          <w:szCs w:val="17"/>
          <w:color w:val="auto"/>
        </w:rPr>
        <w:t>”), and BurTech LP LLC, a Delaware limited lability company (“</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and memorializes certain understandings and agreements of the parties hereto with respect to the terms and conditions of that certain Agreement and Plan of Merger, dated as of December 22, 2023, as amended by that certain Amendment to Agreement and Plan of Merger, dated as of April 22, 2024, that certain Amendment No. 2 to Agreement and Plan Merger, dated as of October 24, 2024, and that certain Amendment No. 3 to Agreement and Plan Merger, dated as of November 21, 2024 (as so amended,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and related transaction documents. Capitalized terms used but not otherwise defined herein shall have the meanings ascribed to such terms in the Merger Agreement.</w:t>
      </w:r>
    </w:p>
    <w:p>
      <w:pPr>
        <w:spacing w:after="0" w:line="195" w:lineRule="exact"/>
        <w:rPr>
          <w:sz w:val="20"/>
          <w:szCs w:val="20"/>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Date; Waivers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parties hereto acknowledge and agree that closing shall take place electronically by the mutual exchange of electronic signatures (including portable document format (.PDF)) on January 13, 2025 or as soon as practicable thereafter.</w:t>
      </w:r>
    </w:p>
    <w:p>
      <w:pPr>
        <w:spacing w:after="0" w:line="67" w:lineRule="exact"/>
        <w:rPr>
          <w:rFonts w:ascii="Times New Roman" w:cs="Times New Roman" w:eastAsia="Times New Roman" w:hAnsi="Times New Roman"/>
          <w:sz w:val="18"/>
          <w:szCs w:val="18"/>
          <w:color w:val="auto"/>
        </w:rPr>
      </w:pPr>
    </w:p>
    <w:p>
      <w:pPr>
        <w:ind w:left="964" w:right="500" w:hanging="532"/>
        <w:spacing w:after="0" w:line="266"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Waivers</w:t>
      </w:r>
      <w:r>
        <w:rPr>
          <w:rFonts w:ascii="Times New Roman" w:cs="Times New Roman" w:eastAsia="Times New Roman" w:hAnsi="Times New Roman"/>
          <w:sz w:val="18"/>
          <w:szCs w:val="18"/>
          <w:color w:val="auto"/>
        </w:rPr>
        <w:t>. The Company hereby acknowledges and agrees that as of the date first set forth above: the conditions set forth in Section 9.3(d) and Section 9.3(f) of the Merger Agreement have hereby been satisfied, or if not satisfied, is hereby waived by the Company.</w:t>
      </w:r>
    </w:p>
    <w:p>
      <w:pPr>
        <w:spacing w:after="0" w:line="81" w:lineRule="exact"/>
        <w:rPr>
          <w:rFonts w:ascii="Times New Roman" w:cs="Times New Roman" w:eastAsia="Times New Roman" w:hAnsi="Times New Roman"/>
          <w:sz w:val="18"/>
          <w:szCs w:val="18"/>
          <w:color w:val="auto"/>
        </w:rPr>
      </w:pPr>
    </w:p>
    <w:p>
      <w:pPr>
        <w:ind w:left="964" w:right="20" w:hanging="532"/>
        <w:spacing w:after="0" w:line="254"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Backstop Waiver</w:t>
      </w:r>
      <w:r>
        <w:rPr>
          <w:rFonts w:ascii="Times New Roman" w:cs="Times New Roman" w:eastAsia="Times New Roman" w:hAnsi="Times New Roman"/>
          <w:sz w:val="18"/>
          <w:szCs w:val="18"/>
          <w:color w:val="auto"/>
        </w:rPr>
        <w:t>. Acquiror hereby acknowledges and agrees that the obligations of Sponsor under the Backstop Agreement are hereby waived, and Sponsor has no obligation to purchase any shares of Acquiror or contribute any amounts under the Backstop Agreement. In lieu of such obligations, Burkhan, an Affiliate of Sponsor, has entered into a subscription agreement on or about the date hereof to purchase 1,200,000 shares of common stock, par value $0.0001 per share (the “</w:t>
      </w:r>
      <w:r>
        <w:rPr>
          <w:rFonts w:ascii="Times New Roman" w:cs="Times New Roman" w:eastAsia="Times New Roman" w:hAnsi="Times New Roman"/>
          <w:sz w:val="18"/>
          <w:szCs w:val="18"/>
          <w:u w:val="single" w:color="auto"/>
          <w:color w:val="auto"/>
        </w:rPr>
        <w:t>New Blaize Common Stock</w:t>
      </w:r>
      <w:r>
        <w:rPr>
          <w:rFonts w:ascii="Times New Roman" w:cs="Times New Roman" w:eastAsia="Times New Roman" w:hAnsi="Times New Roman"/>
          <w:sz w:val="18"/>
          <w:szCs w:val="18"/>
          <w:color w:val="auto"/>
        </w:rPr>
        <w:t>”), of Acquiror at a price per share of $10.00 for an aggregate amount of $12,000,000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which PIPE Shares shall not be subject to any lock up or similar contractual restriction. Acquirer shall, within forty-five (45) days of the Closing Date, file a resale “registration statement” covering the resale by Burkhan of such PIPE Shares in accordance with applicable SEC rules (the “</w:t>
      </w:r>
      <w:r>
        <w:rPr>
          <w:rFonts w:ascii="Times New Roman" w:cs="Times New Roman" w:eastAsia="Times New Roman" w:hAnsi="Times New Roman"/>
          <w:sz w:val="18"/>
          <w:szCs w:val="18"/>
          <w:u w:val="single" w:color="auto"/>
          <w:color w:val="auto"/>
        </w:rPr>
        <w:t>Resale S-1</w:t>
      </w:r>
      <w:r>
        <w:rPr>
          <w:rFonts w:ascii="Times New Roman" w:cs="Times New Roman" w:eastAsia="Times New Roman" w:hAnsi="Times New Roman"/>
          <w:sz w:val="18"/>
          <w:szCs w:val="18"/>
          <w:color w:val="auto"/>
        </w:rPr>
        <w:t>”), regulations and interpretations so as to permit the resale of such securities by Burkhan under Rule 415 at the then prevailing market prices, and shall take all reasonable steps to get the registration statement declared effective as soon as possible.</w:t>
      </w:r>
    </w:p>
    <w:p>
      <w:pPr>
        <w:spacing w:after="0" w:line="8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Acquiror Transaction Expenses and Company Transaction Expenses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4" w:right="80" w:hanging="532"/>
        <w:spacing w:after="0" w:line="254"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11.6 of the Merger Agreement, the parties hereto have agreed that certain Acquiror Transaction Expenses and Company Transaction Expenses set forth on Exhibit A attached hereto shall become the responsibility of Sponsor (the “</w:t>
      </w:r>
      <w:r>
        <w:rPr>
          <w:rFonts w:ascii="Times New Roman" w:cs="Times New Roman" w:eastAsia="Times New Roman" w:hAnsi="Times New Roman"/>
          <w:sz w:val="18"/>
          <w:szCs w:val="18"/>
          <w:u w:val="single" w:color="auto"/>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Expenses Arrangement</w:t>
      </w:r>
      <w:r>
        <w:rPr>
          <w:rFonts w:ascii="Times New Roman" w:cs="Times New Roman" w:eastAsia="Times New Roman" w:hAnsi="Times New Roman"/>
          <w:sz w:val="18"/>
          <w:szCs w:val="18"/>
          <w:color w:val="auto"/>
        </w:rPr>
        <w:t>”) subject to the issuance of the New Blaize Common Stock (as defined below) pursuant to Section 2(b) below. For the avoidance of doubt, the parties hereto acknowledge and agree that certain of such amounts payable by Sponsor under the Alternative Expenses Arrangement shall be paid via amounts in the Trust Account on the Closing Date pursuant to the disbursement instruction letter issued by Acquiror to Continental Stock Transfer &amp; Trust Company on or about the Closing Date; provided, however, that such amounts paid under the Alternative Expenses Arrangement via the Trust Account on the Closing Date shall in no event exceed approximately $3,619,174.</w:t>
      </w:r>
    </w:p>
    <w:p>
      <w:pPr>
        <w:sectPr>
          <w:pgSz w:w="11900" w:h="16838" w:orient="portrait"/>
          <w:cols w:equalWidth="0" w:num="1">
            <w:col w:w="11024"/>
          </w:cols>
          <w:pgMar w:left="436" w:top="117" w:right="439" w:bottom="1440" w:gutter="0" w:footer="0" w:header="0"/>
        </w:sectPr>
      </w:pPr>
    </w:p>
    <w:bookmarkStart w:id="288" w:name="page289"/>
    <w:bookmarkEnd w:id="288"/>
    <w:p>
      <w:pPr>
        <w:ind w:left="964" w:right="60" w:hanging="532"/>
        <w:spacing w:after="0" w:line="256" w:lineRule="auto"/>
        <w:tabs>
          <w:tab w:leader="none" w:pos="96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Alternative Expenses Arrangement, Acquiror shall issue at Closing to Sponsor, 750,000 shares of New Blaize Common Stock at no additional cost to Sponsor, which New Blaize Common Stock shall not be subject to any lock up or similar contractual restriction. Acquirer shall, within thirty (30) days of the Closing Date, file the Resale S-1, which shall cover the resale by Sponsor of such New Blaize Common Stock in accordance with applicable SEC rules, regulations and interpretations so as to permit the resale of such securities by Sponsor under Rule 415 at the then prevailing market prices, and shall take all reasonable steps to get the Resale S-1 declared effective as soon as possible.</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 of Certain Sponsor and Burkhan Registerable Securities</w:t>
      </w:r>
      <w:r>
        <w:rPr>
          <w:rFonts w:ascii="Times New Roman" w:cs="Times New Roman" w:eastAsia="Times New Roman" w:hAnsi="Times New Roman"/>
          <w:sz w:val="18"/>
          <w:szCs w:val="18"/>
          <w:color w:val="auto"/>
        </w:rPr>
        <w:t>. Notwithstanding the Amended and Restated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the date first set forth above (the “</w:t>
      </w:r>
      <w:r>
        <w:rPr>
          <w:rFonts w:ascii="Times New Roman" w:cs="Times New Roman" w:eastAsia="Times New Roman" w:hAnsi="Times New Roman"/>
          <w:sz w:val="18"/>
          <w:szCs w:val="18"/>
          <w:u w:val="single" w:color="auto"/>
          <w:color w:val="auto"/>
        </w:rPr>
        <w:t>RRA</w:t>
      </w:r>
      <w:r>
        <w:rPr>
          <w:rFonts w:ascii="Times New Roman" w:cs="Times New Roman" w:eastAsia="Times New Roman" w:hAnsi="Times New Roman"/>
          <w:sz w:val="18"/>
          <w:szCs w:val="18"/>
          <w:color w:val="auto"/>
        </w:rPr>
        <w:t xml:space="preserve">”) entered into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Acquiror, Sponsor and the Sponsor Group (as defined in the RRA), or Section 1(c) or Section 2(b) above, within four (4) business days following the Closing Date, Acquiror shall submit to or file with the United States Securities and Exchange Commission, a Registration Statement for a Shelf Registration (as defined in the RRA) on Form S-1 (the “</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xml:space="preserve">”), covering the resale of all Registerable Securities (as defined in the RRA) of Sponsor and the Sponsor Group, which shall be the same Form S-1 filed by Acquiror pursuant to Section 2.1 of that certain Registration Rights Agreement dated the date first set forth above, entered into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Acquiror, and Ava Investors SA, Ava Private Markets S.À R.L., Barthélémy Debray, Raphaëlle Mahieu and/or Benjamin Hazan (the “</w:t>
      </w:r>
      <w:r>
        <w:rPr>
          <w:rFonts w:ascii="Times New Roman" w:cs="Times New Roman" w:eastAsia="Times New Roman" w:hAnsi="Times New Roman"/>
          <w:sz w:val="18"/>
          <w:szCs w:val="18"/>
          <w:u w:val="single" w:color="auto"/>
          <w:color w:val="auto"/>
        </w:rPr>
        <w:t>Ava Parties</w:t>
      </w:r>
      <w:r>
        <w:rPr>
          <w:rFonts w:ascii="Times New Roman" w:cs="Times New Roman" w:eastAsia="Times New Roman" w:hAnsi="Times New Roman"/>
          <w:sz w:val="18"/>
          <w:szCs w:val="18"/>
          <w:color w:val="auto"/>
        </w:rPr>
        <w:t>”) regarding the registerable securities of the Ava Parties (the “</w:t>
      </w:r>
      <w:r>
        <w:rPr>
          <w:rFonts w:ascii="Times New Roman" w:cs="Times New Roman" w:eastAsia="Times New Roman" w:hAnsi="Times New Roman"/>
          <w:sz w:val="18"/>
          <w:szCs w:val="18"/>
          <w:u w:val="single" w:color="auto"/>
          <w:color w:val="auto"/>
        </w:rPr>
        <w:t>Ava Group Registerable Securities</w:t>
      </w:r>
      <w:r>
        <w:rPr>
          <w:rFonts w:ascii="Times New Roman" w:cs="Times New Roman" w:eastAsia="Times New Roman" w:hAnsi="Times New Roman"/>
          <w:sz w:val="18"/>
          <w:szCs w:val="18"/>
          <w:color w:val="auto"/>
        </w:rPr>
        <w:t>”). Acquiror shall use its reasonable best efforts to have such Form S-1 declared effective as soon as practicable after the filing thereof and to maintain the Form S-1 in accordance with the terms hereof, and shall prepare and file with the SEC such amendments, including post-effective amendments, and supplements as may be necessary to keep the Form S-1 continuously effective, in each case in line with Acquiror’s obligations under the RRA.</w:t>
      </w:r>
    </w:p>
    <w:p>
      <w:pPr>
        <w:spacing w:after="0" w:line="87" w:lineRule="exact"/>
        <w:rPr>
          <w:rFonts w:ascii="Times New Roman" w:cs="Times New Roman" w:eastAsia="Times New Roman" w:hAnsi="Times New Roman"/>
          <w:sz w:val="18"/>
          <w:szCs w:val="18"/>
          <w:color w:val="auto"/>
        </w:rPr>
      </w:pPr>
    </w:p>
    <w:p>
      <w:pPr>
        <w:ind w:left="424" w:right="400" w:hanging="424"/>
        <w:spacing w:after="0" w:line="286" w:lineRule="auto"/>
        <w:tabs>
          <w:tab w:leader="none" w:pos="42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Terms</w:t>
      </w:r>
      <w:r>
        <w:rPr>
          <w:rFonts w:ascii="Times New Roman" w:cs="Times New Roman" w:eastAsia="Times New Roman" w:hAnsi="Times New Roman"/>
          <w:sz w:val="18"/>
          <w:szCs w:val="18"/>
          <w:color w:val="auto"/>
        </w:rPr>
        <w:t>. Sections 11.2 through 11.5, Sections 11.7 through 11.8, Sections 11.10 through 11.16 and Section 11.18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Letter Agreement, as if set forth in full herein.</w:t>
      </w:r>
    </w:p>
    <w:p>
      <w:pPr>
        <w:spacing w:after="0" w:line="1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89" w:name="page290"/>
    <w:bookmarkEnd w:id="289"/>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Letter Agreement to be duly executed and delivered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BURTECH MERGER SUB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BLAIZE, INC.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BURKHAN CAPITAL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BurTech LP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HIN</w:t>
      </w:r>
      <w:r>
        <w:rPr>
          <w:rFonts w:ascii="Times New Roman" w:cs="Times New Roman" w:eastAsia="Times New Roman" w:hAnsi="Times New Roman"/>
          <w:sz w:val="18"/>
          <w:szCs w:val="18"/>
          <w:b w:val="1"/>
          <w:bCs w:val="1"/>
          <w:color w:val="auto"/>
        </w:rPr>
        <w:t>CI,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4659 G</w:t>
      </w:r>
      <w:r>
        <w:rPr>
          <w:rFonts w:ascii="Times New Roman" w:cs="Times New Roman" w:eastAsia="Times New Roman" w:hAnsi="Times New Roman"/>
          <w:sz w:val="14"/>
          <w:szCs w:val="14"/>
          <w:color w:val="auto"/>
        </w:rPr>
        <w:t>OLDEN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OOTHILL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KWY</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ORADO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ILLS</w:t>
      </w:r>
      <w:r>
        <w:rPr>
          <w:rFonts w:ascii="Times New Roman" w:cs="Times New Roman" w:eastAsia="Times New Roman" w:hAnsi="Times New Roman"/>
          <w:sz w:val="18"/>
          <w:szCs w:val="18"/>
          <w:color w:val="auto"/>
        </w:rPr>
        <w:t>, CA 95762</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4659 Golden Foothill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201, El Dorado Hills, CA 95762, 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Dinakar: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ThinCI, Inc. (the “Company”) is pleased to offer you continuing employment on the following terms:</w:t>
      </w:r>
    </w:p>
    <w:p>
      <w:pPr>
        <w:spacing w:after="0" w:line="113" w:lineRule="exact"/>
        <w:rPr>
          <w:sz w:val="20"/>
          <w:szCs w:val="20"/>
          <w:color w:val="auto"/>
        </w:rPr>
      </w:pPr>
    </w:p>
    <w:p>
      <w:pPr>
        <w:ind w:right="160" w:firstLine="987"/>
        <w:spacing w:after="0" w:line="259" w:lineRule="auto"/>
        <w:tabs>
          <w:tab w:leader="none" w:pos="117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and position with the Company will remain Chief Executive Officer, and you will continue to report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Board of Directors.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9" w:lineRule="exact"/>
        <w:rPr>
          <w:rFonts w:ascii="Times New Roman" w:cs="Times New Roman" w:eastAsia="Times New Roman" w:hAnsi="Times New Roman"/>
          <w:sz w:val="18"/>
          <w:szCs w:val="18"/>
          <w:color w:val="auto"/>
        </w:rPr>
      </w:pPr>
    </w:p>
    <w:p>
      <w:pPr>
        <w:ind w:firstLine="987"/>
        <w:spacing w:after="0" w:line="231" w:lineRule="auto"/>
        <w:tabs>
          <w:tab w:leader="none" w:pos="117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The Company will continue to pay you a salary at the rate of $200000 per year, payable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payroll schedule. This salary will be subject to adjustment pursuant to the Company’s employee compensation policies in effect from time to time. In addition, you will continue to be eligible to be considered for an incentive bonus for each fiscal year of the Company. The bonus (if any) will be awarded based on objective or subjective criteria mutually established and agreed between you and the Company’s Board of Directors. Any bonus for a fiscal year will be paid within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months after the close of that fiscal year, but only if you are still employed by the Company at the time of payment. The determinations of the Company’s Board of Directors with respect to your bonus will be final and binding.</w:t>
      </w:r>
    </w:p>
    <w:p>
      <w:pPr>
        <w:spacing w:after="0" w:line="194" w:lineRule="exact"/>
        <w:rPr>
          <w:rFonts w:ascii="Times New Roman" w:cs="Times New Roman" w:eastAsia="Times New Roman" w:hAnsi="Times New Roman"/>
          <w:sz w:val="18"/>
          <w:szCs w:val="18"/>
          <w:color w:val="auto"/>
        </w:rPr>
      </w:pPr>
    </w:p>
    <w:p>
      <w:pPr>
        <w:ind w:right="420" w:firstLine="987"/>
        <w:spacing w:after="0" w:line="317" w:lineRule="auto"/>
        <w:tabs>
          <w:tab w:leader="none" w:pos="117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be entitled to paid vacation in accordance with the Company’s vacation policy, as in effect from time to time.</w:t>
      </w:r>
    </w:p>
    <w:p>
      <w:pPr>
        <w:spacing w:after="0" w:line="131" w:lineRule="exact"/>
        <w:rPr>
          <w:rFonts w:ascii="Times New Roman" w:cs="Times New Roman" w:eastAsia="Times New Roman" w:hAnsi="Times New Roman"/>
          <w:sz w:val="17"/>
          <w:szCs w:val="17"/>
          <w:color w:val="auto"/>
        </w:rPr>
      </w:pPr>
    </w:p>
    <w:p>
      <w:pPr>
        <w:ind w:left="1160" w:hanging="173"/>
        <w:spacing w:after="0"/>
        <w:tabs>
          <w:tab w:leader="none" w:pos="11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60" w:firstLine="987"/>
        <w:spacing w:after="0" w:line="261" w:lineRule="auto"/>
        <w:tabs>
          <w:tab w:leader="none" w:pos="12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previously purchased 3,000,000 shares of the Company’s Common Stock (the “Purchased Shares”). The Purchased Shares will remain outstanding and subject to the terms of the Stock Purchase Agreement dated March 2, 2010 evidencing the Purchased Shares. In addition, you previously received an option grant to purchase 1,470,000 shares of the Company’s Common Stock (the “Stock Option”) pursuant to the Company’s 2011 Stock Plan.</w:t>
      </w:r>
    </w:p>
    <w:p>
      <w:pPr>
        <w:sectPr>
          <w:pgSz w:w="11900" w:h="16838" w:orient="portrait"/>
          <w:cols w:equalWidth="0" w:num="1">
            <w:col w:w="11020"/>
          </w:cols>
          <w:pgMar w:left="440" w:top="117"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Stock Option will remain outstanding and subject to the terms of the Stock Option Agreement dated March 15, 2017 evidencing the Stock Option. You further acknowledge and agree that as of the date hereof, except as described in this Section 4, you have no other rights to or interests in the Company’s stock.</w:t>
      </w:r>
    </w:p>
    <w:p>
      <w:pPr>
        <w:spacing w:after="0" w:line="176" w:lineRule="exact"/>
        <w:rPr>
          <w:sz w:val="20"/>
          <w:szCs w:val="20"/>
          <w:color w:val="auto"/>
        </w:rPr>
      </w:pPr>
    </w:p>
    <w:p>
      <w:pPr>
        <w:ind w:right="100" w:firstLine="987"/>
        <w:spacing w:after="0" w:line="282" w:lineRule="auto"/>
        <w:tabs>
          <w:tab w:leader="none" w:pos="12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vest in 100% of your remaining unvested Stock Option shares if you are subject to an Involuntary Termination. Such vesting acceleration benefit shall apply to any further options to purchase the Company’s common stock that are issued to you in the future.</w:t>
      </w:r>
    </w:p>
    <w:p>
      <w:pPr>
        <w:spacing w:after="0" w:line="158" w:lineRule="exact"/>
        <w:rPr>
          <w:sz w:val="20"/>
          <w:szCs w:val="20"/>
          <w:color w:val="auto"/>
        </w:rPr>
      </w:pPr>
    </w:p>
    <w:p>
      <w:pPr>
        <w:ind w:left="1160" w:hanging="173"/>
        <w:spacing w:after="0"/>
        <w:tabs>
          <w:tab w:leader="none" w:pos="11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If you are subject to an Involuntary Termination, then you will be entitled to the benefits described in this 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5.</w:t>
      </w:r>
    </w:p>
    <w:p>
      <w:pPr>
        <w:spacing w:after="0" w:line="182" w:lineRule="exact"/>
        <w:rPr>
          <w:rFonts w:ascii="Times New Roman" w:cs="Times New Roman" w:eastAsia="Times New Roman" w:hAnsi="Times New Roman"/>
          <w:sz w:val="18"/>
          <w:szCs w:val="18"/>
          <w:color w:val="auto"/>
        </w:rPr>
      </w:pPr>
    </w:p>
    <w:p>
      <w:pPr>
        <w:ind w:right="100" w:firstLine="987"/>
        <w:spacing w:after="0" w:line="268" w:lineRule="auto"/>
        <w:tabs>
          <w:tab w:leader="none" w:pos="124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Not in Connection with a Change in Control</w:t>
      </w:r>
      <w:r>
        <w:rPr>
          <w:rFonts w:ascii="Times New Roman" w:cs="Times New Roman" w:eastAsia="Times New Roman" w:hAnsi="Times New Roman"/>
          <w:sz w:val="18"/>
          <w:szCs w:val="18"/>
          <w:color w:val="auto"/>
        </w:rPr>
        <w:t>. Subject to the requirements set forth in Section 5(a) above,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 Involuntary Termination either prior to a Change in Control or more than one year after a Change in Control, then you will be entitled to the following:</w:t>
      </w:r>
    </w:p>
    <w:p>
      <w:pPr>
        <w:spacing w:after="0" w:line="62" w:lineRule="exact"/>
        <w:rPr>
          <w:rFonts w:ascii="Times New Roman" w:cs="Times New Roman" w:eastAsia="Times New Roman" w:hAnsi="Times New Roman"/>
          <w:sz w:val="18"/>
          <w:szCs w:val="18"/>
          <w:color w:val="auto"/>
        </w:rPr>
      </w:pPr>
    </w:p>
    <w:p>
      <w:pPr>
        <w:ind w:left="440" w:firstLine="948"/>
        <w:spacing w:after="0" w:line="268" w:lineRule="auto"/>
        <w:tabs>
          <w:tab w:leader="none" w:pos="160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Severance</w:t>
      </w:r>
      <w:r>
        <w:rPr>
          <w:rFonts w:ascii="Times New Roman" w:cs="Times New Roman" w:eastAsia="Times New Roman" w:hAnsi="Times New Roman"/>
          <w:sz w:val="18"/>
          <w:szCs w:val="18"/>
          <w:color w:val="auto"/>
        </w:rPr>
        <w:t>. The Company will pay you a lump sum equal to three months of your base salary at the rate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your Separation (your “Base Salary”). Such payment will be made within 60 days after your Separation; however, if such 60-day period spans two calendar years, then the payment will be made in the second calendar year.</w:t>
      </w:r>
    </w:p>
    <w:p>
      <w:pPr>
        <w:spacing w:after="0" w:line="62" w:lineRule="exact"/>
        <w:rPr>
          <w:rFonts w:ascii="Times New Roman" w:cs="Times New Roman" w:eastAsia="Times New Roman" w:hAnsi="Times New Roman"/>
          <w:sz w:val="18"/>
          <w:szCs w:val="18"/>
          <w:color w:val="auto"/>
        </w:rPr>
      </w:pPr>
    </w:p>
    <w:p>
      <w:pPr>
        <w:ind w:left="440" w:right="120" w:firstLine="948"/>
        <w:spacing w:after="0" w:line="259" w:lineRule="auto"/>
        <w:tabs>
          <w:tab w:leader="none" w:pos="165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Continuation</w:t>
      </w:r>
      <w:r>
        <w:rPr>
          <w:rFonts w:ascii="Times New Roman" w:cs="Times New Roman" w:eastAsia="Times New Roman" w:hAnsi="Times New Roman"/>
          <w:sz w:val="18"/>
          <w:szCs w:val="18"/>
          <w:color w:val="auto"/>
        </w:rPr>
        <w:t>. The Company will pay seventy-five percent (75%) of your Base Salary (the “Adjusted Salary”)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beginning on the day after your Separation and ending on the date twelve (12) months after your Separation. The Adjusted Salary will be paid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ectPr>
          <w:pgSz w:w="11900" w:h="16838" w:orient="portrait"/>
          <w:cols w:equalWidth="0" w:num="1">
            <w:col w:w="10960"/>
          </w:cols>
          <w:pgMar w:left="440" w:top="270"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30" w:lineRule="exact"/>
        <w:rPr>
          <w:sz w:val="20"/>
          <w:szCs w:val="20"/>
          <w:color w:val="auto"/>
        </w:rPr>
      </w:pPr>
    </w:p>
    <w:p>
      <w:pPr>
        <w:jc w:val="both"/>
        <w:ind w:left="440" w:right="80" w:firstLine="948"/>
        <w:spacing w:after="0" w:line="274" w:lineRule="auto"/>
        <w:tabs>
          <w:tab w:leader="none" w:pos="1707"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If you elect to continue your health insurance coverage under COBRA following your Separation, then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pay the same portion of your monthly premium under COBRA as it pays for active employees and their eligible dependents until the earliest of (i) the close of the twelve (12)-month period following your Separation, (ii) the expiration of your continuation coverage under COBRA or</w:t>
      </w:r>
    </w:p>
    <w:p>
      <w:pPr>
        <w:ind w:left="760" w:hanging="324"/>
        <w:spacing w:after="0"/>
        <w:tabs>
          <w:tab w:leader="none" w:pos="7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you become eligible for substantially equivalent health insurance coverage in connection with new employment 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self-employment.</w:t>
      </w:r>
    </w:p>
    <w:p>
      <w:pPr>
        <w:spacing w:after="0" w:line="203" w:lineRule="exact"/>
        <w:rPr>
          <w:sz w:val="20"/>
          <w:szCs w:val="20"/>
          <w:color w:val="auto"/>
        </w:rPr>
      </w:pPr>
    </w:p>
    <w:p>
      <w:pPr>
        <w:ind w:right="140" w:firstLine="987"/>
        <w:spacing w:after="0" w:line="286" w:lineRule="auto"/>
        <w:tabs>
          <w:tab w:leader="none" w:pos="123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in Connection With Change in Control</w:t>
      </w:r>
      <w:r>
        <w:rPr>
          <w:rFonts w:ascii="Times New Roman" w:cs="Times New Roman" w:eastAsia="Times New Roman" w:hAnsi="Times New Roman"/>
          <w:sz w:val="18"/>
          <w:szCs w:val="18"/>
          <w:color w:val="auto"/>
        </w:rPr>
        <w:t>. Subject to the requirements set forth in Section 5(a) above, if you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Involuntary Termination in connection with or within one year after a Change in Control, then you will be entitled to the following:</w:t>
      </w:r>
    </w:p>
    <w:p>
      <w:pPr>
        <w:spacing w:after="0" w:line="46" w:lineRule="exact"/>
        <w:rPr>
          <w:rFonts w:ascii="Times New Roman" w:cs="Times New Roman" w:eastAsia="Times New Roman" w:hAnsi="Times New Roman"/>
          <w:sz w:val="18"/>
          <w:szCs w:val="18"/>
          <w:color w:val="auto"/>
        </w:rPr>
      </w:pPr>
    </w:p>
    <w:p>
      <w:pPr>
        <w:ind w:left="440" w:right="60" w:firstLine="948"/>
        <w:spacing w:after="0" w:line="268" w:lineRule="auto"/>
        <w:tabs>
          <w:tab w:leader="none" w:pos="1607"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Severance</w:t>
      </w:r>
      <w:r>
        <w:rPr>
          <w:rFonts w:ascii="Times New Roman" w:cs="Times New Roman" w:eastAsia="Times New Roman" w:hAnsi="Times New Roman"/>
          <w:sz w:val="18"/>
          <w:szCs w:val="18"/>
          <w:color w:val="auto"/>
        </w:rPr>
        <w:t>. The Company will pay you a lump sum equal to one year of your base salary at the rate in effect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Separation. Such payment will be made within 60 days after your Separation; however, if such 60-day period spans two calendar years, then the payment will be made in the second calendar year.</w:t>
      </w:r>
    </w:p>
    <w:p>
      <w:pPr>
        <w:spacing w:after="0" w:line="62" w:lineRule="exact"/>
        <w:rPr>
          <w:rFonts w:ascii="Times New Roman" w:cs="Times New Roman" w:eastAsia="Times New Roman" w:hAnsi="Times New Roman"/>
          <w:sz w:val="18"/>
          <w:szCs w:val="18"/>
          <w:color w:val="auto"/>
        </w:rPr>
      </w:pPr>
    </w:p>
    <w:p>
      <w:pPr>
        <w:jc w:val="both"/>
        <w:ind w:left="440" w:right="80" w:firstLine="948"/>
        <w:spacing w:after="0" w:line="274" w:lineRule="auto"/>
        <w:tabs>
          <w:tab w:leader="none" w:pos="1657" w:val="left"/>
        </w:tabs>
        <w:numPr>
          <w:ilvl w:val="2"/>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If you elect to continue your health insurance coverage under COBRA following your Separation, then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pay the same portion of your monthly premium under COBRA as it pays for active employees and their eligible dependents until the earliest of (i) the close of the twelve (12)-month period following your Separation, (ii) the expiration of your continuation coverage under COBRA or</w:t>
      </w:r>
    </w:p>
    <w:p>
      <w:pPr>
        <w:ind w:left="440" w:right="560" w:hanging="4"/>
        <w:spacing w:after="0" w:line="260" w:lineRule="auto"/>
        <w:tabs>
          <w:tab w:leader="none" w:pos="75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you become eligible for substantially equivalent health insurance coverage in connection with new employment or self-employment.</w:t>
      </w:r>
    </w:p>
    <w:p>
      <w:pPr>
        <w:spacing w:after="0" w:line="177" w:lineRule="exact"/>
        <w:rPr>
          <w:sz w:val="20"/>
          <w:szCs w:val="20"/>
          <w:color w:val="auto"/>
        </w:rPr>
      </w:pPr>
    </w:p>
    <w:p>
      <w:pPr>
        <w:ind w:right="700" w:firstLine="987"/>
        <w:spacing w:after="0" w:line="286" w:lineRule="auto"/>
        <w:tabs>
          <w:tab w:leader="none" w:pos="117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Information and Inventions Agreement</w:t>
      </w:r>
      <w:r>
        <w:rPr>
          <w:rFonts w:ascii="Times New Roman" w:cs="Times New Roman" w:eastAsia="Times New Roman" w:hAnsi="Times New Roman"/>
          <w:sz w:val="18"/>
          <w:szCs w:val="18"/>
          <w:color w:val="auto"/>
        </w:rPr>
        <w:t>. You will remain subject to the Proprietary Information and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between you and the Company, a copy of which is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987"/>
        <w:spacing w:after="0" w:line="257" w:lineRule="auto"/>
        <w:tabs>
          <w:tab w:leader="none" w:pos="117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ectPr>
          <w:pgSz w:w="11900" w:h="16838" w:orient="portrait"/>
          <w:cols w:equalWidth="0" w:num="1">
            <w:col w:w="10960"/>
          </w:cols>
          <w:pgMar w:left="440" w:top="270"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30" w:lineRule="exact"/>
        <w:rPr>
          <w:sz w:val="20"/>
          <w:szCs w:val="20"/>
          <w:color w:val="auto"/>
        </w:rPr>
      </w:pPr>
    </w:p>
    <w:p>
      <w:pPr>
        <w:ind w:left="1160" w:hanging="173"/>
        <w:spacing w:after="0"/>
        <w:tabs>
          <w:tab w:leader="none" w:pos="11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86"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All forms of compensation referred to in this letter agreement are subject to reduction to reflect applicable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payroll taxes and other deductions required by law.</w:t>
      </w:r>
    </w:p>
    <w:p>
      <w:pPr>
        <w:spacing w:after="0" w:line="15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For purposes of Section 409A of the Code, each payment under Section 5 is hereby designated as a separate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Treasury Regulation 1.409A-2(b)(2). If the Company determines that you are a “specified employee” under Section 409A(a)(2)(B)(i) of the Code at the time of your Separation, then (i) any payments under this letter agreement, to the extent that they are not exempt from Section 409A of the Code (including by operation of the next following sentence) and otherwise subject to the taxes imposed under Section 409A(a)(1) of the Code (a “Deferred Payment”), will commence on the first business day following the earlier of (A) the expiration of the six-month period measured from your Separation or (B) the date of your death and (ii) the installments that otherwise would have been paid prior to such date will be paid in a lump sum when such payments commence. Notwithstanding the foregoing, any amount paid under this letter agreement that either (1) satisfies the requirements of the “short-term deferral” rule set forth in Treasury Regulation 1.409A-1(b)(4); or (2) (A) qualifies as a payment made as a result of an involuntary separation from service pursuant to Treasury Regulation 1.409A-1(b)(9)(iii), and (B) does not exceed the Section 409A Limit will not constitute a Deferred Payment. The provisions of this letter agreement are intended to comply with, or be exempt from, the requirements of Section 409A of the Code so that none of the payments and benefits to be provided under this letter agreement will be subject to the additional tax imposed under</w:t>
      </w:r>
    </w:p>
    <w:p>
      <w:pPr>
        <w:spacing w:after="0" w:line="7" w:lineRule="exact"/>
        <w:rPr>
          <w:rFonts w:ascii="Times New Roman" w:cs="Times New Roman" w:eastAsia="Times New Roman" w:hAnsi="Times New Roman"/>
          <w:sz w:val="18"/>
          <w:szCs w:val="18"/>
          <w:color w:val="auto"/>
        </w:rPr>
      </w:pPr>
    </w:p>
    <w:p>
      <w:pPr>
        <w:ind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and any ambiguities herein will be interpreted to so comply or be exempt. You and the Company agree to work together in good faith to consider amendments to this letter agreement and to take such reasonable actions as are necessary, appropriate or desirable to avoid imposition of any additional tax or income recognition prior to actual payment to you under Section 409A of the Code.</w:t>
      </w:r>
    </w:p>
    <w:p>
      <w:pPr>
        <w:spacing w:after="0" w:line="181" w:lineRule="exact"/>
        <w:rPr>
          <w:rFonts w:ascii="Times New Roman" w:cs="Times New Roman" w:eastAsia="Times New Roman" w:hAnsi="Times New Roman"/>
          <w:sz w:val="18"/>
          <w:szCs w:val="18"/>
          <w:color w:val="auto"/>
        </w:rPr>
      </w:pPr>
    </w:p>
    <w:p>
      <w:pPr>
        <w:ind w:right="240" w:firstLine="987"/>
        <w:spacing w:after="0" w:line="268"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Advice</w:t>
      </w:r>
      <w:r>
        <w:rPr>
          <w:rFonts w:ascii="Times New Roman" w:cs="Times New Roman" w:eastAsia="Times New Roman" w:hAnsi="Times New Roman"/>
          <w:sz w:val="18"/>
          <w:szCs w:val="18"/>
          <w:color w:val="auto"/>
        </w:rPr>
        <w:t>. You are encouraged to obtain your own tax advice regarding your compensation from the Company. You agree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1" w:lineRule="exact"/>
        <w:rPr>
          <w:sz w:val="20"/>
          <w:szCs w:val="20"/>
          <w:color w:val="auto"/>
        </w:rPr>
      </w:pPr>
    </w:p>
    <w:p>
      <w:pPr>
        <w:ind w:firstLine="987"/>
        <w:spacing w:after="0" w:line="255" w:lineRule="auto"/>
        <w:tabs>
          <w:tab w:leader="none" w:pos="117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 Amendment and Enforcement</w:t>
      </w:r>
      <w:r>
        <w:rPr>
          <w:rFonts w:ascii="Times New Roman" w:cs="Times New Roman" w:eastAsia="Times New Roman" w:hAnsi="Times New Roman"/>
          <w:sz w:val="18"/>
          <w:szCs w:val="18"/>
          <w:color w:val="auto"/>
        </w:rPr>
        <w:t>. This letter agreement and Exhibit A supersede and replace any prior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ectPr>
          <w:pgSz w:w="11900" w:h="16838" w:orient="portrait"/>
          <w:cols w:equalWidth="0" w:num="1">
            <w:col w:w="10980"/>
          </w:cols>
          <w:pgMar w:left="440" w:top="270"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30" w:lineRule="exact"/>
        <w:rPr>
          <w:sz w:val="20"/>
          <w:szCs w:val="20"/>
          <w:color w:val="auto"/>
        </w:rPr>
      </w:pPr>
    </w:p>
    <w:p>
      <w:pPr>
        <w:ind w:left="1260" w:hanging="273"/>
        <w:spacing w:after="0"/>
        <w:tabs>
          <w:tab w:leader="none" w:pos="12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7" w:lineRule="auto"/>
        <w:tabs>
          <w:tab w:leader="none" w:pos="12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lease,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liquidation or otherwise) to all or substantially all of the Company’s business and/or assets will assume the obligations under this letter agreement and agree expressly to perform the obligations under this letter agreement in the same manner and to the same extent as the Company would be required to perform such obligations in the absence of a succession. For all purposes under this letter agreement, the term “Company” shall include any such successor to the Company, or to the Company’s business and/or assets, that executes and delivers the assumption agreement described in this Section 11(a) or which becomes bound by the terms of this letter agreement by operation of law.</w:t>
      </w:r>
    </w:p>
    <w:p>
      <w:pPr>
        <w:spacing w:after="0" w:line="182" w:lineRule="exact"/>
        <w:rPr>
          <w:rFonts w:ascii="Times New Roman" w:cs="Times New Roman" w:eastAsia="Times New Roman" w:hAnsi="Times New Roman"/>
          <w:sz w:val="18"/>
          <w:szCs w:val="18"/>
          <w:color w:val="auto"/>
        </w:rPr>
      </w:pPr>
    </w:p>
    <w:p>
      <w:pPr>
        <w:ind w:right="480" w:firstLine="987"/>
        <w:spacing w:after="0" w:line="268" w:lineRule="auto"/>
        <w:tabs>
          <w:tab w:leader="none" w:pos="12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Successors</w:t>
      </w:r>
      <w:r>
        <w:rPr>
          <w:rFonts w:ascii="Times New Roman" w:cs="Times New Roman" w:eastAsia="Times New Roman" w:hAnsi="Times New Roman"/>
          <w:sz w:val="18"/>
          <w:szCs w:val="18"/>
          <w:color w:val="auto"/>
        </w:rPr>
        <w:t>. The terms of this letter agreement and all of your rights hereunder will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by, your personal or legal representatives, executors, administrators, successors, heirs, distributees, devisees and legatees. All of your obligations under this letter agreement are personal to you and may not be transferred or assigned by you at any time.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following terms have the meaning set forth below wherever they are used in this letter agreement:</w:t>
      </w:r>
    </w:p>
    <w:p>
      <w:pPr>
        <w:spacing w:after="0" w:line="11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w:t>
      </w:r>
    </w:p>
    <w:p>
      <w:pPr>
        <w:spacing w:after="0" w:line="182"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consummation of a Liquidation Event (as such term is defined in the Company’s Restated Certificate of Incorporation, as may be amended from time to time); provided, however, a liquidation, dissolution or winding up of the Company will not constitute a Change in Control.</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transaction will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a transaction shall not constitute a Change in Control unless such</w:t>
      </w:r>
    </w:p>
    <w:p>
      <w:pPr>
        <w:sectPr>
          <w:pgSz w:w="11900" w:h="16838" w:orient="portrait"/>
          <w:cols w:equalWidth="0" w:num="1">
            <w:col w:w="10940"/>
          </w:cols>
          <w:pgMar w:left="440" w:top="270" w:right="5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3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transaction also qualifies as an event under Treasury Regulation 1.409A-3(i)(5)(v) (change in the ownership of a corporation), Treasury Regulation 1.409A-3(i)(5)(vi) (change in the effective control of a corporation), or Treasury Regulation 1.409A-3(i)(5)(vii) (change in the ownership of a substantial portion of a corporation’s assets).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means either (a) your Termination Without Cause or (b) your Resignation for Good Reason.</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for Good Reason</w:t>
      </w:r>
      <w:r>
        <w:rPr>
          <w:rFonts w:ascii="Times New Roman" w:cs="Times New Roman" w:eastAsia="Times New Roman" w:hAnsi="Times New Roman"/>
          <w:sz w:val="18"/>
          <w:szCs w:val="18"/>
          <w:color w:val="auto"/>
        </w:rPr>
        <w:t>” means a Separation as a result of your resignation within 12 months after one of the following conditions has come into existence without your express written consent:</w:t>
      </w:r>
    </w:p>
    <w:p>
      <w:pPr>
        <w:spacing w:after="0" w:line="51" w:lineRule="exact"/>
        <w:rPr>
          <w:sz w:val="20"/>
          <w:szCs w:val="20"/>
          <w:color w:val="auto"/>
        </w:rPr>
      </w:pPr>
    </w:p>
    <w:p>
      <w:pPr>
        <w:ind w:right="460" w:firstLine="1428"/>
        <w:spacing w:after="0" w:line="282" w:lineRule="auto"/>
        <w:tabs>
          <w:tab w:leader="none" w:pos="164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your base salary by more than 10% (unless a reduction in a similar percentage is made in connection with an across the board reduction in base salaries of the Company’s senior executives);</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69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your authority, duties or responsibilities, including the fact that you are no longer serving as the Company’s Chief Executive Officer prior to a Change in Control, or are not serving as the primary executive officer in charge of a subsidiary or business unit that is a successor to the Company’s business following a Change in Control; excluding any change (including a change in your title) made solely as the result of your employer becoming a subsidiary or business unit of a larger company following a Change in Control; or</w:t>
      </w:r>
    </w:p>
    <w:p>
      <w:pPr>
        <w:spacing w:after="0" w:line="179"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your principal workplace by more than 40 miles.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58"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 Limit</w:t>
      </w:r>
      <w:r>
        <w:rPr>
          <w:rFonts w:ascii="Times New Roman" w:cs="Times New Roman" w:eastAsia="Times New Roman" w:hAnsi="Times New Roman"/>
          <w:sz w:val="18"/>
          <w:szCs w:val="18"/>
          <w:color w:val="auto"/>
        </w:rPr>
        <w:t>” means the lesser of two times: (i) your annualized compensation based upon the annual rate of pay paid to you during the taxable year preceding your taxable year in which your termination of employment occurs, as determined under, and with such adjustments as are set forth in, Treasury Regulation 1.409A-1(b)(9)(iii)(A)(1) and any guidance issued with respect thereto or (ii) the maximum amount that may be taken into account under a qualified plan pursuant to Section 401(a)(17) of the Code for the year in which your employment is terminated.</w:t>
      </w:r>
    </w:p>
    <w:p>
      <w:pPr>
        <w:sectPr>
          <w:pgSz w:w="11900" w:h="16838" w:orient="portrait"/>
          <w:cols w:equalWidth="0" w:num="1">
            <w:col w:w="11000"/>
          </w:cols>
          <w:pgMar w:left="440" w:top="270"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a “separation from service,” as defined in the regulations under Section 409A of the Code.</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Without Cause</w:t>
      </w:r>
      <w:r>
        <w:rPr>
          <w:rFonts w:ascii="Times New Roman" w:cs="Times New Roman" w:eastAsia="Times New Roman" w:hAnsi="Times New Roman"/>
          <w:sz w:val="18"/>
          <w:szCs w:val="18"/>
          <w:color w:val="auto"/>
        </w:rPr>
        <w:t>” means a Separation as a result of a termination of your employment by the Company without Cause, provided you are willing and able to continue performing services within the meaning of Treasury Regulation 1.409A-1(n)(1).</w:t>
      </w:r>
    </w:p>
    <w:p>
      <w:pPr>
        <w:spacing w:after="0" w:line="1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 * * * *</w:t>
      </w:r>
    </w:p>
    <w:p>
      <w:pPr>
        <w:sectPr>
          <w:pgSz w:w="11900" w:h="16838" w:orient="portrait"/>
          <w:cols w:equalWidth="0" w:num="1">
            <w:col w:w="10580"/>
          </w:cols>
          <w:pgMar w:left="440" w:top="270" w:right="8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Dinakar Munagala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3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if you have not already done so.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you have any questions, please call me at _____________.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HIN</w:t>
      </w:r>
      <w:r>
        <w:rPr>
          <w:rFonts w:ascii="Times New Roman" w:cs="Times New Roman" w:eastAsia="Times New Roman" w:hAnsi="Times New Roman"/>
          <w:sz w:val="18"/>
          <w:szCs w:val="18"/>
          <w:color w:val="auto"/>
        </w:rPr>
        <w:t>CI,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Ke 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17145</wp:posOffset>
            </wp:positionV>
            <wp:extent cx="25203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VP of Engineering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offer: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Dinakar Munagala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6/20/2018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Proprietary Information and Inventions Agreement</w:t>
      </w:r>
    </w:p>
    <w:p>
      <w:pPr>
        <w:sectPr>
          <w:pgSz w:w="11900" w:h="16838" w:orient="portrait"/>
          <w:cols w:equalWidth="0" w:num="1">
            <w:col w:w="10920"/>
          </w:cols>
          <w:pgMar w:left="440" w:top="270" w:right="5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HIN</w:t>
      </w:r>
      <w:r>
        <w:rPr>
          <w:rFonts w:ascii="Times New Roman" w:cs="Times New Roman" w:eastAsia="Times New Roman" w:hAnsi="Times New Roman"/>
          <w:sz w:val="18"/>
          <w:szCs w:val="18"/>
          <w:b w:val="1"/>
          <w:bCs w:val="1"/>
          <w:color w:val="auto"/>
        </w:rPr>
        <w:t>CI,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4659 G</w:t>
      </w:r>
      <w:r>
        <w:rPr>
          <w:rFonts w:ascii="Times New Roman" w:cs="Times New Roman" w:eastAsia="Times New Roman" w:hAnsi="Times New Roman"/>
          <w:sz w:val="14"/>
          <w:szCs w:val="14"/>
          <w:color w:val="auto"/>
        </w:rPr>
        <w:t>OLDEN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OOTHILL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KWY</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ORADO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ILLS</w:t>
      </w:r>
      <w:r>
        <w:rPr>
          <w:rFonts w:ascii="Times New Roman" w:cs="Times New Roman" w:eastAsia="Times New Roman" w:hAnsi="Times New Roman"/>
          <w:sz w:val="18"/>
          <w:szCs w:val="18"/>
          <w:color w:val="auto"/>
        </w:rPr>
        <w:t>, CA 95762</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20,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 S Oak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Woodland Hills, UT 84653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Val:</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ThinCI, Inc. (the “Company”) is pleased to offer you continuing employment on the following terms:</w:t>
      </w:r>
    </w:p>
    <w:p>
      <w:pPr>
        <w:spacing w:after="0" w:line="113" w:lineRule="exact"/>
        <w:rPr>
          <w:sz w:val="20"/>
          <w:szCs w:val="20"/>
          <w:color w:val="auto"/>
        </w:rPr>
      </w:pPr>
    </w:p>
    <w:p>
      <w:pPr>
        <w:jc w:val="both"/>
        <w:ind w:right="180" w:firstLine="987"/>
        <w:spacing w:after="0" w:line="259" w:lineRule="auto"/>
        <w:tabs>
          <w:tab w:leader="none" w:pos="117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and position with the Company will remain Chief Software Architect/Vice President of Research &amp;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 will continue to report to the Company’s CEO.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9" w:lineRule="exact"/>
        <w:rPr>
          <w:sz w:val="20"/>
          <w:szCs w:val="20"/>
          <w:color w:val="auto"/>
        </w:rPr>
      </w:pPr>
    </w:p>
    <w:p>
      <w:pPr>
        <w:ind w:firstLine="991"/>
        <w:spacing w:after="0" w:line="23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The Company will continue to pay you a salary at the rate of $      per year, payable in accordance with the Company’s standard payroll schedule. This salary will be subject to adjustment pursuant to the Company’s employee compensation policies in effect from time to time. In addition, you will continue to be eligible to be considered for an incentive bonus for each fiscal year of the Company. The bonus (if any) will be awarded based on objective or subjective criteria established by the Company’s Chief Executive Officer and approved by the Company’s Board of Directors. Any bonus for a fiscal year will be paid within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months after the close of that fiscal year, but only if you are still employed by the Company at the time of payment. The determinations of the Company’s Board of Directors with respect to your bonus will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4638040</wp:posOffset>
            </wp:positionH>
            <wp:positionV relativeFrom="paragraph">
              <wp:posOffset>-709930</wp:posOffset>
            </wp:positionV>
            <wp:extent cx="3429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5" w:lineRule="exact"/>
        <w:rPr>
          <w:sz w:val="20"/>
          <w:szCs w:val="20"/>
          <w:color w:val="auto"/>
        </w:rPr>
      </w:pPr>
    </w:p>
    <w:p>
      <w:pPr>
        <w:ind w:right="420" w:firstLine="987"/>
        <w:spacing w:after="0" w:line="317" w:lineRule="auto"/>
        <w:tabs>
          <w:tab w:leader="none" w:pos="1171"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be entitled to paid vacation in accordance with the Company’s vacation policy, as in effect from time to time.</w:t>
      </w:r>
    </w:p>
    <w:p>
      <w:pPr>
        <w:sectPr>
          <w:pgSz w:w="11900" w:h="16838" w:orient="portrait"/>
          <w:cols w:equalWidth="0" w:num="1">
            <w:col w:w="11020"/>
          </w:cols>
          <w:pgMar w:left="440" w:top="117"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1160" w:hanging="173"/>
        <w:spacing w:after="0"/>
        <w:tabs>
          <w:tab w:leader="none" w:pos="11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61"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previously received an option grant to purchase 1,000,000 shares of the Company’s Common Stock (the “Stock Option”) pursuant to the Company’s 2011 Stock Plan. The Stock Option will remain outstanding and subject to the terms of the Stock Option Agreement dated March 15, 2017 evidencing the Stock Option. You further acknowledge and agree that as of the date hereof, except as described in this Section 4, you have no other rights to or interests in the Company’s stock.</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vest in 100% of your remaining unvested Stock Option shares if (a) the Company is subject to a Change in Control before your service with the Company terminates and (b) you are subject to an Involuntary Termination within 12 months after that Change in Control. Such vesting acceleration benefit shall apply to any further options to purchase the Company’s common stock that are issued to you in the future.</w:t>
      </w:r>
    </w:p>
    <w:p>
      <w:pPr>
        <w:spacing w:after="0" w:line="172" w:lineRule="exact"/>
        <w:rPr>
          <w:sz w:val="20"/>
          <w:szCs w:val="20"/>
          <w:color w:val="auto"/>
        </w:rPr>
      </w:pPr>
    </w:p>
    <w:p>
      <w:pPr>
        <w:ind w:left="1160" w:hanging="173"/>
        <w:spacing w:after="0"/>
        <w:tabs>
          <w:tab w:leader="none" w:pos="11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If you are subject to an Involuntary Termination, then you will be entitled to the benefits described in this 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5.</w:t>
      </w:r>
    </w:p>
    <w:p>
      <w:pPr>
        <w:spacing w:after="0" w:line="182" w:lineRule="exact"/>
        <w:rPr>
          <w:rFonts w:ascii="Times New Roman" w:cs="Times New Roman" w:eastAsia="Times New Roman" w:hAnsi="Times New Roman"/>
          <w:sz w:val="18"/>
          <w:szCs w:val="18"/>
          <w:color w:val="auto"/>
        </w:rPr>
      </w:pPr>
    </w:p>
    <w:p>
      <w:pPr>
        <w:ind w:right="140" w:firstLine="987"/>
        <w:spacing w:after="0" w:line="268" w:lineRule="auto"/>
        <w:tabs>
          <w:tab w:leader="none" w:pos="124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Not in Connection with a Change in Control</w:t>
      </w:r>
      <w:r>
        <w:rPr>
          <w:rFonts w:ascii="Times New Roman" w:cs="Times New Roman" w:eastAsia="Times New Roman" w:hAnsi="Times New Roman"/>
          <w:sz w:val="18"/>
          <w:szCs w:val="18"/>
          <w:color w:val="auto"/>
        </w:rPr>
        <w:t>. Subject to the requirements set forth in Section 5(a) above,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 Involuntary Termination either prior to a Change in Control or more than one year after a Change in Control, then you will be entitled to the following:</w:t>
      </w:r>
    </w:p>
    <w:p>
      <w:pPr>
        <w:spacing w:after="0" w:line="62" w:lineRule="exact"/>
        <w:rPr>
          <w:rFonts w:ascii="Times New Roman" w:cs="Times New Roman" w:eastAsia="Times New Roman" w:hAnsi="Times New Roman"/>
          <w:sz w:val="18"/>
          <w:szCs w:val="18"/>
          <w:color w:val="auto"/>
        </w:rPr>
      </w:pPr>
    </w:p>
    <w:p>
      <w:pPr>
        <w:ind w:left="440" w:right="40" w:firstLine="948"/>
        <w:spacing w:after="0" w:line="268" w:lineRule="auto"/>
        <w:tabs>
          <w:tab w:leader="none" w:pos="160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Severance</w:t>
      </w:r>
      <w:r>
        <w:rPr>
          <w:rFonts w:ascii="Times New Roman" w:cs="Times New Roman" w:eastAsia="Times New Roman" w:hAnsi="Times New Roman"/>
          <w:sz w:val="18"/>
          <w:szCs w:val="18"/>
          <w:color w:val="auto"/>
        </w:rPr>
        <w:t>. The Company will pay you a lump sum equal to three months of your base salary at the rate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your Separation (your “Base Salary”). Such payment will be made within 60 days after your Separation; however, if such 60-day period spans two calendar years, then the payment will be made in the second calendar year.</w:t>
      </w:r>
    </w:p>
    <w:p>
      <w:pPr>
        <w:spacing w:after="0" w:line="62" w:lineRule="exact"/>
        <w:rPr>
          <w:rFonts w:ascii="Times New Roman" w:cs="Times New Roman" w:eastAsia="Times New Roman" w:hAnsi="Times New Roman"/>
          <w:sz w:val="18"/>
          <w:szCs w:val="18"/>
          <w:color w:val="auto"/>
        </w:rPr>
      </w:pPr>
    </w:p>
    <w:p>
      <w:pPr>
        <w:ind w:left="440" w:right="160" w:firstLine="948"/>
        <w:spacing w:after="0" w:line="259" w:lineRule="auto"/>
        <w:tabs>
          <w:tab w:leader="none" w:pos="165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Continuation</w:t>
      </w:r>
      <w:r>
        <w:rPr>
          <w:rFonts w:ascii="Times New Roman" w:cs="Times New Roman" w:eastAsia="Times New Roman" w:hAnsi="Times New Roman"/>
          <w:sz w:val="18"/>
          <w:szCs w:val="18"/>
          <w:color w:val="auto"/>
        </w:rPr>
        <w:t>. The Company will pay seventy-five percent (75%) of your Base Salary (the “Adjusted Salary”)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beginning on the day after your Separation and ending on the date twelve (12) months after your Separation. The Adjusted Salary will be paid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ectPr>
          <w:pgSz w:w="11900" w:h="16838" w:orient="portrait"/>
          <w:cols w:equalWidth="0" w:num="1">
            <w:col w:w="11000"/>
          </w:cols>
          <w:pgMar w:left="440" w:top="270"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jc w:val="both"/>
        <w:ind w:left="440" w:right="80" w:firstLine="948"/>
        <w:spacing w:after="0" w:line="274" w:lineRule="auto"/>
        <w:tabs>
          <w:tab w:leader="none" w:pos="1707" w:val="left"/>
        </w:tabs>
        <w:numPr>
          <w:ilvl w:val="2"/>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If you elect to continue your health insurance coverage under COBRA following your Separation, then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pay the same portion of your monthly premium under COBRA as it pays for active employees and their eligible dependents until the earliest of (i) the close of the twelve (12)-month period following your Separation, (ii) the expiration of your continuation coverage under COBRA or</w:t>
      </w:r>
    </w:p>
    <w:p>
      <w:pPr>
        <w:ind w:left="440" w:right="560" w:hanging="4"/>
        <w:spacing w:after="0" w:line="260" w:lineRule="auto"/>
        <w:tabs>
          <w:tab w:leader="none" w:pos="75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you become eligible for substantially equivalent health insurance coverage in connection with new employment or self-employment.</w:t>
      </w:r>
    </w:p>
    <w:p>
      <w:pPr>
        <w:spacing w:after="0" w:line="177" w:lineRule="exact"/>
        <w:rPr>
          <w:rFonts w:ascii="Times New Roman" w:cs="Times New Roman" w:eastAsia="Times New Roman" w:hAnsi="Times New Roman"/>
          <w:sz w:val="18"/>
          <w:szCs w:val="18"/>
          <w:color w:val="auto"/>
        </w:rPr>
      </w:pPr>
    </w:p>
    <w:p>
      <w:pPr>
        <w:ind w:right="140" w:firstLine="987"/>
        <w:spacing w:after="0" w:line="286" w:lineRule="auto"/>
        <w:tabs>
          <w:tab w:leader="none" w:pos="123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in Connection With Change in Control</w:t>
      </w:r>
      <w:r>
        <w:rPr>
          <w:rFonts w:ascii="Times New Roman" w:cs="Times New Roman" w:eastAsia="Times New Roman" w:hAnsi="Times New Roman"/>
          <w:sz w:val="18"/>
          <w:szCs w:val="18"/>
          <w:color w:val="auto"/>
        </w:rPr>
        <w:t>. Subject to the requirements set forth in Section 5(a) above, if you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Involuntary Termination in connection with or within one year after a Change in Control, then you will be entitled to the following:</w:t>
      </w:r>
    </w:p>
    <w:p>
      <w:pPr>
        <w:spacing w:after="0" w:line="46" w:lineRule="exact"/>
        <w:rPr>
          <w:rFonts w:ascii="Times New Roman" w:cs="Times New Roman" w:eastAsia="Times New Roman" w:hAnsi="Times New Roman"/>
          <w:sz w:val="18"/>
          <w:szCs w:val="18"/>
          <w:color w:val="auto"/>
        </w:rPr>
      </w:pPr>
    </w:p>
    <w:p>
      <w:pPr>
        <w:ind w:left="440" w:right="60" w:firstLine="948"/>
        <w:spacing w:after="0" w:line="268" w:lineRule="auto"/>
        <w:tabs>
          <w:tab w:leader="none" w:pos="1607"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Severance</w:t>
      </w:r>
      <w:r>
        <w:rPr>
          <w:rFonts w:ascii="Times New Roman" w:cs="Times New Roman" w:eastAsia="Times New Roman" w:hAnsi="Times New Roman"/>
          <w:sz w:val="18"/>
          <w:szCs w:val="18"/>
          <w:color w:val="auto"/>
        </w:rPr>
        <w:t>. The Company will pay you a lump sum equal to one year of your base salary at the rate in effect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Separation. Such payment will be made within 60 days after your Separation; however, if such 60-day period spans two calendar years, then the payment will be made in the second calendar year.</w:t>
      </w:r>
    </w:p>
    <w:p>
      <w:pPr>
        <w:spacing w:after="0" w:line="63" w:lineRule="exact"/>
        <w:rPr>
          <w:sz w:val="20"/>
          <w:szCs w:val="20"/>
          <w:color w:val="auto"/>
        </w:rPr>
      </w:pPr>
    </w:p>
    <w:p>
      <w:pPr>
        <w:jc w:val="both"/>
        <w:ind w:left="440" w:right="80" w:firstLine="948"/>
        <w:spacing w:after="0" w:line="274" w:lineRule="auto"/>
        <w:tabs>
          <w:tab w:leader="none" w:pos="1657" w:val="left"/>
        </w:tabs>
        <w:numPr>
          <w:ilvl w:val="2"/>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If you elect to continue your health insurance coverage under COBRA following your Separation, then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pay the same portion of your monthly premium under COBRA as it pays for active employees and their eligible dependents until the earliest of (i) the close of the twelve (12)-month period following your Separation, (ii) the expiration of your continuation coverage under COBRA or</w:t>
      </w:r>
    </w:p>
    <w:p>
      <w:pPr>
        <w:ind w:left="440" w:right="560" w:hanging="4"/>
        <w:spacing w:after="0" w:line="260" w:lineRule="auto"/>
        <w:tabs>
          <w:tab w:leader="none" w:pos="75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you become eligible for substantially equivalent health insurance coverage in connection with new employment or self-employment.</w:t>
      </w:r>
    </w:p>
    <w:p>
      <w:pPr>
        <w:spacing w:after="0" w:line="177" w:lineRule="exact"/>
        <w:rPr>
          <w:rFonts w:ascii="Times New Roman" w:cs="Times New Roman" w:eastAsia="Times New Roman" w:hAnsi="Times New Roman"/>
          <w:sz w:val="18"/>
          <w:szCs w:val="18"/>
          <w:color w:val="auto"/>
        </w:rPr>
      </w:pPr>
    </w:p>
    <w:p>
      <w:pPr>
        <w:ind w:right="700" w:firstLine="987"/>
        <w:spacing w:after="0" w:line="286" w:lineRule="auto"/>
        <w:tabs>
          <w:tab w:leader="none" w:pos="117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Information and Inventions Agreement</w:t>
      </w:r>
      <w:r>
        <w:rPr>
          <w:rFonts w:ascii="Times New Roman" w:cs="Times New Roman" w:eastAsia="Times New Roman" w:hAnsi="Times New Roman"/>
          <w:sz w:val="18"/>
          <w:szCs w:val="18"/>
          <w:color w:val="auto"/>
        </w:rPr>
        <w:t>. You will remain subject to the Proprietary Information and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between you and the Company, a copy of which is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987"/>
        <w:spacing w:after="0" w:line="257" w:lineRule="auto"/>
        <w:tabs>
          <w:tab w:leader="none" w:pos="117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ectPr>
          <w:pgSz w:w="11900" w:h="16838" w:orient="portrait"/>
          <w:cols w:equalWidth="0" w:num="1">
            <w:col w:w="10960"/>
          </w:cols>
          <w:pgMar w:left="440" w:top="270"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left="1160" w:hanging="173"/>
        <w:spacing w:after="0"/>
        <w:tabs>
          <w:tab w:leader="none" w:pos="11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86" w:lineRule="auto"/>
        <w:tabs>
          <w:tab w:leader="none" w:pos="12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All forms of compensation referred to in this letter agreement are subject to reduction to reflect applicable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payroll taxes and other deductions required by law.</w:t>
      </w:r>
    </w:p>
    <w:p>
      <w:pPr>
        <w:spacing w:after="0" w:line="15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For purposes of Section 409A of the Code, each payment under Section 5 is hereby designated as a separate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Treasury Regulation 1.409A-2(b)(2). If the Company determines that you are a “specified employee” under Section 409A(a)(2)(B)(i) of the Code at the time of your Separation, then (i) any payments under this letter agreement, to the extent that they are not exempt from Section 409A of the Code (including by operation of the next following sentence) and otherwise subject to the taxes imposed under Section 409A(a)(1) of the Code (a “Deferred Payment”), will commence on the first business day following the earlier of (A) the expiration of the six-month period measured from your Separation or (B) the date of your death and (ii) the installments that otherwise would have been paid prior to such date will be paid in a lump sum when such payments commence. Notwithstanding the foregoing, any amount paid under this letter agreement that either (1) satisfies the requirements of the “short-term deferral” rule set forth in Treasury Regulation 1.409A-1(b)(4); or (2) (A) qualifies as a payment made as a result of an involuntary separation from service pursuant to Treasury Regulation 1.409A-1(b)(9)(iii), and (B) does not exceed the Section 409A Limit will not constitute a Deferred Payment. The provisions of this letter agreement are intended to comply with, or be exempt from, the requirements of Section 409A of the Code so that none of the payments and benefits to be provided under this letter agreement will be subject to the additional tax imposed under</w:t>
      </w:r>
    </w:p>
    <w:p>
      <w:pPr>
        <w:spacing w:after="0" w:line="7" w:lineRule="exact"/>
        <w:rPr>
          <w:rFonts w:ascii="Times New Roman" w:cs="Times New Roman" w:eastAsia="Times New Roman" w:hAnsi="Times New Roman"/>
          <w:sz w:val="18"/>
          <w:szCs w:val="18"/>
          <w:color w:val="auto"/>
        </w:rPr>
      </w:pPr>
    </w:p>
    <w:p>
      <w:pPr>
        <w:ind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and any ambiguities herein will be interpreted to so comply or be exempt. You and the Company agree to work together in good faith to consider amendments to this letter agreement and to take such reasonable actions as are necessary, appropriate or desirable to avoid imposition of any additional tax or income recognition prior to actual payment to you under Section 409A of the Code.</w:t>
      </w:r>
    </w:p>
    <w:p>
      <w:pPr>
        <w:spacing w:after="0" w:line="181" w:lineRule="exact"/>
        <w:rPr>
          <w:rFonts w:ascii="Times New Roman" w:cs="Times New Roman" w:eastAsia="Times New Roman" w:hAnsi="Times New Roman"/>
          <w:sz w:val="18"/>
          <w:szCs w:val="18"/>
          <w:color w:val="auto"/>
        </w:rPr>
      </w:pPr>
    </w:p>
    <w:p>
      <w:pPr>
        <w:ind w:right="240" w:firstLine="987"/>
        <w:spacing w:after="0" w:line="268" w:lineRule="auto"/>
        <w:tabs>
          <w:tab w:leader="none" w:pos="12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Advice</w:t>
      </w:r>
      <w:r>
        <w:rPr>
          <w:rFonts w:ascii="Times New Roman" w:cs="Times New Roman" w:eastAsia="Times New Roman" w:hAnsi="Times New Roman"/>
          <w:sz w:val="18"/>
          <w:szCs w:val="18"/>
          <w:color w:val="auto"/>
        </w:rPr>
        <w:t>. You are encouraged to obtain your own tax advice regarding your compensation from the Company. You agree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1" w:lineRule="exact"/>
        <w:rPr>
          <w:sz w:val="20"/>
          <w:szCs w:val="20"/>
          <w:color w:val="auto"/>
        </w:rPr>
      </w:pPr>
    </w:p>
    <w:p>
      <w:pPr>
        <w:ind w:firstLine="987"/>
        <w:spacing w:after="0" w:line="255" w:lineRule="auto"/>
        <w:tabs>
          <w:tab w:leader="none" w:pos="117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 Amendment and Enforcement</w:t>
      </w:r>
      <w:r>
        <w:rPr>
          <w:rFonts w:ascii="Times New Roman" w:cs="Times New Roman" w:eastAsia="Times New Roman" w:hAnsi="Times New Roman"/>
          <w:sz w:val="18"/>
          <w:szCs w:val="18"/>
          <w:color w:val="auto"/>
        </w:rPr>
        <w:t>. This letter agreement and Exhibit A supersede and replace any prior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ectPr>
          <w:pgSz w:w="11900" w:h="16838" w:orient="portrait"/>
          <w:cols w:equalWidth="0" w:num="1">
            <w:col w:w="10980"/>
          </w:cols>
          <w:pgMar w:left="440" w:top="270" w:right="4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ind w:left="1260" w:hanging="273"/>
        <w:spacing w:after="0"/>
        <w:tabs>
          <w:tab w:leader="none" w:pos="12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7" w:lineRule="auto"/>
        <w:tabs>
          <w:tab w:leader="none" w:pos="12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lease,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liquidation or otherwise) to all or substantially all of the Company’s business and/or assets will assume the obligations under this letter agreement and agree expressly to perform the obligations under this letter agreement in the same manner and to the same extent as the Company would be required to perform such obligations in the absence of a succession. For all purposes under this letter agreement, the term “Company” shall include any such successor to the Company, or to the Company’s business and/or assets, that executes and delivers the assumption agreement described in this Section 11(a) or which becomes bound by the terms of this letter agreement by operation of law.</w:t>
      </w:r>
    </w:p>
    <w:p>
      <w:pPr>
        <w:spacing w:after="0" w:line="182" w:lineRule="exact"/>
        <w:rPr>
          <w:rFonts w:ascii="Times New Roman" w:cs="Times New Roman" w:eastAsia="Times New Roman" w:hAnsi="Times New Roman"/>
          <w:sz w:val="18"/>
          <w:szCs w:val="18"/>
          <w:color w:val="auto"/>
        </w:rPr>
      </w:pPr>
    </w:p>
    <w:p>
      <w:pPr>
        <w:ind w:right="480" w:firstLine="987"/>
        <w:spacing w:after="0" w:line="268"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Successors</w:t>
      </w:r>
      <w:r>
        <w:rPr>
          <w:rFonts w:ascii="Times New Roman" w:cs="Times New Roman" w:eastAsia="Times New Roman" w:hAnsi="Times New Roman"/>
          <w:sz w:val="18"/>
          <w:szCs w:val="18"/>
          <w:color w:val="auto"/>
        </w:rPr>
        <w:t>. The terms of this letter agreement and all of your rights hereunder will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by, your personal or legal representatives, executors, administrators, successors, heirs, distributees, devisees and legatees. All of your obligations under this letter agreement are personal to you and may not be transferred or assigned by you at any time.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following terms have the meaning set forth below wherever they are used in this letter agreement:</w:t>
      </w:r>
    </w:p>
    <w:p>
      <w:pPr>
        <w:spacing w:after="0" w:line="11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w:t>
      </w:r>
    </w:p>
    <w:p>
      <w:pPr>
        <w:spacing w:after="0" w:line="182"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consummation of a Liquidation Event (as such term is defined in the Company’s Restated Certificate of Incorporation, as may be amended from time to time); provided, however, a liquidation, dissolution or winding up of the Company will not constitute a Change in Control.</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 transaction will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a transaction shall not constitute a Change in Control unless such transaction also qualifies as an event under Treasury Regulation 1.409A-3(i)(5)(v) (change in the ownership of a corporation), Treasury Regulation 1.409A-3(i)(5)(vi) (change in the effective control of a corporation), or Treasury Regulation 1.409A-3(i)(5)(vii) (change in the ownership of a substantial portion of a corporation’s assets).</w:t>
      </w:r>
    </w:p>
    <w:p>
      <w:pPr>
        <w:sectPr>
          <w:pgSz w:w="11900" w:h="16838" w:orient="portrait"/>
          <w:cols w:equalWidth="0" w:num="1">
            <w:col w:w="10940"/>
          </w:cols>
          <w:pgMar w:left="440" w:top="270" w:right="5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means either (a) your Termination Without Cause or (b) your Resignation for Good Reason.</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for Good Reason</w:t>
      </w:r>
      <w:r>
        <w:rPr>
          <w:rFonts w:ascii="Times New Roman" w:cs="Times New Roman" w:eastAsia="Times New Roman" w:hAnsi="Times New Roman"/>
          <w:sz w:val="18"/>
          <w:szCs w:val="18"/>
          <w:color w:val="auto"/>
        </w:rPr>
        <w:t>” means a Separation as a result of your resignation within 12 months after one of the following conditions has come into existence without your express written consent:</w:t>
      </w:r>
    </w:p>
    <w:p>
      <w:pPr>
        <w:spacing w:after="0" w:line="51" w:lineRule="exact"/>
        <w:rPr>
          <w:sz w:val="20"/>
          <w:szCs w:val="20"/>
          <w:color w:val="auto"/>
        </w:rPr>
      </w:pPr>
    </w:p>
    <w:p>
      <w:pPr>
        <w:ind w:left="440" w:right="460" w:firstLine="948"/>
        <w:spacing w:after="0" w:line="282" w:lineRule="auto"/>
        <w:tabs>
          <w:tab w:leader="none" w:pos="16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your base salary by more than 10% (unless a reduction in a similar percentage is made in connection with an across the board reduction in base salaries of the Company’s senior executives);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your authority, duties or responsibilities;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your principal workplace by more than 40 miles.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58"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 Limit</w:t>
      </w:r>
      <w:r>
        <w:rPr>
          <w:rFonts w:ascii="Times New Roman" w:cs="Times New Roman" w:eastAsia="Times New Roman" w:hAnsi="Times New Roman"/>
          <w:sz w:val="18"/>
          <w:szCs w:val="18"/>
          <w:color w:val="auto"/>
        </w:rPr>
        <w:t>” means the lesser of two times: (i) your annualized compensation based upon the annual rate of pay paid to you during the taxable year preceding your taxable year in which your termination of employment occurs, as determined under, and with such adjustments as are set forth in, Treasury Regulation 1.409A-1(b)(9)(iii)(A)(1) and any guidance issued with respect thereto or (ii) the maximum amount that may be taken into account under a qualified plan pursuant to Section 401(a)(17) of the Code for the year in which your employment is terminated.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a “separation from service,” as defined in the regulations under Section 409A of the Code.</w:t>
      </w:r>
    </w:p>
    <w:p>
      <w:pPr>
        <w:sectPr>
          <w:pgSz w:w="11900" w:h="16838" w:orient="portrait"/>
          <w:cols w:equalWidth="0" w:num="1">
            <w:col w:w="11000"/>
          </w:cols>
          <w:pgMar w:left="440" w:top="270"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 Cook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Without Cause</w:t>
      </w:r>
      <w:r>
        <w:rPr>
          <w:rFonts w:ascii="Times New Roman" w:cs="Times New Roman" w:eastAsia="Times New Roman" w:hAnsi="Times New Roman"/>
          <w:sz w:val="18"/>
          <w:szCs w:val="18"/>
          <w:color w:val="auto"/>
        </w:rPr>
        <w:t>” means a Separation as a result of a termination of your employment by the Company without Cause, provided you are willing and able to continue performing services within the meaning of Treasury Regulation 1.409A-1(n)(1).</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if you have not already done so.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you have any questions, please call me at (916) 753 4167.</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HIN</w:t>
      </w:r>
      <w:r>
        <w:rPr>
          <w:rFonts w:ascii="Times New Roman" w:cs="Times New Roman" w:eastAsia="Times New Roman" w:hAnsi="Times New Roman"/>
          <w:sz w:val="18"/>
          <w:szCs w:val="18"/>
          <w:color w:val="auto"/>
        </w:rPr>
        <w:t>CI,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CEO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offer: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Val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8574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Signature of </w:t>
      </w:r>
      <w:r>
        <w:rPr>
          <w:rFonts w:ascii="Times New Roman" w:cs="Times New Roman" w:eastAsia="Times New Roman" w:hAnsi="Times New Roman"/>
          <w:sz w:val="18"/>
          <w:szCs w:val="18"/>
          <w:b w:val="1"/>
          <w:bCs w:val="1"/>
          <w:color w:val="auto"/>
        </w:rPr>
        <w:t>Val Cook</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June 20,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Proprietary Information and Inventions Agreement</w:t>
      </w:r>
    </w:p>
    <w:p>
      <w:pPr>
        <w:sectPr>
          <w:pgSz w:w="11900" w:h="16838" w:orient="portrait"/>
          <w:cols w:equalWidth="0" w:num="1">
            <w:col w:w="10920"/>
          </w:cols>
          <w:pgMar w:left="440" w:top="270" w:right="5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Dmitry Zakharchenko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Wards Ridge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Cary, NC 27513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dvzl23@gmail.com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Dmitry:</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On behalf of ThinCI (hereafter referred to as “ThinCI” or “the Company”), I am pleased to offer you exempt regular employment as the Vice President of R&amp;D and Product Development reporting to Dinakar Munagala on a full-time basis, starting on November 30, 2018. You will work from your home until an office is established in the Raleigh area. While you render services to the Company, you will not engage in any other employment, consulting or other business activity (whether full time or part-time) that would create a conflict of interest with the Company. By signing this letter, you confirm to the Company that you have no contractual commitments or other legal obligations that would prohibit you from performing your duties for the Company.</w:t>
      </w:r>
    </w:p>
    <w:p>
      <w:pPr>
        <w:spacing w:after="0" w:line="187" w:lineRule="exact"/>
        <w:rPr>
          <w:sz w:val="20"/>
          <w:szCs w:val="20"/>
          <w:color w:val="auto"/>
        </w:rPr>
      </w:pPr>
    </w:p>
    <w:p>
      <w:pPr>
        <w:jc w:val="both"/>
        <w:ind w:right="820" w:firstLine="440"/>
        <w:spacing w:after="0" w:line="312" w:lineRule="auto"/>
        <w:rPr>
          <w:sz w:val="20"/>
          <w:szCs w:val="20"/>
          <w:color w:val="auto"/>
        </w:rPr>
      </w:pPr>
      <w:r>
        <w:rPr>
          <w:rFonts w:ascii="Times New Roman" w:cs="Times New Roman" w:eastAsia="Times New Roman" w:hAnsi="Times New Roman"/>
          <w:sz w:val="17"/>
          <w:szCs w:val="17"/>
          <w:color w:val="auto"/>
        </w:rPr>
        <w:t>Should you accept our offer, ThinCI will pay you $275,000 on an annualized basis for your services, less deductions required by law, in accordance with our normal payroll practices. You will be paid by ThinCI on a semi-monthly basis, on the 15th and the last day of the month.</w:t>
      </w:r>
    </w:p>
    <w:p>
      <w:pPr>
        <w:spacing w:after="0" w:line="14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we are offering you a sign-on bonus of $30,000. This bonus will be payable within 45 days of your start date. If before the completion of 1 year of employment you voluntarily leave employment at ThinCI, you must repay this sign-on bonus.</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As a condition of your employment, you will be required to travel to Thinci’s El Dorado Hills, California or Hyderabad, India offices an average of one week per month.</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As a regular employee of the Company, you will be entitled to participate in a number of Company-sponsored benefits, including paid vacation in accordance with the Company’s vacation policy, as in effect from time to time. Additional information regarding the employment policies of the Company is set forth in our Employee Handbook, a copy of which will be available to you when you begin work.</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We will recommend to the Board of Directors that you be granted 150,000 stock options. Details of the stock program, including vesting and exercise price, will be as set forth in the grant agreement provided to you after Board approval.</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ThinCI employs its employees at will, meaning that either you or the Company may terminate the employment relationship at any time, with or without cause and with or without notice. Should you join us, ThinCI will employ you on an at-will basis and apply to you the same policies and procedures applicable to its employees generally. We may, in our discretion, determine other terms and conditions of your employment, including, but not limited, to, work assignments and work schedules, and may modify any terms and conditions of employment at any time, including your base salary or base pay rate. Except for the CEO of the Company, no</w:t>
      </w:r>
    </w:p>
    <w:p>
      <w:pPr>
        <w:sectPr>
          <w:pgSz w:w="11900" w:h="16838" w:orient="portrait"/>
          <w:cols w:equalWidth="0" w:num="1">
            <w:col w:w="11020"/>
          </w:cols>
          <w:pgMar w:left="440" w:top="117" w:right="439" w:bottom="1440" w:gutter="0" w:footer="0" w:header="0"/>
        </w:sectPr>
      </w:pPr>
    </w:p>
    <w:bookmarkStart w:id="306" w:name="page307"/>
    <w:bookmarkEnd w:id="306"/>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manager or other representative of ThinCI has authority to agree on behalf of the Company to employ any employee for any specific period of time, to employ any employee on other than an at-will basis, or to limit the Company’s right to modify the terms and conditions of your employment Any agreement to employ any employee for any specific period of time, to employ any employee on other than an at-will basis, or to limit ThinCI’s right to modify the terms and conditions of your employment, is binding only if signed by you and the CEO of the Company. Any contrary representations that may have been made to you are superseded by this letter. This is the full and complete agreement between you and the Company on the term of your employment.</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All forms of compensation referred to in this letter are subject to reduction to reflect applicable withholding and payroll taxes and other 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Employees of ThinCI may work with and/or develop information which is considered confidential by the Company. Thus, like all Company employees, you will be required, as a condition of your employment with the Company, to sign the Company’s standard Proprietary Information and Inventions Agreement, a copy of which is attached hereto as Exhibit A.</w:t>
      </w:r>
    </w:p>
    <w:p>
      <w:pPr>
        <w:spacing w:after="0" w:line="176"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This letter and Exhibit A supersede and replace any prior agreements, representations or understandings (whether written, oral, 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California in connection with any Dispute or any claim related to any Dispute.</w:t>
      </w:r>
    </w:p>
    <w:p>
      <w:pPr>
        <w:spacing w:after="0" w:line="19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Your offer is contingent upon completing ThinCI’s Employment Application and successful completion of reference checks and background investigation. Finally, in accordance with federal law, ThinCI requires all employees to present proof of their right to work in the United States prior to commencing work. Please be prepared to present documents demonstrating your right to work on or before your first day of work.</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are excited about the prospect of working with you and hope that you will decide to join us. In order to memorialize your acceptance of our offer, please sign this letter in the designated space below and return it, and a signed copy of Exhibit A, to me by November 21, 2018. If we do not hear from you by November 21, 2018, our offer will expire at the close of business on that date.</w:t>
      </w:r>
    </w:p>
    <w:p>
      <w:pPr>
        <w:sectPr>
          <w:pgSz w:w="11900" w:h="16838" w:orient="portrait"/>
          <w:cols w:equalWidth="0" w:num="1">
            <w:col w:w="11000"/>
          </w:cols>
          <w:pgMar w:left="440" w:top="270" w:right="459" w:bottom="1440" w:gutter="0" w:footer="0" w:header="0"/>
        </w:sectPr>
      </w:pPr>
    </w:p>
    <w:bookmarkStart w:id="307" w:name="page308"/>
    <w:bookmarkEnd w:id="3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have any questions about our offer or employment at ThinCI in general, I encourage you to contact me at your convenience.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Janney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Janney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accept the offer of employment set forth above.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Dmitry Zacharchenko</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11/20/2018</w:t>
            </w:r>
          </w:p>
        </w:tc>
      </w:tr>
      <w:tr>
        <w:trPr>
          <w:trHeight w:val="228"/>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Dmitry Zakharchenko</w:t>
            </w:r>
          </w:p>
        </w:tc>
        <w:tc>
          <w:tcPr>
            <w:tcW w:w="680" w:type="dxa"/>
            <w:vAlign w:val="bottom"/>
          </w:tcPr>
          <w:p>
            <w:pPr>
              <w:spacing w:after="0"/>
              <w:rPr>
                <w:sz w:val="19"/>
                <w:szCs w:val="19"/>
                <w:color w:val="auto"/>
              </w:rPr>
            </w:pPr>
          </w:p>
        </w:tc>
        <w:tc>
          <w:tcPr>
            <w:tcW w:w="5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32829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Attachment </w:t>
      </w: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Information and Inventions Agreement</w:t>
      </w:r>
    </w:p>
    <w:p>
      <w:pPr>
        <w:sectPr>
          <w:pgSz w:w="11900" w:h="16838" w:orient="portrait"/>
          <w:cols w:equalWidth="0" w:num="1">
            <w:col w:w="11020"/>
          </w:cols>
          <w:pgMar w:left="440" w:top="270" w:right="4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173990</wp:posOffset>
            </wp:positionV>
            <wp:extent cx="1714500" cy="7886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17145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22,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Amendment to Offer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Dmitry:</w:t>
      </w:r>
    </w:p>
    <w:p>
      <w:pPr>
        <w:spacing w:after="0" w:line="117"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On behalf of Blaize, Inc. (“Blaize” or the “company”), I am pleased to inform you, due to your hard work, dedication, and commitment to the organization, you have been awarded an increase in your annual salary from $330,000 to $400,000 effective February 17, 2022.</w:t>
      </w:r>
    </w:p>
    <w:p>
      <w:pPr>
        <w:spacing w:after="0" w:line="162"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Your current job title and responsibilities will not change, and you will continue to work on your existing assignments. We are confident the skills and talent you bring will greatly assist Blaize in achieving its goals.</w:t>
      </w:r>
    </w:p>
    <w:p>
      <w:pPr>
        <w:spacing w:after="0" w:line="162" w:lineRule="exact"/>
        <w:rPr>
          <w:sz w:val="20"/>
          <w:szCs w:val="20"/>
          <w:color w:val="auto"/>
        </w:rPr>
      </w:pPr>
    </w:p>
    <w:p>
      <w:pPr>
        <w:ind w:left="4" w:right="260"/>
        <w:spacing w:after="0" w:line="257" w:lineRule="auto"/>
        <w:rPr>
          <w:sz w:val="20"/>
          <w:szCs w:val="20"/>
          <w:color w:val="auto"/>
        </w:rPr>
      </w:pPr>
      <w:r>
        <w:rPr>
          <w:rFonts w:ascii="Times New Roman" w:cs="Times New Roman" w:eastAsia="Times New Roman" w:hAnsi="Times New Roman"/>
          <w:sz w:val="18"/>
          <w:szCs w:val="18"/>
          <w:color w:val="auto"/>
        </w:rPr>
        <w:t>Additionally, if you are subject to a Termination Without Cause (including if the company finds that we must reduce our workforce to ensure the financial stability of the company), then you will be entitled to the benefits described below, but only if you (i) have returned all company property in your possession, (ii) have resigned as a member of the Boards of Directors of the company and all of its subsidiaries, to the extent applicable, and</w:t>
      </w:r>
    </w:p>
    <w:p>
      <w:pPr>
        <w:spacing w:after="0" w:line="1" w:lineRule="exact"/>
        <w:rPr>
          <w:sz w:val="20"/>
          <w:szCs w:val="20"/>
          <w:color w:val="auto"/>
        </w:rPr>
      </w:pPr>
    </w:p>
    <w:p>
      <w:pPr>
        <w:ind w:left="4" w:right="100" w:hanging="4"/>
        <w:spacing w:after="0" w:line="253" w:lineRule="auto"/>
        <w:tabs>
          <w:tab w:leader="none" w:pos="31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below.</w:t>
      </w:r>
    </w:p>
    <w:p>
      <w:pPr>
        <w:spacing w:after="0" w:line="189"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If you are subject to a Termination Without Cause, then the company, in its sole discretion, will either provide you with three months of notice or continue to pay your base salary for a period of three months after your Separation. Your base salary will be paid at the rate in effect at the time of your Separation and in accordance with the company’s standard payroll procedures. The salary continuation payments, if any,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ectPr>
          <w:pgSz w:w="11900" w:h="16838" w:orient="portrait"/>
          <w:cols w:equalWidth="0" w:num="1">
            <w:col w:w="11024"/>
          </w:cols>
          <w:pgMar w:left="436" w:top="117"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terms have the meaning set forth below wherever they are used in this letter agreement:</w:t>
      </w:r>
    </w:p>
    <w:p>
      <w:pPr>
        <w:spacing w:after="0" w:line="127" w:lineRule="exact"/>
        <w:rPr>
          <w:sz w:val="20"/>
          <w:szCs w:val="20"/>
          <w:color w:val="auto"/>
        </w:rPr>
      </w:pPr>
    </w:p>
    <w:p>
      <w:pPr>
        <w:ind w:left="960" w:hanging="424"/>
        <w:spacing w:after="0" w:line="256" w:lineRule="auto"/>
        <w:tabs>
          <w:tab w:leader="none" w:pos="9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w:t>
      </w:r>
    </w:p>
    <w:p>
      <w:pPr>
        <w:spacing w:after="0" w:line="88" w:lineRule="exact"/>
        <w:rPr>
          <w:rFonts w:ascii="Times New Roman" w:cs="Times New Roman" w:eastAsia="Times New Roman" w:hAnsi="Times New Roman"/>
          <w:sz w:val="18"/>
          <w:szCs w:val="18"/>
          <w:color w:val="auto"/>
        </w:rPr>
      </w:pPr>
    </w:p>
    <w:p>
      <w:pPr>
        <w:ind w:left="960" w:right="100" w:hanging="424"/>
        <w:spacing w:after="0" w:line="286" w:lineRule="auto"/>
        <w:tabs>
          <w:tab w:leader="none" w:pos="9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a “separation from service,” as defined in the regulations under Section 409A of the Internal Revenue Code of 1986, as amended (the “Code”).</w:t>
      </w:r>
    </w:p>
    <w:p>
      <w:pPr>
        <w:spacing w:after="0" w:line="60" w:lineRule="exact"/>
        <w:rPr>
          <w:rFonts w:ascii="Times New Roman" w:cs="Times New Roman" w:eastAsia="Times New Roman" w:hAnsi="Times New Roman"/>
          <w:sz w:val="18"/>
          <w:szCs w:val="18"/>
          <w:color w:val="auto"/>
        </w:rPr>
      </w:pPr>
    </w:p>
    <w:p>
      <w:pPr>
        <w:ind w:left="960" w:right="480" w:hanging="424"/>
        <w:spacing w:after="0" w:line="317" w:lineRule="auto"/>
        <w:tabs>
          <w:tab w:leader="none" w:pos="96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Without Cause</w:t>
      </w:r>
      <w:r>
        <w:rPr>
          <w:rFonts w:ascii="Times New Roman" w:cs="Times New Roman" w:eastAsia="Times New Roman" w:hAnsi="Times New Roman"/>
          <w:sz w:val="17"/>
          <w:szCs w:val="17"/>
          <w:color w:val="auto"/>
        </w:rPr>
        <w:t>” means a Separation as a result of a termination of your employment by the company without Cause, provided you are willing and able to continue performing services within the meaning of Treasury Regulation 1.409A-1(n)(1).</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purposes of Section 409A of the Code, each post-Separation salary continuation payment described above is hereby designated as a separate payment. If the company determines that you are a “specified employee” under Section 409A(a)(2)(B)(i) of the Code at the time of your Separation, then (i) the salary continuation payments described above, to the extent that they are subject to Section 409A of the Code, will commence on the first business day following (A) expiration of the six-month period measured from your Separation or (B) the date of your death and (ii) the installments that otherwise would have been paid prior to such date will be paid in a lump sum when the salary continuation payments commence.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specifically provided in this letter agreement, the terms of your offer letter dated November 15, 2018 (the “Offer Letter”) remain in full force and effect. Your Offer Letter and this letter agreement constitute the complete agreement between you and the company, contain all of the terms of your employment with the company, and supersede any prior agreements, representations or understandings (whether written, oral or implied) between you and the company. This letter agreement can only be amended or modified in a written agreement signed by both you and a duly authorized officer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have any questions, please feel free to reach out to your manager or to Human Resources.</w:t>
      </w:r>
    </w:p>
    <w:p>
      <w:pPr>
        <w:sectPr>
          <w:pgSz w:w="11900" w:h="16838" w:orient="portrait"/>
          <w:cols w:equalWidth="0" w:num="1">
            <w:col w:w="11000"/>
          </w:cols>
          <w:pgMar w:left="440" w:top="270"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Congratulations and thank you for your ongoing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Harminder Sehmi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829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Accepted</w:t>
      </w:r>
    </w:p>
    <w:p>
      <w:pPr>
        <w:sectPr>
          <w:pgSz w:w="11900" w:h="16838" w:orient="portrait"/>
          <w:cols w:equalWidth="0" w:num="1">
            <w:col w:w="10019"/>
          </w:cols>
          <w:pgMar w:left="440" w:top="270"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Dmitry Zakharchenko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32829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Dmitry Zakharchenko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32143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5220" w:space="720"/>
            <w:col w:w="4079"/>
          </w:cols>
          <w:pgMar w:left="440" w:top="270" w:right="1440" w:bottom="1440" w:gutter="0" w:footer="0" w:header="0"/>
          <w:type w:val="continuous"/>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HIN</w:t>
      </w:r>
      <w:r>
        <w:rPr>
          <w:rFonts w:ascii="Times New Roman" w:cs="Times New Roman" w:eastAsia="Times New Roman" w:hAnsi="Times New Roman"/>
          <w:sz w:val="18"/>
          <w:szCs w:val="18"/>
          <w:b w:val="1"/>
          <w:bCs w:val="1"/>
          <w:color w:val="auto"/>
        </w:rPr>
        <w:t>CI,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4659 G</w:t>
      </w:r>
      <w:r>
        <w:rPr>
          <w:rFonts w:ascii="Times New Roman" w:cs="Times New Roman" w:eastAsia="Times New Roman" w:hAnsi="Times New Roman"/>
          <w:sz w:val="14"/>
          <w:szCs w:val="14"/>
          <w:color w:val="auto"/>
        </w:rPr>
        <w:t>OLDEN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OOTHILL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ARKWAY</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ORADO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ILLS</w:t>
      </w:r>
      <w:r>
        <w:rPr>
          <w:rFonts w:ascii="Times New Roman" w:cs="Times New Roman" w:eastAsia="Times New Roman" w:hAnsi="Times New Roman"/>
          <w:sz w:val="18"/>
          <w:szCs w:val="18"/>
          <w:color w:val="auto"/>
        </w:rPr>
        <w:t>, CA 95762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4,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Santiago Fernandez-Gomez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1160 Snowberry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 94087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Santiago Fernandez-Gomez:</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ThinCI, Inc. (the “Company”) is pleased to offer you employment on the following terms:</w:t>
      </w:r>
    </w:p>
    <w:p>
      <w:pPr>
        <w:spacing w:after="0" w:line="113" w:lineRule="exact"/>
        <w:rPr>
          <w:sz w:val="20"/>
          <w:szCs w:val="20"/>
          <w:color w:val="auto"/>
        </w:rPr>
      </w:pPr>
    </w:p>
    <w:p>
      <w:pPr>
        <w:ind w:right="80" w:firstLine="987"/>
        <w:spacing w:after="0" w:line="262" w:lineRule="auto"/>
        <w:tabs>
          <w:tab w:leader="none" w:pos="11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initial title will be Vice President of Platform Engineering, and you will initially report to the Company’s CEO.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6" w:lineRule="exact"/>
        <w:rPr>
          <w:rFonts w:ascii="Times New Roman" w:cs="Times New Roman" w:eastAsia="Times New Roman" w:hAnsi="Times New Roman"/>
          <w:sz w:val="18"/>
          <w:szCs w:val="18"/>
          <w:color w:val="auto"/>
        </w:rPr>
      </w:pPr>
    </w:p>
    <w:p>
      <w:pPr>
        <w:ind w:right="140" w:firstLine="987"/>
        <w:spacing w:after="0" w:line="259" w:lineRule="auto"/>
        <w:tabs>
          <w:tab w:leader="none" w:pos="11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The Company will pay you a starting salary at the rate of US$300,000 per year, payable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payroll schedule. This salary will be subject to adjustment pursuant to the Company’s employee compensation policies in effect from time to time. In addition, you may be eligible to be considered for an incentive bonus for each fiscal year of the Company. The bonus (if any) will be awarded based on objective or subjective criteria established by the Company’s Chief Executive Officer and approved by the Company’s Board of Directors.</w:t>
      </w:r>
    </w:p>
    <w:p>
      <w:pPr>
        <w:spacing w:after="0" w:line="179" w:lineRule="exact"/>
        <w:rPr>
          <w:rFonts w:ascii="Times New Roman" w:cs="Times New Roman" w:eastAsia="Times New Roman" w:hAnsi="Times New Roman"/>
          <w:sz w:val="18"/>
          <w:szCs w:val="18"/>
          <w:color w:val="auto"/>
        </w:rPr>
      </w:pPr>
    </w:p>
    <w:p>
      <w:pPr>
        <w:ind w:right="420" w:firstLine="987"/>
        <w:spacing w:after="0" w:line="317" w:lineRule="auto"/>
        <w:tabs>
          <w:tab w:leader="none" w:pos="1171"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be entitled to paid vacation in accordance with the Company’s vacation policy, as in effect from time to time.</w:t>
      </w:r>
    </w:p>
    <w:p>
      <w:pPr>
        <w:spacing w:after="0" w:line="131" w:lineRule="exact"/>
        <w:rPr>
          <w:rFonts w:ascii="Times New Roman" w:cs="Times New Roman" w:eastAsia="Times New Roman" w:hAnsi="Times New Roman"/>
          <w:sz w:val="17"/>
          <w:szCs w:val="17"/>
          <w:color w:val="auto"/>
        </w:rPr>
      </w:pPr>
    </w:p>
    <w:p>
      <w:pPr>
        <w:ind w:right="60" w:firstLine="987"/>
        <w:spacing w:after="0" w:line="257" w:lineRule="auto"/>
        <w:tabs>
          <w:tab w:leader="none" w:pos="11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Subject to the approval of the Company’s Board of Directors or its Compensation Committee, you will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purchase 679,344 shares of the Company’s Common Stock (the “Option”). The exercise price per share of the Option will be determined by the Board of Directors or the Compensation Committee when the Option is granted. The Option will be subject to the terms and conditions applicable to options granted under the Company’s 2011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2" w:lineRule="exact"/>
        <w:rPr>
          <w:rFonts w:ascii="Times New Roman" w:cs="Times New Roman" w:eastAsia="Times New Roman" w:hAnsi="Times New Roman"/>
          <w:sz w:val="18"/>
          <w:szCs w:val="18"/>
          <w:color w:val="auto"/>
        </w:rPr>
      </w:pPr>
    </w:p>
    <w:p>
      <w:pPr>
        <w:ind w:right="140" w:firstLine="987"/>
        <w:spacing w:after="0" w:line="268" w:lineRule="auto"/>
        <w:tabs>
          <w:tab w:leader="none" w:pos="11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Information and Inventions Agreement</w:t>
      </w:r>
      <w:r>
        <w:rPr>
          <w:rFonts w:ascii="Times New Roman" w:cs="Times New Roman" w:eastAsia="Times New Roman" w:hAnsi="Times New Roman"/>
          <w:sz w:val="18"/>
          <w:szCs w:val="18"/>
          <w:color w:val="auto"/>
        </w:rPr>
        <w:t>. Like all Company employees, you will be required, as a condition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with the Company, to sign the Company’s standard Proprietary Information and Inventions Agreement, a copy of which is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12" w:name="page313"/>
    <w:bookmarkEnd w:id="312"/>
    <w:p>
      <w:pPr>
        <w:ind w:right="20" w:firstLine="987"/>
        <w:spacing w:after="0" w:line="257" w:lineRule="auto"/>
        <w:tabs>
          <w:tab w:leader="none" w:pos="117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Relationship</w:t>
      </w:r>
      <w:r>
        <w:rPr>
          <w:rFonts w:ascii="Times New Roman" w:cs="Times New Roman" w:eastAsia="Times New Roman" w:hAnsi="Times New Roman"/>
          <w:sz w:val="18"/>
          <w:szCs w:val="18"/>
          <w:color w:val="auto"/>
        </w:rPr>
        <w:t>. Employment with the Company is for no specific period of time. Your employment with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2" w:lineRule="exact"/>
        <w:rPr>
          <w:rFonts w:ascii="Times New Roman" w:cs="Times New Roman" w:eastAsia="Times New Roman" w:hAnsi="Times New Roman"/>
          <w:sz w:val="18"/>
          <w:szCs w:val="18"/>
          <w:color w:val="auto"/>
        </w:rPr>
      </w:pPr>
    </w:p>
    <w:p>
      <w:pPr>
        <w:ind w:right="60" w:firstLine="987"/>
        <w:spacing w:after="0" w:line="259" w:lineRule="auto"/>
        <w:tabs>
          <w:tab w:leader="none" w:pos="117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Consulting</w:t>
      </w:r>
      <w:r>
        <w:rPr>
          <w:rFonts w:ascii="Times New Roman" w:cs="Times New Roman" w:eastAsia="Times New Roman" w:hAnsi="Times New Roman"/>
          <w:sz w:val="18"/>
          <w:szCs w:val="18"/>
          <w:color w:val="auto"/>
        </w:rPr>
        <w:t>. Company acknowledges that you may be consulting for other entities during your employment at Company. You represent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 that: (i) no Company confidential or proprietary information, or intellectual property, will be disclosed to, or used to help perform any services for, any such third party, (ii) such consulting activities will not create any conflict of interest with respect to your engagement by the Company and (iii) the time you spend on such consulting activities will not have any material affect on the time you are able to spend pursuant to your employment by Company.</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All forms of compensation referred to in this letter agreement are subject to reduction to reflect applicable withholding and payroll taxes and other deductions required by law.</w:t>
      </w:r>
    </w:p>
    <w:p>
      <w:pPr>
        <w:spacing w:after="0" w:line="155"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Tax Advice</w:t>
      </w:r>
      <w:r>
        <w:rPr>
          <w:rFonts w:ascii="Times New Roman" w:cs="Times New Roman" w:eastAsia="Times New Roman" w:hAnsi="Times New Roman"/>
          <w:sz w:val="18"/>
          <w:szCs w:val="18"/>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1" w:lineRule="exact"/>
        <w:rPr>
          <w:sz w:val="20"/>
          <w:szCs w:val="20"/>
          <w:color w:val="auto"/>
        </w:rPr>
      </w:pPr>
    </w:p>
    <w:p>
      <w:pPr>
        <w:ind w:firstLine="987"/>
        <w:spacing w:after="0" w:line="255" w:lineRule="auto"/>
        <w:tabs>
          <w:tab w:leader="none" w:pos="117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 Amendment and Enforcement</w:t>
      </w:r>
      <w:r>
        <w:rPr>
          <w:rFonts w:ascii="Times New Roman" w:cs="Times New Roman" w:eastAsia="Times New Roman" w:hAnsi="Times New Roman"/>
          <w:sz w:val="18"/>
          <w:szCs w:val="18"/>
          <w:color w:val="auto"/>
        </w:rPr>
        <w:t>. This letter agreement and Exhibit A supersede and replace any prior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 * * * *</w:t>
      </w:r>
    </w:p>
    <w:p>
      <w:pPr>
        <w:sectPr>
          <w:pgSz w:w="11900" w:h="16838" w:orient="portrait"/>
          <w:cols w:equalWidth="0" w:num="1">
            <w:col w:w="10980"/>
          </w:cols>
          <w:pgMar w:left="440" w:top="266" w:right="479" w:bottom="1440" w:gutter="0" w:footer="0" w:header="0"/>
        </w:sectPr>
      </w:pPr>
    </w:p>
    <w:bookmarkStart w:id="313" w:name="page314"/>
    <w:bookmarkEnd w:id="313"/>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July 6, 2018. As required by law, your employment with the Company is contingent upon your providing legal proof of your identity and authorization to work in the United States. Your employment is also contingent upon your starting work with the Company on or before July 9, 2018.</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you have any questions, please call me at 916.337.8669.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HIN</w:t>
      </w:r>
      <w:r>
        <w:rPr>
          <w:rFonts w:ascii="Times New Roman" w:cs="Times New Roman" w:eastAsia="Times New Roman" w:hAnsi="Times New Roman"/>
          <w:sz w:val="18"/>
          <w:szCs w:val="18"/>
          <w:color w:val="auto"/>
        </w:rPr>
        <w:t>CI,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&amp; CEO</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Santiago Fernandez-Gomez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Employee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5,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Proprietary Information and Inventions Agreement</w:t>
      </w:r>
    </w:p>
    <w:p>
      <w:pPr>
        <w:sectPr>
          <w:pgSz w:w="11900" w:h="16838" w:orient="portrait"/>
          <w:cols w:equalWidth="0" w:num="1">
            <w:col w:w="11020"/>
          </w:cols>
          <w:pgMar w:left="440" w:top="270" w:right="4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03"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Eligible Directors (as defined below) on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Blaize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be eligible to receive cash and equity compensation as set forth in this Non-Employee Director Compensation Program (this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The cash and equity compensation described in this Program shall be paid or made, as applicable, automatically as set forth herein and without further action of the Board, to each member of the Board who is not an employee of the Company or any of its parents or subsidiaries and who is determined by the Board to be eligible to receive compensation under this Program (each,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who may be eligible to receive such cash or equity compensation, unless such Eligible Director declines the receipt of such cash or equity compensation by written notice to the Company.</w:t>
      </w:r>
    </w:p>
    <w:p>
      <w:pPr>
        <w:spacing w:after="0" w:line="18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This Program shall become effective upon the closing of the transactions contemplated by that certain Agreement and Plan of Merger, dated December 22, 2023, by and between BurTech Acquisition Corp., BurTech Merger Sub, Inc., Blaize, Inc. and, solely for the limited purposes set forth therein, Burkhan Capital LLC (such closing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83" w:lineRule="exact"/>
        <w:rPr>
          <w:sz w:val="20"/>
          <w:szCs w:val="20"/>
          <w:color w:val="auto"/>
        </w:rPr>
      </w:pPr>
    </w:p>
    <w:p>
      <w:pPr>
        <w:ind w:left="620" w:hanging="184"/>
        <w:spacing w:after="0"/>
        <w:tabs>
          <w:tab w:leader="none" w:pos="6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161"/>
        <w:spacing w:after="0"/>
        <w:tabs>
          <w:tab w:leader="none" w:pos="10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Retainers</w:t>
      </w:r>
      <w:r>
        <w:rPr>
          <w:rFonts w:ascii="Times New Roman" w:cs="Times New Roman" w:eastAsia="Times New Roman" w:hAnsi="Times New Roman"/>
          <w:sz w:val="18"/>
          <w:szCs w:val="18"/>
          <w:color w:val="auto"/>
        </w:rPr>
        <w:t>. Each Eligible Director shall be eligible to receive an annual cash retainer of $80,000 for service on the Board.</w:t>
      </w:r>
    </w:p>
    <w:p>
      <w:pPr>
        <w:spacing w:after="0" w:line="117" w:lineRule="exact"/>
        <w:rPr>
          <w:rFonts w:ascii="Times New Roman" w:cs="Times New Roman" w:eastAsia="Times New Roman" w:hAnsi="Times New Roman"/>
          <w:sz w:val="18"/>
          <w:szCs w:val="18"/>
          <w:color w:val="auto"/>
        </w:rPr>
      </w:pPr>
    </w:p>
    <w:p>
      <w:pPr>
        <w:ind w:left="1040" w:hanging="181"/>
        <w:spacing w:after="0"/>
        <w:tabs>
          <w:tab w:leader="none" w:pos="104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Annual Retainers</w:t>
      </w:r>
      <w:r>
        <w:rPr>
          <w:rFonts w:ascii="Times New Roman" w:cs="Times New Roman" w:eastAsia="Times New Roman" w:hAnsi="Times New Roman"/>
          <w:sz w:val="18"/>
          <w:szCs w:val="18"/>
          <w:color w:val="auto"/>
        </w:rPr>
        <w:t>. An Eligible Director shall be eligible to receive the following additional annual retainers, as applicable:</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07"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An Eligible Director serving as the Chairperson of the Board (other than an Executive Chairperson) shall be eligible to receive an additional annual retainer of $40,000 for such service.</w:t>
      </w:r>
    </w:p>
    <w:p>
      <w:pPr>
        <w:spacing w:after="0" w:line="53" w:lineRule="exact"/>
        <w:rPr>
          <w:rFonts w:ascii="Times New Roman" w:cs="Times New Roman" w:eastAsia="Times New Roman" w:hAnsi="Times New Roman"/>
          <w:sz w:val="18"/>
          <w:szCs w:val="18"/>
          <w:color w:val="auto"/>
        </w:rPr>
      </w:pPr>
    </w:p>
    <w:p>
      <w:pPr>
        <w:jc w:val="both"/>
        <w:ind w:left="440" w:right="180" w:firstLine="948"/>
        <w:spacing w:after="0" w:line="266" w:lineRule="auto"/>
        <w:tabs>
          <w:tab w:leader="none" w:pos="1657"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An Eligible Director serving as Chairperson of the Audit Committee shall be eligible to receive an additional annual retainer of $24,000 for such service. An Eligible Director serving as a member of the Audit Committee (other than the Chairperson) shall be eligible to receive an additional annual retainer of $16,000 for such service.</w:t>
      </w:r>
    </w:p>
    <w:p>
      <w:pPr>
        <w:spacing w:after="0" w:line="67" w:lineRule="exact"/>
        <w:rPr>
          <w:rFonts w:ascii="Times New Roman" w:cs="Times New Roman" w:eastAsia="Times New Roman" w:hAnsi="Times New Roman"/>
          <w:sz w:val="18"/>
          <w:szCs w:val="18"/>
          <w:color w:val="auto"/>
        </w:rPr>
      </w:pPr>
    </w:p>
    <w:p>
      <w:pPr>
        <w:jc w:val="both"/>
        <w:ind w:left="440" w:right="420" w:firstLine="948"/>
        <w:spacing w:after="0" w:line="266" w:lineRule="auto"/>
        <w:tabs>
          <w:tab w:leader="none" w:pos="1707"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 Eligible Director serving as Chairperson of the Compensation Committee shall be eligible to receive an additional annual retainer of $20,000 for such service. An Eligible Director serving as a member of the Compensation Committee (other than the Chairperson) shall be eligible to receive an additional annual retainer of $14,000 for such service.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033"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Retainers</w:t>
      </w:r>
      <w:r>
        <w:rPr>
          <w:rFonts w:ascii="Times New Roman" w:cs="Times New Roman" w:eastAsia="Times New Roman" w:hAnsi="Times New Roman"/>
          <w:sz w:val="18"/>
          <w:szCs w:val="18"/>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ectPr>
          <w:pgSz w:w="11900" w:h="16838" w:orient="portrait"/>
          <w:cols w:equalWidth="0" w:num="1">
            <w:col w:w="11020"/>
          </w:cols>
          <w:pgMar w:left="440" w:top="117" w:right="439" w:bottom="1440" w:gutter="0" w:footer="0" w:header="0"/>
        </w:sectPr>
      </w:pPr>
    </w:p>
    <w:bookmarkStart w:id="315" w:name="page316"/>
    <w:bookmarkEnd w:id="315"/>
    <w:p>
      <w:pPr>
        <w:ind w:left="184" w:hanging="184"/>
        <w:spacing w:after="0"/>
        <w:tabs>
          <w:tab w:leader="none" w:pos="18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Compensation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 w:firstLine="419"/>
        <w:spacing w:after="0" w:line="256" w:lineRule="auto"/>
        <w:tabs>
          <w:tab w:leader="none" w:pos="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Eligible Directors shall be granted the Initial Awards and Annual Awards described below (collectively, “</w:t>
      </w:r>
      <w:r>
        <w:rPr>
          <w:rFonts w:ascii="Times New Roman" w:cs="Times New Roman" w:eastAsia="Times New Roman" w:hAnsi="Times New Roman"/>
          <w:sz w:val="18"/>
          <w:szCs w:val="18"/>
          <w:b w:val="1"/>
          <w:bCs w:val="1"/>
          <w:i w:val="1"/>
          <w:iCs w:val="1"/>
          <w:color w:val="auto"/>
        </w:rPr>
        <w:t>Director Awards</w:t>
      </w:r>
      <w:r>
        <w:rPr>
          <w:rFonts w:ascii="Times New Roman" w:cs="Times New Roman" w:eastAsia="Times New Roman" w:hAnsi="Times New Roman"/>
          <w:sz w:val="18"/>
          <w:szCs w:val="18"/>
          <w:color w:val="auto"/>
        </w:rPr>
        <w:t>”). The Director Awards described below shall be granted under and shall be subject to the terms and provisions of the Company’s 2025 Incentive Award Plan (the “</w:t>
      </w:r>
      <w:r>
        <w:rPr>
          <w:rFonts w:ascii="Times New Roman" w:cs="Times New Roman" w:eastAsia="Times New Roman" w:hAnsi="Times New Roman"/>
          <w:sz w:val="18"/>
          <w:szCs w:val="18"/>
          <w:b w:val="1"/>
          <w:bCs w:val="1"/>
          <w:i w:val="1"/>
          <w:iCs w:val="1"/>
          <w:color w:val="auto"/>
        </w:rPr>
        <w:t>2025 Plan</w:t>
      </w:r>
      <w:r>
        <w:rPr>
          <w:rFonts w:ascii="Times New Roman" w:cs="Times New Roman" w:eastAsia="Times New Roman" w:hAnsi="Times New Roman"/>
          <w:sz w:val="18"/>
          <w:szCs w:val="18"/>
          <w:color w:val="auto"/>
        </w:rPr>
        <w:t>”), or any other applicable Company equity incentive plan then-maintained by the Company (the 2025 Plan or such other plan, in any case, as may be amended from time to time,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and may be granted subject to the execution and delivery of award agreements, including any exhibits thereto, in substantially the forms approved by the Board prior to or in connection with such grants. All applicable terms of the Equity Plan apply to this Program as if fully set forth herein, and all grants of Director Awards hereby are subject in all respects to the terms of the Equity Plan.</w:t>
      </w:r>
    </w:p>
    <w:p>
      <w:pPr>
        <w:spacing w:after="0" w:line="78" w:lineRule="exact"/>
        <w:rPr>
          <w:rFonts w:ascii="Times New Roman" w:cs="Times New Roman" w:eastAsia="Times New Roman" w:hAnsi="Times New Roman"/>
          <w:sz w:val="18"/>
          <w:szCs w:val="18"/>
          <w:color w:val="auto"/>
        </w:rPr>
      </w:pPr>
    </w:p>
    <w:p>
      <w:pPr>
        <w:ind w:left="4" w:right="120" w:firstLine="419"/>
        <w:spacing w:after="0" w:line="255" w:lineRule="auto"/>
        <w:tabs>
          <w:tab w:leader="none" w:pos="60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Awards</w:t>
      </w:r>
      <w:r>
        <w:rPr>
          <w:rFonts w:ascii="Times New Roman" w:cs="Times New Roman" w:eastAsia="Times New Roman" w:hAnsi="Times New Roman"/>
          <w:sz w:val="18"/>
          <w:szCs w:val="18"/>
          <w:color w:val="auto"/>
        </w:rPr>
        <w:t>. Each Eligible Director who is initially elected or appointed to serve on the Board after the Effective Date shall be granted an award (an “</w:t>
      </w:r>
      <w:r>
        <w:rPr>
          <w:rFonts w:ascii="Times New Roman" w:cs="Times New Roman" w:eastAsia="Times New Roman" w:hAnsi="Times New Roman"/>
          <w:sz w:val="18"/>
          <w:szCs w:val="18"/>
          <w:b w:val="1"/>
          <w:bCs w:val="1"/>
          <w:i w:val="1"/>
          <w:iCs w:val="1"/>
          <w:color w:val="auto"/>
        </w:rPr>
        <w:t>Initial Award</w:t>
      </w:r>
      <w:r>
        <w:rPr>
          <w:rFonts w:ascii="Times New Roman" w:cs="Times New Roman" w:eastAsia="Times New Roman" w:hAnsi="Times New Roman"/>
          <w:sz w:val="18"/>
          <w:szCs w:val="18"/>
          <w:color w:val="auto"/>
        </w:rPr>
        <w:t>”) in the form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Each Initial Award shall be automatically granted on the date on which such Eligible Director is appointed or elected to serve on the Board and shall vest with respect to one-third of the RSUs subject thereto on each of the first three (3) anniversaries of the applicable grant date, subject to the Eligible Director’s continued service on the Board through the applicable vesting date.</w:t>
      </w:r>
    </w:p>
    <w:p>
      <w:pPr>
        <w:spacing w:after="0" w:line="80"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Awards</w:t>
      </w:r>
      <w:r>
        <w:rPr>
          <w:rFonts w:ascii="Times New Roman" w:cs="Times New Roman" w:eastAsia="Times New Roman" w:hAnsi="Times New Roman"/>
          <w:sz w:val="18"/>
          <w:szCs w:val="18"/>
          <w:color w:val="auto"/>
        </w:rPr>
        <w:t>. Each Eligible Director who (i) is serving on the Board as of the date of any annual meeting of the Company’s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after the Effective Date and (ii) will continue to serve on the Board immediately following such Annual Meeting, shall be automatically be granted an award (an “</w:t>
      </w:r>
      <w:r>
        <w:rPr>
          <w:rFonts w:ascii="Times New Roman" w:cs="Times New Roman" w:eastAsia="Times New Roman" w:hAnsi="Times New Roman"/>
          <w:sz w:val="18"/>
          <w:szCs w:val="18"/>
          <w:b w:val="1"/>
          <w:bCs w:val="1"/>
          <w:i w:val="1"/>
          <w:iCs w:val="1"/>
          <w:color w:val="auto"/>
        </w:rPr>
        <w:t>Annual Award</w:t>
      </w:r>
      <w:r>
        <w:rPr>
          <w:rFonts w:ascii="Times New Roman" w:cs="Times New Roman" w:eastAsia="Times New Roman" w:hAnsi="Times New Roman"/>
          <w:sz w:val="18"/>
          <w:szCs w:val="18"/>
          <w:color w:val="auto"/>
        </w:rPr>
        <w:t>”) in the form of RSUs,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Each Annual Award shall be automatically granted on the date of such Annual Meeting and shall vest in full on the earlier to occur of (x) the one-year anniversary of the applicable grant date and (y) the date of the next Annual Meeting following the grant date, subject to the Eligible Director’s continued service on the Board through the applicable vesting date.</w:t>
      </w:r>
    </w:p>
    <w:p>
      <w:pPr>
        <w:spacing w:after="0" w:line="83" w:lineRule="exact"/>
        <w:rPr>
          <w:rFonts w:ascii="Times New Roman" w:cs="Times New Roman" w:eastAsia="Times New Roman" w:hAnsi="Times New Roman"/>
          <w:sz w:val="18"/>
          <w:szCs w:val="18"/>
          <w:color w:val="auto"/>
        </w:rPr>
      </w:pPr>
    </w:p>
    <w:p>
      <w:pPr>
        <w:ind w:left="4" w:right="140" w:firstLine="419"/>
        <w:spacing w:after="0" w:line="261" w:lineRule="auto"/>
        <w:tabs>
          <w:tab w:leader="none" w:pos="60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of Employee Directors</w:t>
      </w:r>
      <w:r>
        <w:rPr>
          <w:rFonts w:ascii="Times New Roman" w:cs="Times New Roman" w:eastAsia="Times New Roman" w:hAnsi="Times New Roman"/>
          <w:sz w:val="18"/>
          <w:szCs w:val="18"/>
          <w:color w:val="auto"/>
        </w:rPr>
        <w:t>. Members of the Board who are employees of the Company or any subsidiary of the Company who subsequently terminate their employment and remain on the Board will not receive Initial Awards or Pro-Rated Annual Awards, but to the extent that they otherwise become entitled to compensation under this Program after such employment terminates, will be eligible to receive, after termination of employment with the Company and any subsidiary of the Company, Annual Awards.</w:t>
      </w:r>
    </w:p>
    <w:p>
      <w:pPr>
        <w:spacing w:after="0" w:line="71"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 Notwithstanding anything herein to the contrary, an Eligible Director’s Director Award(s) shall vest in full immediately prior to the occurrence of a Change in Control (as defined in the 2025 Plan, or any similar or like term as defined in the then-applicable Equity Plan), subject to the Eligible Director’s continued service on the Board until immediately prior to such Change in Control, to the extent outstanding at such time, if the Eligible Director will not become, as of immediately following such Change in Control, a member of the Board or the board of directors of the successor to the Company (or any parent thereof).</w:t>
      </w:r>
    </w:p>
    <w:p>
      <w:pPr>
        <w:sectPr>
          <w:pgSz w:w="11900" w:h="16838" w:orient="portrait"/>
          <w:cols w:equalWidth="0" w:num="1">
            <w:col w:w="10564"/>
          </w:cols>
          <w:pgMar w:left="876" w:top="270" w:right="459" w:bottom="1440" w:gutter="0" w:footer="0" w:header="0"/>
        </w:sectPr>
      </w:pPr>
    </w:p>
    <w:bookmarkStart w:id="316" w:name="page317"/>
    <w:bookmarkEnd w:id="316"/>
    <w:p>
      <w:pPr>
        <w:ind w:left="440" w:right="1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Notwithstanding anything to the contrary in this Program, if, as of the date on which any Director Award is scheduled to be automatically granted pursuant to this Program, the Company has not yet filed with the Securities and Exchange Commission a Form S-8 Registration Statement covering the shares of Company common stock subject to the Director Award, the Director Award shall instead be automatically granted upon the effectiveness of such Form S-8 Registration Statement (subject to the Eligible Director’s continued service on the Board through the date of such effectiveness).</w:t>
      </w:r>
    </w:p>
    <w:p>
      <w:pPr>
        <w:spacing w:after="0" w:line="183" w:lineRule="exact"/>
        <w:rPr>
          <w:sz w:val="20"/>
          <w:szCs w:val="20"/>
          <w:color w:val="auto"/>
        </w:rPr>
      </w:pPr>
    </w:p>
    <w:p>
      <w:pPr>
        <w:ind w:firstLine="436"/>
        <w:spacing w:after="0" w:line="282" w:lineRule="auto"/>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Limits</w:t>
      </w:r>
      <w:r>
        <w:rPr>
          <w:rFonts w:ascii="Times New Roman" w:cs="Times New Roman" w:eastAsia="Times New Roman" w:hAnsi="Times New Roman"/>
          <w:sz w:val="18"/>
          <w:szCs w:val="18"/>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Optionee has been granted the following option to purchase shares of the Common Stock of Blaize, Inc.:</w:t>
      </w:r>
    </w:p>
    <w:p>
      <w:pPr>
        <w:sectPr>
          <w:pgSz w:w="11900" w:h="16838" w:orient="portrait"/>
          <w:cols w:equalWidth="0" w:num="1">
            <w:col w:w="11020"/>
          </w:cols>
          <w:pgMar w:left="440" w:top="117" w:right="439" w:bottom="1440" w:gutter="0" w:footer="0" w:header="0"/>
        </w:sect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###PARTICIPANT_NAME###</w:t>
      </w:r>
    </w:p>
    <w:p>
      <w:pPr>
        <w:spacing w:after="0" w:line="129"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###TOTAL_AWARDS###</w:t>
      </w:r>
    </w:p>
    <w:p>
      <w:pPr>
        <w:spacing w:after="0" w:line="129"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###DICTIONARY_AWARD_NAME###</w:t>
      </w:r>
    </w:p>
    <w:p>
      <w:pPr>
        <w:spacing w:after="0" w:line="129"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###GRANT_PRICE###</w:t>
      </w:r>
    </w:p>
    <w:p>
      <w:pPr>
        <w:spacing w:after="0" w:line="128"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###GRANT_DATE###</w:t>
      </w:r>
    </w:p>
    <w:p>
      <w:pPr>
        <w:spacing w:after="0" w:line="129"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Date Exercisable: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###VEST_SCHEDULE_DESCRIPTION###</w:t>
      </w:r>
    </w:p>
    <w:p>
      <w:pPr>
        <w:spacing w:after="0" w:line="117"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###ALTERNATIVE_VEST_BASE_DATE###</w:t>
      </w:r>
    </w:p>
    <w:p>
      <w:pPr>
        <w:spacing w:after="0" w:line="129" w:lineRule="exact"/>
        <w:rPr>
          <w:sz w:val="20"/>
          <w:szCs w:val="20"/>
          <w:color w:val="auto"/>
        </w:rPr>
      </w:pPr>
    </w:p>
    <w:p>
      <w:pPr>
        <w:sectPr>
          <w:pgSz w:w="11900" w:h="16838" w:orient="portrait"/>
          <w:cols w:equalWidth="0" w:num="2">
            <w:col w:w="2740" w:space="680"/>
            <w:col w:w="7600"/>
          </w:cols>
          <w:pgMar w:left="440" w:top="11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###EXPIRY_DATE###. This option expires earlier if the Optionee’s Service terminates earlier, as provided in Section 6 of the Stock Option Agreement, or if the Company engages in certain corporate transactions, as provided in Section 8(b) of the Plan.</w:t>
      </w:r>
    </w:p>
    <w:p>
      <w:pPr>
        <w:spacing w:after="0" w:line="176" w:lineRule="exact"/>
        <w:rPr>
          <w:sz w:val="20"/>
          <w:szCs w:val="20"/>
          <w:color w:val="auto"/>
        </w:rPr>
      </w:pPr>
    </w:p>
    <w:p>
      <w:pPr>
        <w:sectPr>
          <w:pgSz w:w="11900" w:h="16838" w:orient="portrait"/>
          <w:cols w:equalWidth="0" w:num="2">
            <w:col w:w="2700" w:space="720"/>
            <w:col w:w="7600"/>
          </w:cols>
          <w:pgMar w:left="440" w:top="117" w:right="439" w:bottom="1440" w:gutter="0" w:footer="0" w:header="0"/>
          <w:type w:val="continuous"/>
        </w:sect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By signing below,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Option Agreement includes important acknowledgements of the Optionee</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w:t>
            </w:r>
          </w:p>
        </w:tc>
        <w:tc>
          <w:tcPr>
            <w:tcW w:w="43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p>
        </w:tc>
        <w:tc>
          <w:tcPr>
            <w:tcW w:w="0" w:type="dxa"/>
            <w:vAlign w:val="bottom"/>
          </w:tcPr>
          <w:p>
            <w:pPr>
              <w:spacing w:after="0"/>
              <w:rPr>
                <w:sz w:val="1"/>
                <w:szCs w:val="1"/>
                <w:color w:val="auto"/>
              </w:rPr>
            </w:pPr>
          </w:p>
        </w:tc>
      </w:tr>
      <w:tr>
        <w:trPr>
          <w:trHeight w:val="39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###PARTICIPANT_NAME###</w:t>
            </w:r>
          </w:p>
        </w:tc>
        <w:tc>
          <w:tcPr>
            <w:tcW w:w="43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 _______________________________</w:t>
            </w:r>
          </w:p>
        </w:tc>
        <w:tc>
          <w:tcPr>
            <w:tcW w:w="0" w:type="dxa"/>
            <w:vAlign w:val="bottom"/>
          </w:tcPr>
          <w:p>
            <w:pPr>
              <w:spacing w:after="0"/>
              <w:rPr>
                <w:sz w:val="1"/>
                <w:szCs w:val="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6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color w:val="auto"/>
                <w:w w:val="98"/>
              </w:rPr>
              <w:t>Title: ______________________________</w:t>
            </w:r>
          </w:p>
        </w:tc>
        <w:tc>
          <w:tcPr>
            <w:tcW w:w="0" w:type="dxa"/>
            <w:vAlign w:val="bottom"/>
          </w:tcPr>
          <w:p>
            <w:pPr>
              <w:spacing w:after="0" w:line="20" w:lineRule="exact"/>
              <w:rPr>
                <w:sz w:val="1"/>
                <w:szCs w:val="1"/>
                <w:color w:val="auto"/>
              </w:rPr>
            </w:pPr>
          </w:p>
        </w:tc>
      </w:tr>
      <w:tr>
        <w:trPr>
          <w:trHeight w:val="237"/>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Accepted on: ###ACCEPTANCE_DATE###</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vMerge w:val="continue"/>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type w:val="continuous"/>
        </w:sectPr>
      </w:pPr>
    </w:p>
    <w:bookmarkStart w:id="318" w:name="page319"/>
    <w:bookmarkEnd w:id="318"/>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LAIZE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7" w:lineRule="exact"/>
        <w:rPr>
          <w:sz w:val="20"/>
          <w:szCs w:val="20"/>
          <w:color w:val="auto"/>
        </w:rPr>
      </w:pPr>
    </w:p>
    <w:p>
      <w:pPr>
        <w:ind w:right="380" w:firstLine="987"/>
        <w:spacing w:after="0" w:line="259" w:lineRule="auto"/>
        <w:tabs>
          <w:tab w:leader="none" w:pos="123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9" w:lineRule="exact"/>
        <w:rPr>
          <w:rFonts w:ascii="Times New Roman" w:cs="Times New Roman" w:eastAsia="Times New Roman" w:hAnsi="Times New Roman"/>
          <w:sz w:val="18"/>
          <w:szCs w:val="18"/>
          <w:color w:val="auto"/>
        </w:rPr>
      </w:pPr>
    </w:p>
    <w:p>
      <w:pPr>
        <w:ind w:right="20" w:firstLine="987"/>
        <w:spacing w:after="0" w:line="286" w:lineRule="auto"/>
        <w:tabs>
          <w:tab w:leader="none" w:pos="12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(and only to the extent) required by the $100,000 annual limitation under Section 422(d) of the Code.</w:t>
      </w:r>
    </w:p>
    <w:p>
      <w:pPr>
        <w:spacing w:after="0" w:line="154" w:lineRule="exact"/>
        <w:rPr>
          <w:rFonts w:ascii="Times New Roman" w:cs="Times New Roman" w:eastAsia="Times New Roman" w:hAnsi="Times New Roman"/>
          <w:sz w:val="18"/>
          <w:szCs w:val="18"/>
          <w:color w:val="auto"/>
        </w:rPr>
      </w:pPr>
    </w:p>
    <w:p>
      <w:pPr>
        <w:ind w:right="460" w:firstLine="987"/>
        <w:spacing w:after="0" w:line="268" w:lineRule="auto"/>
        <w:tabs>
          <w:tab w:leader="none" w:pos="123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provisions of the Plan are incorporated into this Agreement by this reference. Capitalized terms are defined in Section 14 of this Agreement.</w:t>
      </w:r>
    </w:p>
    <w:p>
      <w:pPr>
        <w:spacing w:after="0" w:line="170"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Plan Amendment</w:t>
      </w:r>
      <w:r>
        <w:rPr>
          <w:rFonts w:ascii="Times New Roman" w:cs="Times New Roman" w:eastAsia="Times New Roman" w:hAnsi="Times New Roman"/>
          <w:sz w:val="18"/>
          <w:szCs w:val="18"/>
          <w:color w:val="auto"/>
        </w:rPr>
        <w:t>. Notwithstanding anything herein to the contrary, the option granted hereby is subject to and conditioned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approval by the Company’s stockholders of an amendment to the Plan that increases the number of shares of Common Stock available for issuance thereunder by not less than 21,116,294 Shares (the “</w:t>
      </w:r>
      <w:r>
        <w:rPr>
          <w:rFonts w:ascii="Times New Roman" w:cs="Times New Roman" w:eastAsia="Times New Roman" w:hAnsi="Times New Roman"/>
          <w:sz w:val="18"/>
          <w:szCs w:val="18"/>
          <w:b w:val="1"/>
          <w:bCs w:val="1"/>
          <w:i w:val="1"/>
          <w:iCs w:val="1"/>
          <w:color w:val="auto"/>
        </w:rPr>
        <w:t>Plan Amendment</w:t>
      </w:r>
      <w:r>
        <w:rPr>
          <w:rFonts w:ascii="Times New Roman" w:cs="Times New Roman" w:eastAsia="Times New Roman" w:hAnsi="Times New Roman"/>
          <w:sz w:val="18"/>
          <w:szCs w:val="18"/>
          <w:color w:val="auto"/>
        </w:rPr>
        <w:t>”) on or within twelve (12) months following the Date of Grant, and the option shall not vest or be exercisable prior to the approval of the Plan Amendment by the Company’s stockholders. If such stockholder approval is not obtained by the end of the twelve (12)-month period immediately following the Date of Grant, the option granted hereby shall thereupon automatically be cancelled and forfeited and become null and void. The Optionee expressly acknowledges that the Option is being granted prior to approval of the Plan Amendment by the Company’s stockholders and is subject to and conditioned upon such approval.</w:t>
      </w:r>
    </w:p>
    <w:p>
      <w:pPr>
        <w:sectPr>
          <w:pgSz w:w="11900" w:h="16838" w:orient="portrait"/>
          <w:cols w:equalWidth="0" w:num="1">
            <w:col w:w="10980"/>
          </w:cols>
          <w:pgMar w:left="440" w:top="266" w:right="479" w:bottom="1440" w:gutter="0" w:footer="0" w:header="0"/>
        </w:sectPr>
      </w:pPr>
    </w:p>
    <w:bookmarkStart w:id="319" w:name="page320"/>
    <w:bookmarkEnd w:id="3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RIGHT TO EXERCISE.</w:t>
      </w:r>
    </w:p>
    <w:p>
      <w:pPr>
        <w:spacing w:after="0" w:line="117" w:lineRule="exact"/>
        <w:rPr>
          <w:sz w:val="20"/>
          <w:szCs w:val="20"/>
          <w:color w:val="auto"/>
        </w:rPr>
      </w:pPr>
    </w:p>
    <w:p>
      <w:pPr>
        <w:ind w:left="4" w:right="120" w:firstLine="987"/>
        <w:spacing w:after="0" w:line="286" w:lineRule="auto"/>
        <w:tabs>
          <w:tab w:leader="none" w:pos="12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w:t>
      </w:r>
    </w:p>
    <w:p>
      <w:pPr>
        <w:spacing w:after="0" w:line="154" w:lineRule="exact"/>
        <w:rPr>
          <w:rFonts w:ascii="Times New Roman" w:cs="Times New Roman" w:eastAsia="Times New Roman" w:hAnsi="Times New Roman"/>
          <w:sz w:val="18"/>
          <w:szCs w:val="18"/>
          <w:color w:val="auto"/>
        </w:rPr>
      </w:pPr>
    </w:p>
    <w:p>
      <w:pPr>
        <w:ind w:left="4" w:right="120" w:firstLine="987"/>
        <w:spacing w:after="0" w:line="286" w:lineRule="auto"/>
        <w:tabs>
          <w:tab w:leader="none" w:pos="125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approval of the Plan by the Company’s stockholders.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121" w:lineRule="exact"/>
        <w:rPr>
          <w:sz w:val="20"/>
          <w:szCs w:val="20"/>
          <w:color w:val="auto"/>
        </w:rPr>
      </w:pPr>
    </w:p>
    <w:p>
      <w:pPr>
        <w:jc w:val="both"/>
        <w:ind w:left="4" w:right="180" w:firstLine="991"/>
        <w:spacing w:after="0" w:line="312"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117" w:lineRule="exact"/>
        <w:rPr>
          <w:sz w:val="20"/>
          <w:szCs w:val="20"/>
          <w:color w:val="auto"/>
        </w:rPr>
      </w:pPr>
    </w:p>
    <w:p>
      <w:pPr>
        <w:ind w:left="4" w:firstLine="987"/>
        <w:spacing w:after="0" w:line="257" w:lineRule="auto"/>
        <w:tabs>
          <w:tab w:leader="none" w:pos="12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pacing w:after="0" w:line="182" w:lineRule="exact"/>
        <w:rPr>
          <w:rFonts w:ascii="Times New Roman" w:cs="Times New Roman" w:eastAsia="Times New Roman" w:hAnsi="Times New Roman"/>
          <w:sz w:val="18"/>
          <w:szCs w:val="18"/>
          <w:color w:val="auto"/>
        </w:rPr>
      </w:pPr>
    </w:p>
    <w:p>
      <w:pPr>
        <w:ind w:left="4" w:right="360" w:firstLine="987"/>
        <w:spacing w:after="0" w:line="278" w:lineRule="auto"/>
        <w:tabs>
          <w:tab w:leader="none" w:pos="1250"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Shares for which this option has been exercised. Such Shares shall be registered (i) in the name of the person exercising this option,</w:t>
      </w:r>
    </w:p>
    <w:p>
      <w:pPr>
        <w:spacing w:after="0" w:line="1" w:lineRule="exact"/>
        <w:rPr>
          <w:rFonts w:ascii="Times New Roman" w:cs="Times New Roman" w:eastAsia="Times New Roman" w:hAnsi="Times New Roman"/>
          <w:sz w:val="17"/>
          <w:szCs w:val="17"/>
          <w:color w:val="auto"/>
        </w:rPr>
      </w:pPr>
    </w:p>
    <w:p>
      <w:pPr>
        <w:ind w:left="4" w:right="420" w:hanging="4"/>
        <w:spacing w:after="0" w:line="255" w:lineRule="auto"/>
        <w:tabs>
          <w:tab w:leader="none" w:pos="26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181" w:lineRule="exact"/>
        <w:rPr>
          <w:rFonts w:ascii="Times New Roman" w:cs="Times New Roman" w:eastAsia="Times New Roman" w:hAnsi="Times New Roman"/>
          <w:sz w:val="18"/>
          <w:szCs w:val="18"/>
          <w:color w:val="auto"/>
        </w:rPr>
      </w:pPr>
    </w:p>
    <w:p>
      <w:pPr>
        <w:ind w:left="4" w:right="20" w:firstLine="987"/>
        <w:spacing w:after="0" w:line="262" w:lineRule="auto"/>
        <w:tabs>
          <w:tab w:leader="none" w:pos="124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7" w:lineRule="exact"/>
        <w:rPr>
          <w:sz w:val="20"/>
          <w:szCs w:val="20"/>
          <w:color w:val="auto"/>
        </w:rPr>
      </w:pPr>
    </w:p>
    <w:p>
      <w:pPr>
        <w:ind w:left="5464" w:right="3940" w:hanging="4473"/>
        <w:spacing w:after="0" w:line="458" w:lineRule="auto"/>
        <w:tabs>
          <w:tab w:leader="none" w:pos="12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66" w:right="539" w:bottom="1440" w:gutter="0" w:footer="0" w:header="0"/>
        </w:sectPr>
      </w:pPr>
    </w:p>
    <w:bookmarkStart w:id="320" w:name="page321"/>
    <w:bookmarkEnd w:id="320"/>
    <w:p>
      <w:pPr>
        <w:ind w:right="20" w:firstLine="987"/>
        <w:spacing w:after="0" w:line="268" w:lineRule="auto"/>
        <w:tabs>
          <w:tab w:leader="none" w:pos="124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70" w:lineRule="exact"/>
        <w:rPr>
          <w:rFonts w:ascii="Times New Roman" w:cs="Times New Roman" w:eastAsia="Times New Roman" w:hAnsi="Times New Roman"/>
          <w:sz w:val="18"/>
          <w:szCs w:val="18"/>
          <w:color w:val="auto"/>
        </w:rPr>
      </w:pPr>
    </w:p>
    <w:p>
      <w:pPr>
        <w:ind w:right="20" w:firstLine="987"/>
        <w:spacing w:after="0" w:line="262" w:lineRule="auto"/>
        <w:tabs>
          <w:tab w:leader="none" w:pos="12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7" w:lineRule="exact"/>
        <w:rPr>
          <w:sz w:val="20"/>
          <w:szCs w:val="20"/>
          <w:color w:val="auto"/>
        </w:rPr>
      </w:pPr>
    </w:p>
    <w:p>
      <w:pPr>
        <w:ind w:right="40" w:firstLine="987"/>
        <w:spacing w:after="0" w:line="263" w:lineRule="auto"/>
        <w:tabs>
          <w:tab w:leader="none" w:pos="12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after the Date of Grant (five years after the Date of Grant if this option is designated as an ISO in the Notice of Stock Option Grant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3(b) of the Plan applies).</w:t>
      </w:r>
    </w:p>
    <w:p>
      <w:pPr>
        <w:spacing w:after="0" w:line="202" w:lineRule="exact"/>
        <w:rPr>
          <w:rFonts w:ascii="Times New Roman" w:cs="Times New Roman" w:eastAsia="Times New Roman" w:hAnsi="Times New Roman"/>
          <w:sz w:val="18"/>
          <w:szCs w:val="18"/>
          <w:color w:val="auto"/>
        </w:rPr>
      </w:pPr>
    </w:p>
    <w:p>
      <w:pPr>
        <w:ind w:right="20" w:firstLine="987"/>
        <w:spacing w:after="0" w:line="286" w:lineRule="auto"/>
        <w:tabs>
          <w:tab w:leader="none" w:pos="12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on the earliest of the following occasions:</w:t>
      </w:r>
    </w:p>
    <w:p>
      <w:pPr>
        <w:spacing w:after="0" w:line="50"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Disability;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83" w:lineRule="exact"/>
        <w:rPr>
          <w:sz w:val="20"/>
          <w:szCs w:val="20"/>
          <w:color w:val="auto"/>
        </w:rPr>
      </w:pPr>
    </w:p>
    <w:p>
      <w:pPr>
        <w:ind w:left="1240" w:hanging="253"/>
        <w:spacing w:after="0"/>
        <w:tabs>
          <w:tab w:leader="none" w:pos="12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pacing w:after="0" w:line="12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21" w:name="page322"/>
    <w:bookmarkEnd w:id="321"/>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The date 12 months after the Optionee’s death.</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176" w:lineRule="exact"/>
        <w:rPr>
          <w:sz w:val="20"/>
          <w:szCs w:val="20"/>
          <w:color w:val="auto"/>
        </w:rPr>
      </w:pPr>
    </w:p>
    <w:p>
      <w:pPr>
        <w:jc w:val="both"/>
        <w:ind w:right="160" w:firstLine="987"/>
        <w:spacing w:after="0" w:line="274" w:lineRule="auto"/>
        <w:tabs>
          <w:tab w:leader="none" w:pos="1246"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Part-Time Employment and Leaves of Absence</w:t>
      </w:r>
      <w:r>
        <w:rPr>
          <w:rFonts w:ascii="Times New Roman" w:cs="Times New Roman" w:eastAsia="Times New Roman" w:hAnsi="Times New Roman"/>
          <w:sz w:val="17"/>
          <w:szCs w:val="17"/>
          <w:color w:val="auto"/>
        </w:rPr>
        <w:t>. If the Optionee commences working on a part-time basis, then the Company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w:t>
      </w:r>
    </w:p>
    <w:p>
      <w:pPr>
        <w:ind w:right="2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4" w:lineRule="exact"/>
        <w:rPr>
          <w:rFonts w:ascii="Times New Roman" w:cs="Times New Roman" w:eastAsia="Times New Roman" w:hAnsi="Times New Roman"/>
          <w:sz w:val="17"/>
          <w:szCs w:val="17"/>
          <w:color w:val="auto"/>
        </w:rPr>
      </w:pPr>
    </w:p>
    <w:p>
      <w:pPr>
        <w:ind w:right="480" w:firstLine="987"/>
        <w:spacing w:after="0" w:line="286"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qualify for favorable tax treatment as an ISO to the extent that it is exercised:</w:t>
      </w:r>
    </w:p>
    <w:p>
      <w:pPr>
        <w:spacing w:after="0" w:line="50"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0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ceases to be an Employee for any reason other than death or permanent and total disability (as defined in Section 22(e)(3) of the Code);</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5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12 months after the date when the Optionee ceases to be an Employee by reason of permanent and total disability (as defined in Section 22(e)(3) of the Code); or</w:t>
      </w:r>
    </w:p>
    <w:p>
      <w:pPr>
        <w:spacing w:after="0" w:line="53" w:lineRule="exact"/>
        <w:rPr>
          <w:rFonts w:ascii="Times New Roman" w:cs="Times New Roman" w:eastAsia="Times New Roman" w:hAnsi="Times New Roman"/>
          <w:sz w:val="18"/>
          <w:szCs w:val="18"/>
          <w:color w:val="auto"/>
        </w:rPr>
      </w:pPr>
    </w:p>
    <w:p>
      <w:pPr>
        <w:ind w:left="440" w:right="440" w:firstLine="948"/>
        <w:spacing w:after="0" w:line="282" w:lineRule="auto"/>
        <w:tabs>
          <w:tab w:leader="none" w:pos="170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FIRST REFUSAL.</w:t>
      </w:r>
    </w:p>
    <w:p>
      <w:pPr>
        <w:spacing w:after="0" w:line="117" w:lineRule="exact"/>
        <w:rPr>
          <w:sz w:val="20"/>
          <w:szCs w:val="20"/>
          <w:color w:val="auto"/>
        </w:rPr>
      </w:pPr>
    </w:p>
    <w:p>
      <w:pPr>
        <w:ind w:firstLine="987"/>
        <w:spacing w:after="0" w:line="257"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22" w:name="page323"/>
    <w:bookmarkEnd w:id="32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76" w:lineRule="exact"/>
        <w:rPr>
          <w:sz w:val="20"/>
          <w:szCs w:val="20"/>
          <w:color w:val="auto"/>
        </w:rPr>
      </w:pPr>
    </w:p>
    <w:p>
      <w:pPr>
        <w:ind w:right="180" w:firstLine="987"/>
        <w:spacing w:after="0" w:line="269" w:lineRule="auto"/>
        <w:tabs>
          <w:tab w:leader="none" w:pos="1246"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Transfer of Shares</w:t>
      </w:r>
      <w:r>
        <w:rPr>
          <w:rFonts w:ascii="Times New Roman" w:cs="Times New Roman" w:eastAsia="Times New Roman" w:hAnsi="Times New Roman"/>
          <w:sz w:val="17"/>
          <w:szCs w:val="17"/>
          <w:color w:val="auto"/>
        </w:rPr>
        <w:t>. If the Company fails to exercise its Right of First Refusal within 30 days after the date when it received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w:t>
      </w:r>
    </w:p>
    <w:p>
      <w:pPr>
        <w:ind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4" w:lineRule="exact"/>
        <w:rPr>
          <w:rFonts w:ascii="Times New Roman" w:cs="Times New Roman" w:eastAsia="Times New Roman" w:hAnsi="Times New Roman"/>
          <w:sz w:val="17"/>
          <w:szCs w:val="17"/>
          <w:color w:val="auto"/>
        </w:rPr>
      </w:pPr>
    </w:p>
    <w:p>
      <w:pPr>
        <w:ind w:firstLine="987"/>
        <w:spacing w:after="0" w:line="256" w:lineRule="auto"/>
        <w:tabs>
          <w:tab w:leader="none" w:pos="123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82" w:lineRule="exact"/>
        <w:rPr>
          <w:rFonts w:ascii="Times New Roman" w:cs="Times New Roman" w:eastAsia="Times New Roman" w:hAnsi="Times New Roman"/>
          <w:sz w:val="18"/>
          <w:szCs w:val="18"/>
          <w:color w:val="auto"/>
        </w:rPr>
      </w:pPr>
    </w:p>
    <w:p>
      <w:pPr>
        <w:ind w:right="240" w:firstLine="987"/>
        <w:spacing w:after="0" w:line="268"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rFonts w:ascii="Times New Roman" w:cs="Times New Roman" w:eastAsia="Times New Roman" w:hAnsi="Times New Roman"/>
          <w:sz w:val="18"/>
          <w:szCs w:val="18"/>
          <w:color w:val="auto"/>
        </w:rPr>
      </w:pPr>
    </w:p>
    <w:p>
      <w:pPr>
        <w:ind w:right="40" w:firstLine="987"/>
        <w:spacing w:after="0" w:line="257" w:lineRule="auto"/>
        <w:tabs>
          <w:tab w:leader="none" w:pos="123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23" w:name="page324"/>
    <w:bookmarkEnd w:id="323"/>
    <w:p>
      <w:pPr>
        <w:ind w:firstLine="987"/>
        <w:spacing w:after="0" w:line="259" w:lineRule="auto"/>
        <w:tabs>
          <w:tab w:leader="none" w:pos="121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Any person who accepts an assignment of the Right of First Refusal from the Company shall assume all of the Company’s rights and obligations under this Section 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LEGALITY OF INITIAL ISSUANCE.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40" w:right="360" w:firstLine="948"/>
        <w:spacing w:after="0" w:line="282" w:lineRule="auto"/>
        <w:tabs>
          <w:tab w:leader="none" w:pos="163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the Optionee have taken any actions required to register the Shares under the Securities Act or to perfect an exemption from the registration requirements thereof;</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listing requirement of any stock exchange or other securities market on which Stock is listed has been satisfied;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provision of federal, State or foreign law has been satisfied.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NO REGISTRATION RIGHTS.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but shall not be obligated to, register or qualify the sale of Shares under the Securities Act or any other applicable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RESTRICTIONS ON TRANSFER OF SHARES.</w:t>
      </w:r>
    </w:p>
    <w:p>
      <w:pPr>
        <w:spacing w:after="0" w:line="117" w:lineRule="exact"/>
        <w:rPr>
          <w:sz w:val="20"/>
          <w:szCs w:val="20"/>
          <w:color w:val="auto"/>
        </w:rPr>
      </w:pPr>
    </w:p>
    <w:p>
      <w:pPr>
        <w:ind w:right="20" w:firstLine="987"/>
        <w:spacing w:after="0" w:line="259" w:lineRule="auto"/>
        <w:tabs>
          <w:tab w:leader="none" w:pos="12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324" w:name="page325"/>
    <w:bookmarkEnd w:id="324"/>
    <w:p>
      <w:pPr>
        <w:ind w:firstLine="987"/>
        <w:spacing w:after="0" w:line="252" w:lineRule="auto"/>
        <w:tabs>
          <w:tab w:leader="none" w:pos="124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3" w:lineRule="exact"/>
        <w:rPr>
          <w:rFonts w:ascii="Times New Roman" w:cs="Times New Roman" w:eastAsia="Times New Roman" w:hAnsi="Times New Roman"/>
          <w:sz w:val="18"/>
          <w:szCs w:val="18"/>
          <w:color w:val="auto"/>
        </w:rPr>
      </w:pPr>
    </w:p>
    <w:p>
      <w:pPr>
        <w:ind w:right="320" w:firstLine="987"/>
        <w:spacing w:after="0" w:line="286" w:lineRule="auto"/>
        <w:tabs>
          <w:tab w:leader="none" w:pos="123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for investment, and not with a view to the sale or distribution thereof.</w:t>
      </w:r>
    </w:p>
    <w:p>
      <w:pPr>
        <w:spacing w:after="0" w:line="154" w:lineRule="exact"/>
        <w:rPr>
          <w:rFonts w:ascii="Times New Roman" w:cs="Times New Roman" w:eastAsia="Times New Roman" w:hAnsi="Times New Roman"/>
          <w:sz w:val="18"/>
          <w:szCs w:val="18"/>
          <w:color w:val="auto"/>
        </w:rPr>
      </w:pPr>
    </w:p>
    <w:p>
      <w:pPr>
        <w:ind w:right="120" w:firstLine="987"/>
        <w:spacing w:after="0" w:line="262" w:lineRule="auto"/>
        <w:tabs>
          <w:tab w:leader="none" w:pos="124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21"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25" w:name="page326"/>
    <w:bookmarkEnd w:id="325"/>
    <w:p>
      <w:pPr>
        <w:ind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4" w:lineRule="exact"/>
        <w:rPr>
          <w:sz w:val="20"/>
          <w:szCs w:val="20"/>
          <w:color w:val="auto"/>
        </w:rPr>
      </w:pPr>
    </w:p>
    <w:p>
      <w:pPr>
        <w:ind w:left="440" w:right="200"/>
        <w:spacing w:after="0" w:line="261"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6" w:lineRule="exact"/>
        <w:rPr>
          <w:sz w:val="20"/>
          <w:szCs w:val="20"/>
          <w:color w:val="auto"/>
        </w:rPr>
      </w:pPr>
    </w:p>
    <w:p>
      <w:pPr>
        <w:ind w:right="80" w:firstLine="987"/>
        <w:spacing w:after="0" w:line="268" w:lineRule="auto"/>
        <w:tabs>
          <w:tab w:leader="none" w:pos="121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under this Agreement is no longer required, the holder of such certificate shall be entitled to exchange such certificate for a certificate representing the same number of Shares but without such legend.</w:t>
      </w:r>
    </w:p>
    <w:p>
      <w:pPr>
        <w:spacing w:after="0" w:line="170" w:lineRule="exact"/>
        <w:rPr>
          <w:rFonts w:ascii="Times New Roman" w:cs="Times New Roman" w:eastAsia="Times New Roman" w:hAnsi="Times New Roman"/>
          <w:sz w:val="18"/>
          <w:szCs w:val="18"/>
          <w:color w:val="auto"/>
        </w:rPr>
      </w:pPr>
    </w:p>
    <w:p>
      <w:pPr>
        <w:ind w:right="100" w:firstLine="987"/>
        <w:spacing w:after="0" w:line="286" w:lineRule="auto"/>
        <w:tabs>
          <w:tab w:leader="none" w:pos="124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SHARES.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MISCELLANEOUS PROVISIONS.</w:t>
      </w:r>
    </w:p>
    <w:p>
      <w:pPr>
        <w:spacing w:after="0" w:line="117" w:lineRule="exact"/>
        <w:rPr>
          <w:sz w:val="20"/>
          <w:szCs w:val="20"/>
          <w:color w:val="auto"/>
        </w:rPr>
      </w:pPr>
    </w:p>
    <w:p>
      <w:pPr>
        <w:ind w:right="60" w:firstLine="987"/>
        <w:spacing w:after="0" w:line="268" w:lineRule="auto"/>
        <w:tabs>
          <w:tab w:leader="none" w:pos="12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subject to this option until the Optionee or the Optionee’s representative becomes entitled to receive such Shares by filing a notice of exercise and paying the Purchase Price pursuant to Sections 4 and 5.</w:t>
      </w:r>
    </w:p>
    <w:p>
      <w:pPr>
        <w:spacing w:after="0" w:line="170" w:lineRule="exact"/>
        <w:rPr>
          <w:rFonts w:ascii="Times New Roman" w:cs="Times New Roman" w:eastAsia="Times New Roman" w:hAnsi="Times New Roman"/>
          <w:sz w:val="18"/>
          <w:szCs w:val="18"/>
          <w:color w:val="auto"/>
        </w:rPr>
      </w:pPr>
    </w:p>
    <w:p>
      <w:pPr>
        <w:ind w:right="220" w:firstLine="987"/>
        <w:spacing w:after="0" w:line="262" w:lineRule="auto"/>
        <w:tabs>
          <w:tab w:leader="none" w:pos="124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26" w:name="page327"/>
    <w:bookmarkEnd w:id="326"/>
    <w:p>
      <w:pPr>
        <w:jc w:val="both"/>
        <w:ind w:right="220" w:firstLine="987"/>
        <w:spacing w:after="0" w:line="262"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6" w:lineRule="exact"/>
        <w:rPr>
          <w:rFonts w:ascii="Times New Roman" w:cs="Times New Roman" w:eastAsia="Times New Roman" w:hAnsi="Times New Roman"/>
          <w:sz w:val="18"/>
          <w:szCs w:val="18"/>
          <w:color w:val="auto"/>
        </w:rPr>
      </w:pPr>
    </w:p>
    <w:p>
      <w:pPr>
        <w:ind w:right="20" w:firstLine="987"/>
        <w:spacing w:after="0" w:line="262" w:lineRule="auto"/>
        <w:tabs>
          <w:tab w:leader="none" w:pos="124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18"/>
          <w:szCs w:val="18"/>
          <w:color w:val="auto"/>
        </w:rPr>
      </w:pPr>
    </w:p>
    <w:p>
      <w:pPr>
        <w:ind w:right="180" w:firstLine="987"/>
        <w:spacing w:after="0" w:line="268"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regard to the subject matter hereof. They supersede any other agreements, representations or understandings (whether oral or written and whether express or implied) that relate to the subject matter hereof.</w:t>
      </w:r>
    </w:p>
    <w:p>
      <w:pPr>
        <w:spacing w:after="0" w:line="170" w:lineRule="exact"/>
        <w:rPr>
          <w:rFonts w:ascii="Times New Roman" w:cs="Times New Roman" w:eastAsia="Times New Roman" w:hAnsi="Times New Roman"/>
          <w:sz w:val="18"/>
          <w:szCs w:val="18"/>
          <w:color w:val="auto"/>
        </w:rPr>
      </w:pPr>
    </w:p>
    <w:p>
      <w:pPr>
        <w:ind w:right="280" w:firstLine="987"/>
        <w:spacing w:after="0" w:line="286" w:lineRule="auto"/>
        <w:tabs>
          <w:tab w:leader="none" w:pos="121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are applied to contracts entered into and performed in such State.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ACKNOWLEDGEMENTS OF THE OPTIONEE.</w:t>
      </w:r>
    </w:p>
    <w:p>
      <w:pPr>
        <w:spacing w:after="0" w:line="117" w:lineRule="exact"/>
        <w:rPr>
          <w:sz w:val="20"/>
          <w:szCs w:val="20"/>
          <w:color w:val="auto"/>
        </w:rPr>
      </w:pPr>
    </w:p>
    <w:p>
      <w:pPr>
        <w:ind w:firstLine="987"/>
        <w:spacing w:after="0" w:line="255"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4"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327" w:name="page328"/>
    <w:bookmarkEnd w:id="327"/>
    <w:p>
      <w:pPr>
        <w:ind w:right="80" w:firstLine="987"/>
        <w:spacing w:after="0" w:line="257"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DEFINITIONS.</w:t>
      </w:r>
    </w:p>
    <w:p>
      <w:pPr>
        <w:spacing w:after="0" w:line="117" w:lineRule="exact"/>
        <w:rPr>
          <w:sz w:val="20"/>
          <w:szCs w:val="20"/>
          <w:color w:val="auto"/>
        </w:rPr>
      </w:pPr>
    </w:p>
    <w:p>
      <w:pPr>
        <w:ind w:left="1240" w:hanging="25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5" w:lineRule="exact"/>
        <w:rPr>
          <w:rFonts w:ascii="Times New Roman" w:cs="Times New Roman" w:eastAsia="Times New Roman" w:hAnsi="Times New Roman"/>
          <w:sz w:val="18"/>
          <w:szCs w:val="18"/>
          <w:color w:val="auto"/>
        </w:rPr>
      </w:pPr>
    </w:p>
    <w:p>
      <w:pPr>
        <w:ind w:right="40" w:firstLine="987"/>
        <w:spacing w:after="0" w:line="28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Blaize, Inc., a Delaware corporation.</w:t>
      </w:r>
    </w:p>
    <w:p>
      <w:pPr>
        <w:spacing w:after="0" w:line="225" w:lineRule="exact"/>
        <w:rPr>
          <w:rFonts w:ascii="Times New Roman" w:cs="Times New Roman" w:eastAsia="Times New Roman" w:hAnsi="Times New Roman"/>
          <w:sz w:val="18"/>
          <w:szCs w:val="18"/>
          <w:color w:val="auto"/>
        </w:rPr>
      </w:pPr>
    </w:p>
    <w:p>
      <w:pPr>
        <w:ind w:right="140" w:firstLine="987"/>
        <w:spacing w:after="0" w:line="268" w:lineRule="auto"/>
        <w:tabs>
          <w:tab w:leader="none" w:pos="121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excluding Employees and Outside Directors, who performs bona fide services for the Company, a Parent or a Subsidiary as a consultant or advisor and who qualifies as a consultant or advisor under Rule 701(c)(1) of the Securities Act or under Instruction A.1.(a)(1) of Form S-8 under the Securities Act.</w:t>
      </w:r>
    </w:p>
    <w:p>
      <w:pPr>
        <w:spacing w:after="0" w:line="170" w:lineRule="exact"/>
        <w:rPr>
          <w:rFonts w:ascii="Times New Roman" w:cs="Times New Roman" w:eastAsia="Times New Roman" w:hAnsi="Times New Roman"/>
          <w:sz w:val="18"/>
          <w:szCs w:val="18"/>
          <w:color w:val="auto"/>
        </w:rPr>
      </w:pPr>
    </w:p>
    <w:p>
      <w:pPr>
        <w:ind w:firstLine="987"/>
        <w:spacing w:after="0" w:line="28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4" w:lineRule="exact"/>
        <w:rPr>
          <w:rFonts w:ascii="Times New Roman" w:cs="Times New Roman" w:eastAsia="Times New Roman" w:hAnsi="Times New Roman"/>
          <w:sz w:val="18"/>
          <w:szCs w:val="18"/>
          <w:color w:val="auto"/>
        </w:rPr>
      </w:pPr>
    </w:p>
    <w:p>
      <w:pPr>
        <w:ind w:right="840" w:firstLine="987"/>
        <w:spacing w:after="0" w:line="28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4"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5" w:lineRule="exact"/>
        <w:rPr>
          <w:rFonts w:ascii="Times New Roman" w:cs="Times New Roman" w:eastAsia="Times New Roman" w:hAnsi="Times New Roman"/>
          <w:sz w:val="18"/>
          <w:szCs w:val="18"/>
          <w:color w:val="auto"/>
        </w:rPr>
      </w:pPr>
    </w:p>
    <w:p>
      <w:pPr>
        <w:ind w:right="40" w:firstLine="987"/>
        <w:spacing w:after="0" w:line="286" w:lineRule="auto"/>
        <w:tabs>
          <w:tab w:leader="none" w:pos="120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328" w:name="page329"/>
    <w:bookmarkEnd w:id="328"/>
    <w:p>
      <w:pPr>
        <w:ind w:right="600" w:firstLine="987"/>
        <w:spacing w:after="0" w:line="286" w:lineRule="auto"/>
        <w:tabs>
          <w:tab w:leader="none" w:pos="12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4" w:lineRule="exact"/>
        <w:rPr>
          <w:rFonts w:ascii="Times New Roman" w:cs="Times New Roman" w:eastAsia="Times New Roman" w:hAnsi="Times New Roman"/>
          <w:sz w:val="18"/>
          <w:szCs w:val="18"/>
          <w:color w:val="auto"/>
        </w:rPr>
      </w:pPr>
    </w:p>
    <w:p>
      <w:pPr>
        <w:ind w:right="420" w:firstLine="987"/>
        <w:spacing w:after="0" w:line="286" w:lineRule="auto"/>
        <w:tabs>
          <w:tab w:leader="none" w:pos="120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154"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5" w:lineRule="exact"/>
        <w:rPr>
          <w:rFonts w:ascii="Times New Roman" w:cs="Times New Roman" w:eastAsia="Times New Roman" w:hAnsi="Times New Roman"/>
          <w:sz w:val="18"/>
          <w:szCs w:val="18"/>
          <w:color w:val="auto"/>
        </w:rPr>
      </w:pPr>
    </w:p>
    <w:p>
      <w:pPr>
        <w:jc w:val="both"/>
        <w:ind w:firstLine="987"/>
        <w:spacing w:after="0" w:line="268" w:lineRule="auto"/>
        <w:tabs>
          <w:tab w:leader="none" w:pos="121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70"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Blaize, Inc. 2011 Stock Plan, as in effect on the Date of Grant.</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w:t>
      </w:r>
    </w:p>
    <w:p>
      <w:pPr>
        <w:spacing w:after="0" w:line="20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329" w:name="page330"/>
    <w:bookmarkEnd w:id="329"/>
    <w:p>
      <w:pPr>
        <w:ind w:firstLine="987"/>
        <w:spacing w:after="0" w:line="268" w:lineRule="auto"/>
        <w:tabs>
          <w:tab w:leader="none" w:pos="12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5420" w:right="2700" w:hanging="4433"/>
        <w:spacing w:after="0" w:line="458" w:lineRule="auto"/>
        <w:tabs>
          <w:tab w:leader="none" w:pos="133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 12</w:t>
      </w:r>
    </w:p>
    <w:p>
      <w:pPr>
        <w:sectPr>
          <w:pgSz w:w="11900" w:h="16838" w:orient="portrait"/>
          <w:cols w:equalWidth="0" w:num="1">
            <w:col w:w="10980"/>
          </w:cols>
          <w:pgMar w:left="440" w:top="266" w:right="47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Adopted January 13, 2025</w:t>
      </w:r>
    </w:p>
    <w:p>
      <w:pPr>
        <w:spacing w:after="0" w:line="229"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and Exchange Commission (the “SEC”) and of the National Association of Securities Dealers Automated Quotations Stock Market LLC (“NASDAQ”), the Board of Directors (the “Board”) of Blaize Holdings, Inc., a Delaware corporation (the “Company”), has adopted this Code of Conduct (the “Code”) to encourage as reasonably necessary:</w:t>
      </w:r>
    </w:p>
    <w:p>
      <w:pPr>
        <w:spacing w:after="0" w:line="81" w:lineRule="exact"/>
        <w:rPr>
          <w:sz w:val="20"/>
          <w:szCs w:val="20"/>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fair dealing and the ethical handling of actual or apparent conflicts of interest;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any violations of law or the Code;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including fair process by which to determine violations;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enforcement of the Code, including clear and objective standards for compliance;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for persons reporting any such questionable behavior.</w:t>
      </w:r>
    </w:p>
    <w:p>
      <w:pPr>
        <w:spacing w:after="0" w:line="225"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All directors, officers and employees (each a “Covered Party” and, collectively, the “Covered Parties”) of the Company are expected to be familiar with the Code and to adhere to the principles and procedures set forth below.</w:t>
      </w:r>
    </w:p>
    <w:p>
      <w:pPr>
        <w:spacing w:after="0" w:line="63" w:lineRule="exact"/>
        <w:rPr>
          <w:sz w:val="20"/>
          <w:szCs w:val="20"/>
          <w:color w:val="auto"/>
        </w:rPr>
      </w:pPr>
    </w:p>
    <w:p>
      <w:pPr>
        <w:ind w:left="964" w:hanging="532"/>
        <w:spacing w:after="0"/>
        <w:tabs>
          <w:tab w:leader="none" w:pos="964"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A conflict of interest occurs when the private interests of a Covered Party interfere, or appear to interfere, with the interests of the Company as a whole.</w:t>
      </w:r>
    </w:p>
    <w:p>
      <w:pPr>
        <w:spacing w:after="0" w:line="162" w:lineRule="exact"/>
        <w:rPr>
          <w:sz w:val="20"/>
          <w:szCs w:val="20"/>
          <w:color w:val="auto"/>
        </w:rPr>
      </w:pPr>
    </w:p>
    <w:p>
      <w:pPr>
        <w:jc w:val="both"/>
        <w:ind w:left="4" w:right="160" w:firstLine="991"/>
        <w:spacing w:after="0" w:line="277" w:lineRule="auto"/>
        <w:rPr>
          <w:sz w:val="20"/>
          <w:szCs w:val="20"/>
          <w:color w:val="auto"/>
        </w:rPr>
      </w:pPr>
      <w:r>
        <w:rPr>
          <w:rFonts w:ascii="Times New Roman" w:cs="Times New Roman" w:eastAsia="Times New Roman" w:hAnsi="Times New Roman"/>
          <w:sz w:val="18"/>
          <w:szCs w:val="18"/>
          <w:color w:val="auto"/>
        </w:rPr>
        <w:t>For example, a conflict of interest can arise when a Covered Party takes actions or has personal interests that make it difficult to perform his or her Company duties objectively and effectively. A conflict of interest may also arise when a Covered Party, or a member of his or her immediate family,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receives improper personal benefits as a result of his or her position at the Company.</w:t>
      </w:r>
    </w:p>
    <w:p>
      <w:pPr>
        <w:spacing w:after="0" w:line="41"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Conflicts of interest can also occur indirectly. For example, a conflict of interest may arise when a Covered Party is also an executive officer, a major shareholder or has a material interest in a company or organization doing business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424" w:right="120" w:hanging="424"/>
        <w:spacing w:after="0" w:line="220" w:lineRule="auto"/>
        <w:tabs>
          <w:tab w:leader="none" w:pos="424" w:val="left"/>
        </w:tabs>
        <w:numPr>
          <w:ilvl w:val="0"/>
          <w:numId w:val="3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Item 404(a) of SEC Regulation S-K defines “immediate family member” as a person’s child, stepchild, parent, stepparent, spouse, sibling, mother-in-law, father-in-law, son-in-law, daughter-in-law, brother-in-law or sister-in- law, or any person (other than a tenant or employee) sharing the person’s household.</w:t>
      </w:r>
    </w:p>
    <w:p>
      <w:pPr>
        <w:sectPr>
          <w:pgSz w:w="11900" w:h="16838" w:orient="portrait"/>
          <w:cols w:equalWidth="0" w:num="1">
            <w:col w:w="11024"/>
          </w:cols>
          <w:pgMar w:left="436" w:top="117" w:right="439" w:bottom="1440" w:gutter="0" w:footer="0" w:header="0"/>
        </w:sectPr>
      </w:pPr>
    </w:p>
    <w:bookmarkStart w:id="331" w:name="page332"/>
    <w:bookmarkEnd w:id="331"/>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Covered Party has an obligation to conduct the Company’s business in an honest and ethical manner, including the ethical handling of actual or apparent conflicts of interest between personal and professional relationships. Any situation that involves, or may reasonably be expected to involve, a conflict of interest with the Company, should be disclosed promptly to the Company’s Audit Committee of the Board.</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Code does not attempt to describe all possible conflicts of interest that could develop. Other common conflicts from which Covered Parties must refrain are set out below:</w:t>
      </w:r>
    </w:p>
    <w:p>
      <w:pPr>
        <w:spacing w:after="0" w:line="67" w:lineRule="exact"/>
        <w:rPr>
          <w:sz w:val="20"/>
          <w:szCs w:val="20"/>
          <w:color w:val="auto"/>
        </w:rPr>
      </w:pPr>
    </w:p>
    <w:p>
      <w:pPr>
        <w:ind w:left="960" w:hanging="424"/>
        <w:spacing w:after="0" w:line="266" w:lineRule="auto"/>
        <w:tabs>
          <w:tab w:leader="none" w:pos="9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Parties may not engage in any conduct or activities that are inconsistent with the Company’s best interests or that disrupt or impair the Company’s relationship with any person or entity with which the Company has or proposes to enter into a business or contractual relationship.</w:t>
      </w:r>
    </w:p>
    <w:p>
      <w:pPr>
        <w:spacing w:after="0" w:line="81"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Parties may not accept compensation, in any form, for services performed for the Company from any source other than the Company.</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Party may take up any management or other employment position with, or have any material interest in, any firm or company that is in direct or indirect competition with the Company.</w:t>
      </w:r>
    </w:p>
    <w:p>
      <w:pPr>
        <w:spacing w:after="0" w:line="306" w:lineRule="exact"/>
        <w:rPr>
          <w:sz w:val="20"/>
          <w:szCs w:val="20"/>
          <w:color w:val="auto"/>
        </w:rPr>
      </w:pPr>
    </w:p>
    <w:p>
      <w:pPr>
        <w:ind w:left="960" w:hanging="532"/>
        <w:spacing w:after="0"/>
        <w:tabs>
          <w:tab w:leader="none" w:pos="96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w:t>
      </w:r>
    </w:p>
    <w:p>
      <w:pPr>
        <w:spacing w:after="0" w:line="121"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information in the Company’s public communications, including all reports and documents filed with or submitted to the SEC, must be full, fair, accurate, timely and understandable.</w:t>
      </w:r>
    </w:p>
    <w:p>
      <w:pPr>
        <w:spacing w:after="0" w:line="5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To ensure the Company meets this standard, all Covered Parties (to the extent they are involved in the Company’s disclosure process) are required to maintain familiarity with the disclosure requirements, processes and procedures applicable to the Company commensurate with their duties. Covered Parties are prohibited from knowingly misrepresenting, omitting or causing others to misrepresent or omit, material facts about the Company to others, including the Company’s independent auditors, governmental regulators and self-regulatory organizations.</w:t>
      </w:r>
    </w:p>
    <w:p>
      <w:pPr>
        <w:spacing w:after="0" w:line="324" w:lineRule="exact"/>
        <w:rPr>
          <w:sz w:val="20"/>
          <w:szCs w:val="20"/>
          <w:color w:val="auto"/>
        </w:rPr>
      </w:pPr>
    </w:p>
    <w:p>
      <w:pPr>
        <w:ind w:left="960" w:hanging="532"/>
        <w:spacing w:after="0"/>
        <w:tabs>
          <w:tab w:leader="none" w:pos="9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Rules and Regulations</w:t>
      </w:r>
    </w:p>
    <w:p>
      <w:pPr>
        <w:spacing w:after="0" w:line="121"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Company is obligated to comply with all applicable laws, rules and regulations. It is the personal responsibility of each Covered Party to adhere to the standards and restrictions imposed by these laws, rules and regulations in the performance of his or her duties for the Company.</w:t>
      </w:r>
    </w:p>
    <w:p>
      <w:pPr>
        <w:spacing w:after="0" w:line="54"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The Chief Executive Officer, Chief Financial Officer and Chief Accounting Officer or Controller (or persons performing similar functions) of the Company are also required to promote compliance by all employees with the Code and to abide by Company standards, policies and procedures.</w:t>
      </w:r>
    </w:p>
    <w:p>
      <w:pPr>
        <w:spacing w:after="0" w:line="138"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Covered Parties located outside of the United States must comply with laws, regulations, rules and regulatory orders of the United States, including the Foreign Corrupt Practices Act (“FCPA”) and U.S. export control laws, in addition to applicable local laws.</w:t>
      </w:r>
    </w:p>
    <w:p>
      <w:pPr>
        <w:sectPr>
          <w:pgSz w:w="11900" w:h="16838" w:orient="portrait"/>
          <w:cols w:equalWidth="0" w:num="1">
            <w:col w:w="11020"/>
          </w:cols>
          <w:pgMar w:left="440" w:top="270" w:right="439" w:bottom="1440" w:gutter="0" w:footer="0" w:header="0"/>
        </w:sectPr>
      </w:pPr>
    </w:p>
    <w:bookmarkStart w:id="332" w:name="page333"/>
    <w:bookmarkEnd w:id="332"/>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r>
      <w:r>
        <w:rPr>
          <w:sz w:val="20"/>
          <w:szCs w:val="20"/>
          <w:color w:val="auto"/>
        </w:rPr>
        <w:tab/>
      </w:r>
      <w:r>
        <w:rPr>
          <w:rFonts w:ascii="Times New Roman" w:cs="Times New Roman" w:eastAsia="Times New Roman" w:hAnsi="Times New Roman"/>
          <w:sz w:val="18"/>
          <w:szCs w:val="18"/>
          <w:b w:val="1"/>
          <w:bCs w:val="1"/>
          <w:color w:val="auto"/>
        </w:rPr>
        <w:t>Reporting, Accountability and Enforcement</w:t>
      </w:r>
    </w:p>
    <w:p>
      <w:pPr>
        <w:spacing w:after="0" w:line="12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Company promotes ethical behavior at all times and encourages Covered Parties to talk to supervisors, managers and other appropriate personnel, including officers, the General Counsel, outside counsel for the Company and the Board or the relevant committee thereof, when in doubt about the best course of action in a particular situation.</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Covered Parties should promptly report suspected violations of laws, rules, regulations or the Code or any other unethical behavior by any director, officer, employee or anyone purporting to be acting on the Company’s behalf to appropriate personnel, including officers, the General Counsel, outside counsel for the Company and the Board or the relevant committee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Reports may be made anonymously. If requested, confidentiality will be maintained, subject to applicable law, regulations and legal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w:t>
      </w:r>
    </w:p>
    <w:p>
      <w:pPr>
        <w:spacing w:after="0" w:line="20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or other appropriate officer or body shall investigate and determine, or shall designate appropriate persons to investigate and determine, the legitimacy of such reports. The Audit Committee of the Board or other appropriate officer or body will then determine the appropriate disciplinary action. Such disciplinary action includes, but is not limited to, reprimand, termination with cause, and possible civil and criminal prosecution.</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To encourage employees to report any and all violations, the Company will not tolerate retaliation for reports made in good faith. Retaliation or retribution against any Covered Party for a report made in good faith of any suspected violation of laws, rules, regulations or this Code is cause for appropriate disciplinary action.</w:t>
      </w:r>
    </w:p>
    <w:p>
      <w:pPr>
        <w:spacing w:after="0" w:line="320" w:lineRule="exact"/>
        <w:rPr>
          <w:sz w:val="20"/>
          <w:szCs w:val="20"/>
          <w:color w:val="auto"/>
        </w:rPr>
      </w:pPr>
    </w:p>
    <w:p>
      <w:pPr>
        <w:ind w:left="960" w:hanging="532"/>
        <w:spacing w:after="0"/>
        <w:tabs>
          <w:tab w:leader="none" w:pos="96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Waivers</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Before an employee, or an immediate family member of any such employee, engages in any activity that would be otherwise prohibited by the Code, he or she is strongly encouraged to obtain a written waiver from the Board or other appropriate officer or body.</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Before a director or executive officer, or an immediate family member of a director or executive officer, engages in any activity that would be otherwise prohibited by the Code, he or she must obtain a written waiver from the disinterested directors of the Board. Such waiver must then be disclosed to the Company’s shareholders, along with the reasons for granting the waiver.</w:t>
      </w:r>
    </w:p>
    <w:p>
      <w:pPr>
        <w:spacing w:after="0" w:line="32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VI.</w:t>
        <w:tab/>
        <w:t>No Rights Created</w:t>
      </w:r>
    </w:p>
    <w:p>
      <w:pPr>
        <w:spacing w:after="0" w:line="121"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Code is a statement of certain fundamental principles, policies and procedures that govern the Company’s Covered Parties in the conduct of the Company’s business. It is not intended to and does not create any rights in any employee, customer, client, visitor, supplier, competitor, shareholder or any other person or entity. It is the Company’s belief that the policy is robust and covers most conceivable situations.</w:t>
      </w:r>
    </w:p>
    <w:p>
      <w:pPr>
        <w:sectPr>
          <w:pgSz w:w="11900" w:h="16838" w:orient="portrait"/>
          <w:cols w:equalWidth="0" w:num="1">
            <w:col w:w="10980"/>
          </w:cols>
          <w:pgMar w:left="440" w:top="266" w:right="47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Blaize Holdings, Inc. (formerly BurTech Acquisition Corp.) under Item 4.01 of its Form 8-K dated January 17, 2025. We agree with the statements concerning our Firm in such Form 8-K; we are not in a position to agree or disagree with other statements of Blaize Holdings, Inc. (formerly BurTech Acquisition Corp.) contained therein.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ectPr>
          <w:pgSz w:w="11900" w:h="16838" w:orient="portrait"/>
          <w:cols w:equalWidth="0" w:num="1">
            <w:col w:w="11020"/>
          </w:cols>
          <w:pgMar w:left="440" w:top="117" w:right="4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Subsidiaries of Blaize Holdings, Inc.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jc w:val="center"/>
              <w:ind w:right="1174"/>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040" w:type="dxa"/>
            <w:vAlign w:val="bottom"/>
          </w:tcPr>
          <w:p>
            <w:pPr>
              <w:jc w:val="center"/>
              <w:ind w:left="1174"/>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16"/>
        </w:trPr>
        <w:tc>
          <w:tcPr>
            <w:tcW w:w="5560" w:type="dxa"/>
            <w:vAlign w:val="bottom"/>
          </w:tcPr>
          <w:p>
            <w:pPr>
              <w:jc w:val="center"/>
              <w:ind w:right="1174"/>
              <w:spacing w:after="0"/>
              <w:rPr>
                <w:sz w:val="20"/>
                <w:szCs w:val="20"/>
                <w:color w:val="auto"/>
              </w:rPr>
            </w:pPr>
            <w:r>
              <w:rPr>
                <w:rFonts w:ascii="Times New Roman" w:cs="Times New Roman" w:eastAsia="Times New Roman" w:hAnsi="Times New Roman"/>
                <w:sz w:val="18"/>
                <w:szCs w:val="18"/>
                <w:color w:val="auto"/>
                <w:w w:val="99"/>
              </w:rPr>
              <w:t>Blaize, Inc.</w:t>
            </w:r>
          </w:p>
        </w:tc>
        <w:tc>
          <w:tcPr>
            <w:tcW w:w="3040" w:type="dxa"/>
            <w:vAlign w:val="bottom"/>
          </w:tcPr>
          <w:p>
            <w:pPr>
              <w:jc w:val="center"/>
              <w:ind w:left="1174"/>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60" w:type="dxa"/>
            <w:vAlign w:val="bottom"/>
          </w:tcPr>
          <w:p>
            <w:pPr>
              <w:jc w:val="center"/>
              <w:ind w:right="1174"/>
              <w:spacing w:after="0"/>
              <w:rPr>
                <w:sz w:val="20"/>
                <w:szCs w:val="20"/>
                <w:color w:val="auto"/>
              </w:rPr>
            </w:pPr>
            <w:r>
              <w:rPr>
                <w:rFonts w:ascii="Times New Roman" w:cs="Times New Roman" w:eastAsia="Times New Roman" w:hAnsi="Times New Roman"/>
                <w:sz w:val="18"/>
                <w:szCs w:val="18"/>
                <w:color w:val="auto"/>
                <w:w w:val="99"/>
              </w:rPr>
              <w:t>Blaize New Computing Technologies India Private Limited</w:t>
            </w:r>
          </w:p>
        </w:tc>
        <w:tc>
          <w:tcPr>
            <w:tcW w:w="3040" w:type="dxa"/>
            <w:vAlign w:val="bottom"/>
          </w:tcPr>
          <w:p>
            <w:pPr>
              <w:jc w:val="center"/>
              <w:ind w:left="1174"/>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560" w:type="dxa"/>
            <w:vAlign w:val="bottom"/>
          </w:tcPr>
          <w:p>
            <w:pPr>
              <w:jc w:val="center"/>
              <w:ind w:right="1154"/>
              <w:spacing w:after="0"/>
              <w:rPr>
                <w:sz w:val="20"/>
                <w:szCs w:val="20"/>
                <w:color w:val="auto"/>
              </w:rPr>
            </w:pPr>
            <w:r>
              <w:rPr>
                <w:rFonts w:ascii="Times New Roman" w:cs="Times New Roman" w:eastAsia="Times New Roman" w:hAnsi="Times New Roman"/>
                <w:sz w:val="18"/>
                <w:szCs w:val="18"/>
                <w:color w:val="auto"/>
                <w:w w:val="99"/>
              </w:rPr>
              <w:t>Blaize Technologies Philippines, Inc.</w:t>
            </w:r>
          </w:p>
        </w:tc>
        <w:tc>
          <w:tcPr>
            <w:tcW w:w="3040" w:type="dxa"/>
            <w:vAlign w:val="bottom"/>
          </w:tcPr>
          <w:p>
            <w:pPr>
              <w:jc w:val="center"/>
              <w:ind w:left="1174"/>
              <w:spacing w:after="0"/>
              <w:rPr>
                <w:sz w:val="20"/>
                <w:szCs w:val="20"/>
                <w:color w:val="auto"/>
              </w:rPr>
            </w:pPr>
            <w:r>
              <w:rPr>
                <w:rFonts w:ascii="Times New Roman" w:cs="Times New Roman" w:eastAsia="Times New Roman" w:hAnsi="Times New Roman"/>
                <w:sz w:val="18"/>
                <w:szCs w:val="18"/>
                <w:color w:val="auto"/>
              </w:rPr>
              <w:t>Philippines</w:t>
            </w:r>
          </w:p>
        </w:tc>
      </w:tr>
      <w:tr>
        <w:trPr>
          <w:trHeight w:val="234"/>
        </w:trPr>
        <w:tc>
          <w:tcPr>
            <w:tcW w:w="5560" w:type="dxa"/>
            <w:vAlign w:val="bottom"/>
          </w:tcPr>
          <w:p>
            <w:pPr>
              <w:jc w:val="center"/>
              <w:ind w:right="1174"/>
              <w:spacing w:after="0"/>
              <w:rPr>
                <w:sz w:val="20"/>
                <w:szCs w:val="20"/>
                <w:color w:val="auto"/>
              </w:rPr>
            </w:pPr>
            <w:r>
              <w:rPr>
                <w:rFonts w:ascii="Times New Roman" w:cs="Times New Roman" w:eastAsia="Times New Roman" w:hAnsi="Times New Roman"/>
                <w:sz w:val="18"/>
                <w:szCs w:val="18"/>
                <w:color w:val="auto"/>
                <w:w w:val="97"/>
              </w:rPr>
              <w:t>Blaize U.K. LTD</w:t>
            </w:r>
          </w:p>
        </w:tc>
        <w:tc>
          <w:tcPr>
            <w:tcW w:w="3040" w:type="dxa"/>
            <w:vAlign w:val="bottom"/>
          </w:tcPr>
          <w:p>
            <w:pPr>
              <w:jc w:val="center"/>
              <w:ind w:left="1194"/>
              <w:spacing w:after="0"/>
              <w:rPr>
                <w:sz w:val="20"/>
                <w:szCs w:val="20"/>
                <w:color w:val="auto"/>
              </w:rPr>
            </w:pPr>
            <w:r>
              <w:rPr>
                <w:rFonts w:ascii="Times New Roman" w:cs="Times New Roman" w:eastAsia="Times New Roman" w:hAnsi="Times New Roman"/>
                <w:sz w:val="18"/>
                <w:szCs w:val="18"/>
                <w:color w:val="auto"/>
                <w:w w:val="99"/>
              </w:rPr>
              <w:t>England</w:t>
            </w:r>
          </w:p>
        </w:tc>
      </w:tr>
    </w:tbl>
    <w:p>
      <w:pPr>
        <w:sectPr>
          <w:pgSz w:w="11900" w:h="16838" w:orient="portrait"/>
          <w:cols w:equalWidth="0" w:num="1">
            <w:col w:w="10360"/>
          </w:cols>
          <w:pgMar w:left="1100" w:top="117" w:right="439" w:bottom="1440" w:gutter="0" w:footer="0" w:header="0"/>
        </w:sectPr>
      </w:pPr>
    </w:p>
    <w:bookmarkStart w:id="335" w:name="page336"/>
    <w:bookmarkEnd w:id="3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20" w:type="dxa"/>
            <w:vAlign w:val="bottom"/>
            <w:gridSpan w:val="3"/>
            <w:vMerge w:val="restart"/>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BLAIZE, INC.</w:t>
            </w:r>
          </w:p>
        </w:tc>
        <w:tc>
          <w:tcPr>
            <w:tcW w:w="162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w w:val="98"/>
              </w:rPr>
              <w:t>Exhibit 99.1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2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9220" w:type="dxa"/>
            <w:vAlign w:val="bottom"/>
            <w:gridSpan w:val="5"/>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INDEX TO UNAUDITED CONDENSED CONSOLIDATED FINANCIAL STATEMENTS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 (unaudited)</w:t>
            </w:r>
          </w:p>
        </w:tc>
        <w:tc>
          <w:tcPr>
            <w:tcW w:w="190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63"/>
        </w:trPr>
        <w:tc>
          <w:tcPr>
            <w:tcW w:w="9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2024, and 2023 (unaudited)</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64"/>
        </w:trPr>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 Stockholders’ Deficit for the three and nine months ended</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 (unaudited)</w:t>
            </w:r>
          </w:p>
        </w:tc>
        <w:tc>
          <w:tcPr>
            <w:tcW w:w="9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2024, and 2023 (unaudited)</w:t>
            </w: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4"/>
        </w:trPr>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02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462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color w:val="auto"/>
                <w:w w:val="95"/>
              </w:rPr>
              <w:t>F-1</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336" w:name="page337"/>
    <w:bookmarkEnd w:id="3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Demand notes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71,852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September 30,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 44,494,703 shares issued and outstanding as of September 30, 2024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 liquidation preference of $173,347 as of September 30, 2024 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173,347</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173,347</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September 30, 2024 and December 31,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 17,482,174 and 17,454,353 shares issued and outstanding as of September 30, 2024 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124,225 shares at September 30, 2024 and December 31, 2023</w:t>
            </w:r>
          </w:p>
        </w:tc>
        <w:tc>
          <w:tcPr>
            <w:tcW w:w="160" w:type="dxa"/>
            <w:vAlign w:val="bottom"/>
          </w:tcPr>
          <w:p>
            <w:pPr>
              <w:spacing w:after="0"/>
              <w:rPr>
                <w:sz w:val="18"/>
                <w:szCs w:val="18"/>
                <w:color w:val="auto"/>
              </w:rPr>
            </w:pP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142,618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141,496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(422,559)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(368,056)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(279,941)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23"/>
        </w:trPr>
        <w:tc>
          <w:tcPr>
            <w:tcW w:w="86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20"/>
          </w:cols>
          <w:pgMar w:left="440" w:top="266" w:right="439" w:bottom="1440" w:gutter="0" w:footer="0" w:header="0"/>
        </w:sectPr>
      </w:pPr>
    </w:p>
    <w:bookmarkStart w:id="337" w:name="page338"/>
    <w:bookmarkEnd w:id="3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5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8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6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Hardware revenue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0" w:type="dxa"/>
            <w:vAlign w:val="bottom"/>
          </w:tcPr>
          <w:p>
            <w:pPr>
              <w:spacing w:after="0"/>
              <w:rPr>
                <w:sz w:val="1"/>
                <w:szCs w:val="1"/>
                <w:color w:val="auto"/>
              </w:rPr>
            </w:pP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6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(25,403)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6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(15,398)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(14,184)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(37,546)</w:t>
            </w:r>
          </w:p>
        </w:tc>
        <w:tc>
          <w:tcPr>
            <w:tcW w:w="0" w:type="dxa"/>
            <w:vAlign w:val="bottom"/>
          </w:tcPr>
          <w:p>
            <w:pPr>
              <w:spacing w:after="0"/>
              <w:rPr>
                <w:sz w:val="1"/>
                <w:szCs w:val="1"/>
                <w:color w:val="auto"/>
              </w:rPr>
            </w:pPr>
          </w:p>
        </w:tc>
      </w:tr>
      <w:tr>
        <w:trPr>
          <w:trHeight w:val="216"/>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(25,552)</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(54,155)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17,478,371</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3,551,881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17,466,606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3,551,881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66" w:right="439" w:bottom="1440" w:gutter="0" w:footer="0" w:header="0"/>
        </w:sectPr>
      </w:pPr>
    </w:p>
    <w:bookmarkStart w:id="338" w:name="page339"/>
    <w:bookmarkEnd w:id="3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2920" w:type="dxa"/>
            <w:vAlign w:val="bottom"/>
          </w:tcPr>
          <w:p>
            <w:pPr>
              <w:spacing w:after="0"/>
              <w:rPr>
                <w:sz w:val="2"/>
                <w:szCs w:val="2"/>
                <w:color w:val="auto"/>
              </w:rPr>
            </w:pPr>
          </w:p>
        </w:tc>
        <w:tc>
          <w:tcPr>
            <w:tcW w:w="17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920" w:type="dxa"/>
            <w:vAlign w:val="bottom"/>
          </w:tcPr>
          <w:p>
            <w:pPr>
              <w:spacing w:after="0"/>
              <w:rPr>
                <w:sz w:val="11"/>
                <w:szCs w:val="11"/>
                <w:color w:val="auto"/>
              </w:rPr>
            </w:pPr>
          </w:p>
        </w:tc>
        <w:tc>
          <w:tcPr>
            <w:tcW w:w="174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7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8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800" w:type="dxa"/>
            <w:vAlign w:val="bottom"/>
            <w:gridSpan w:val="2"/>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9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17,474,790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142,221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(396,952)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(254,731)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3,343,660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131,341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(331,337)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financing charge on 2023</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17,454,353</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(368,056)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16,498,279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64,020</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6,143,294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209,928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(280,467)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Reissuance of Shadow Preferred in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Pay-to-Play Pull Through Exchange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redemption value</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27,996,424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109,327</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(2,799,634)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(109,327)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financing charge 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66" w:right="439" w:bottom="1440" w:gutter="0" w:footer="0" w:header="0"/>
        </w:sectPr>
      </w:pPr>
    </w:p>
    <w:bookmarkStart w:id="339" w:name="page340"/>
    <w:bookmarkEnd w:id="339"/>
    <w:p>
      <w:pPr>
        <w:ind w:left="4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5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6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(54,503)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(62,864)</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03"/>
        </w:trPr>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Noncash lease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Pay-to-Play financing charge</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30,638</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Credit loss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on purchase commitments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Noncash loss on lease termination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Inventories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(6,286)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assets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6,029</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Income taxes payable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Accrued compensation</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(35,788)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(21,616)</w:t>
            </w:r>
          </w:p>
        </w:tc>
        <w:tc>
          <w:tcPr>
            <w:tcW w:w="0" w:type="dxa"/>
            <w:vAlign w:val="bottom"/>
          </w:tcPr>
          <w:p>
            <w:pPr>
              <w:spacing w:after="0"/>
              <w:rPr>
                <w:sz w:val="1"/>
                <w:szCs w:val="1"/>
                <w:color w:val="auto"/>
              </w:rPr>
            </w:pPr>
          </w:p>
        </w:tc>
      </w:tr>
      <w:tr>
        <w:trPr>
          <w:trHeight w:val="206"/>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7"/>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Pay-to-Play convertible notes and Common Rights Offering</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9,283</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110,718</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8,400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short term demand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short term demand notes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102,380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6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 taxes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acquired in accounts payable &amp; accrued expenses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Shadow Preferred in Pay-to-Play Pull Through Exchange at redemption value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109,327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 obtained in exchange for new operating lease liabilities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and lease liabilities extinguished upon termination of lease, net of gain</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Capitalized deferred offering costs included in accounting payable and accrued liabilities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September 30, 2024, there has not been an operating agreement executed between the Company and the holder of the 65% interest that would make the Company the primary beneficiary of this new legal entity. The newly established entity has incurred insignificant expenses since its incorporation. During the nine months ended September 30, 2024, the Company entered into an agreement with an affiliate of the holder of the 65% interest in Blaize Artificial Intelligence Middle East, LLC, which permitted the Company to bill in advance for obligations that have yet to be fully satisfied as of September 30, 2024. Specific to this arrangement, the Company had accounts receivable of $1.7 million as of September 30,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as amended on April 22, 2024,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wholly-owned subsidiary of BurTech. In connection with the consummation of the business combination (the “Merger”), BurTech will be renamed Blaize Holdings, Inc. (“New Blaize”) (see Note 12).</w:t>
      </w:r>
    </w:p>
    <w:p>
      <w:pPr>
        <w:spacing w:after="0" w:line="189"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On April 22, 2024, Blaize, BurTech, BurTech Merger Sub Inc., and Burkhan entered into an amendment to the Merger Agreement (the “April Amendment”). The April Amendment amended the original Merger Agreement to make certain adjustments in connection with the Blaize Note Financing (see Note 7) and additional adjustments related to warrant financing (see Note 8),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w:t>
      </w:r>
    </w:p>
    <w:p>
      <w:pPr>
        <w:spacing w:after="0" w:line="183"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Additionally, the April Amendment amended additional terms associated with the contingencies associated with the pending Merger. See Note 12. F-6</w:t>
      </w:r>
    </w:p>
    <w:p>
      <w:pPr>
        <w:sectPr>
          <w:pgSz w:w="11900" w:h="16838" w:orient="portrait"/>
          <w:cols w:equalWidth="0" w:num="1">
            <w:col w:w="11000"/>
          </w:cols>
          <w:pgMar w:left="440" w:top="266" w:right="459" w:bottom="1440" w:gutter="0" w:footer="0" w:header="0"/>
        </w:sectPr>
      </w:pPr>
    </w:p>
    <w:bookmarkStart w:id="341" w:name="page342"/>
    <w:bookmarkEnd w:id="341"/>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October 24, 2024, BurTech, Merger Sub, the Company and Burkhan entered into an Amendment No. 2 to Agreement and Plan of Merger (the “Second Amendment to Merger Agreement”). See Note 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6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September 30, 2024, the Company has funded its operations primarily with cash flows from contributions from founders or other investors and other financing activities. The Company has incurred recurring losses and negative cash flows since its inception, including a net loss of $54.5 million and $62.9 million for the nine months ended September 30, 2024 and 2023, respectively. As of September 30, 2024, the Company had cash and cash equivalents of approximately $68.6 million, a net working capital surplus of $45.3 million, and an accumulated deficit of $422.6 million.</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and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 Company is currently taking action to both source and preserve cash through a combination of the issuance of convertible notes and a possible capital market transaction the Company cannot be assured that it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 a going concern through a year from the date these unaudited condensed consolidated financial statements are available to be issued.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The accompanying unaudited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US GAAP. Interim results are not necessarily indicative of the results for a full year. Therefore, these interim unaudited condensed consolidated financial statements should be read in conjunction with the Company’s audited consolidated financial statements for the years ended December 31, 2023 and 2022.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00"/>
          </w:cols>
          <w:pgMar w:left="440" w:top="270" w:right="459" w:bottom="1440" w:gutter="0" w:footer="0" w:header="0"/>
        </w:sectPr>
      </w:pPr>
    </w:p>
    <w:bookmarkStart w:id="342" w:name="page343"/>
    <w:bookmarkEnd w:id="342"/>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unaudited condensed consolidated financial statements include the consolidated financial statements of the Company and its wholly-owned subsidiaries. All intercompany balances and transactions have been eliminated upon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the Company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 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cash and cash equivalents balances in excess of domestic and international insurance limits of approximately $32.3 million and $2.2 million, respectively.</w:t>
      </w:r>
    </w:p>
    <w:p>
      <w:pPr>
        <w:spacing w:after="0" w:line="162"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As of September 30, 2024, the Company held $30.1 million in U.S. Government treasury securities, $26.1 million in a U.S. Government money market fund, and $5.2 million in mutual funds (see Note 4). As of December 31, 2023, the Company had no cash equivalents or restricted cash balances.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September 30, 2024 and December 31, 2023, respectively. As of September 30, 2024 and December 31, 2023, the Company’s accounts receivable included zero and approximately $0.5 million, respectively, of unbilled accounts receivable (See Note 13).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00"/>
          </w:cols>
          <w:pgMar w:left="440" w:top="270" w:right="459" w:bottom="1440" w:gutter="0" w:footer="0" w:header="0"/>
        </w:sectPr>
      </w:pPr>
    </w:p>
    <w:bookmarkStart w:id="343" w:name="page344"/>
    <w:bookmarkEnd w:id="343"/>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unaudited condensed consolidated statement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September 30, 2024 and December 31, 2023 there were $4.5 million and $1.5 million, respectively, capitalized deferred offering costs included in prepaid expenses and other current assets on the condensed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2024 and 2023, the Company did not recognize any impairment expense related to its long-lived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xml:space="preserve">(ASU 2020-06). The Company has elected to account for its convertible notes at fair value at each period end pursuant to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accompanying unaudited condensed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accompanying condensed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00"/>
          </w:cols>
          <w:pgMar w:left="440" w:top="270" w:right="459" w:bottom="1440" w:gutter="0" w:footer="0" w:header="0"/>
        </w:sectPr>
      </w:pPr>
    </w:p>
    <w:bookmarkStart w:id="344" w:name="page345"/>
    <w:bookmarkEnd w:id="34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balance sheets at their estimated fair value. At initial recognition, the warrants were recorded at their estimated fair value calculated using the Black-Scholes-Merton (“Black- Scholes”) option pricing model (see Note 8). The liability associated with these warrants is subject to remeasurement at each balance sheet date, with changes in fair value recorded as change in the fair value of warrant liabilities in the unaudited condensed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0980"/>
          </w:cols>
          <w:pgMar w:left="440" w:top="270" w:right="4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Step 5: Recognize revenue when the company satisfies a performance obligation.</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joint marketing arrangement with a subsidiary of a minority investor to expand hardware sales into a foreign market (see Note 13).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condensed consolidated balance sheets, as of September 30, 2024 (in thousands):</w:t>
      </w:r>
    </w:p>
    <w:p>
      <w:pPr>
        <w:spacing w:after="0" w:line="22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 (unaudited)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00"/>
          </w:cols>
          <w:pgMar w:left="440" w:top="268"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includes costs associated with the design and development of the Company’s AI edge computing hardware and software.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During the three and nine months ended September 30,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fair value measurements used in its unaudited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fair value measurements be classified and disclosed in one of the following pricing categories:</w:t>
      </w:r>
    </w:p>
    <w:p>
      <w:pPr>
        <w:spacing w:after="0" w:line="77" w:lineRule="exact"/>
        <w:rPr>
          <w:sz w:val="20"/>
          <w:szCs w:val="20"/>
          <w:color w:val="auto"/>
        </w:rPr>
      </w:pPr>
    </w:p>
    <w:p>
      <w:pPr>
        <w:ind w:left="440" w:right="3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50" w:lineRule="exact"/>
        <w:rPr>
          <w:sz w:val="20"/>
          <w:szCs w:val="20"/>
          <w:color w:val="auto"/>
        </w:rPr>
      </w:pPr>
    </w:p>
    <w:p>
      <w:pPr>
        <w:jc w:val="both"/>
        <w:ind w:left="440" w:right="2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ind w:left="440" w:right="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0980"/>
          </w:cols>
          <w:pgMar w:left="440" w:top="270" w:right="479" w:bottom="1440" w:gutter="0" w:footer="0" w:header="0"/>
        </w:sectPr>
      </w:pPr>
    </w:p>
    <w:bookmarkStart w:id="347" w:name="page348"/>
    <w:bookmarkEnd w:id="347"/>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institution may at times exceed the Federal Depository Insurance coverage of $250,000. Investments in money markets are not insured or guaranteed by the FDIC or any other government agency.</w:t>
      </w:r>
    </w:p>
    <w:p>
      <w:pPr>
        <w:spacing w:after="0" w:line="162" w:lineRule="exact"/>
        <w:rPr>
          <w:sz w:val="20"/>
          <w:szCs w:val="20"/>
          <w:color w:val="auto"/>
        </w:rPr>
      </w:pPr>
    </w:p>
    <w:p>
      <w:pPr>
        <w:jc w:val="both"/>
        <w:ind w:right="500" w:firstLine="440"/>
        <w:spacing w:after="0" w:line="312" w:lineRule="auto"/>
        <w:rPr>
          <w:sz w:val="20"/>
          <w:szCs w:val="20"/>
          <w:color w:val="auto"/>
        </w:rPr>
      </w:pPr>
      <w:r>
        <w:rPr>
          <w:rFonts w:ascii="Times New Roman" w:cs="Times New Roman" w:eastAsia="Times New Roman" w:hAnsi="Times New Roman"/>
          <w:sz w:val="17"/>
          <w:szCs w:val="17"/>
          <w:color w:val="auto"/>
        </w:rPr>
        <w:t>The Company is exposed to credit risk in the event of nonpayment by customers up to the amounts recorded on the condensed consolidated balance sheets. The Company manages its accounts receivable credit risk through ongoing credit evaluation of its customers’ financial conditions.</w:t>
      </w:r>
    </w:p>
    <w:p>
      <w:pPr>
        <w:spacing w:after="0" w:line="14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one related party customer accounted for approximately 97% of the Company’s accounts receivable (see Note 13). As of December 31, 2023, one customer, also a related party, accounted for approximately 98% of the Company’s accounts receivable (see Note 13).</w:t>
      </w:r>
    </w:p>
    <w:p>
      <w:pPr>
        <w:spacing w:after="0" w:line="16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September 30, 2024 and 2023, one customer, a related party, accounted for approximately 97% of the Company’s revenue. For the nine months ended September 30, 2024, two customers, both related parties, accounted for approximately 77% and 21% of the Company’s revenue. For the nine months ended September 30, 2023, one customer, a related party, accounted for nearly 100% of the Company’s revenue (see Note 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00"/>
          </w:cols>
          <w:pgMar w:left="440" w:top="270" w:right="459" w:bottom="1440" w:gutter="0" w:footer="0" w:header="0"/>
        </w:sectPr>
      </w:pPr>
    </w:p>
    <w:bookmarkStart w:id="348" w:name="page349"/>
    <w:bookmarkEnd w:id="34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The Company adopted this standard as of January 1, 2024. The adoption of this standard did not have an impact on the Company’s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and early adoption is permitted, although the Company does not plan to early adopt. Adoption will require enhancements to the Company’s income tax disclosures but is not expected to have a material impact on its condensed consolidated financial statements.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This guidance is effective for fiscal year ending December 31, 2024 and interim periods within fiscal years beginning January 1, 2025. Early adoption is permitted although the Company does not plan to early adopt. Adoption will result in expanded disclosures for the Company’s single reportable segment but is not expected to have a material impact on the Company’s condensed consolidated financial statements.</w:t>
      </w:r>
    </w:p>
    <w:p>
      <w:pPr>
        <w:spacing w:after="0" w:line="183"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and early adoption is permitted. The Company does not expect the adoption to have a material impact on the Company’s condensed consolidated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00"/>
          </w:cols>
          <w:pgMar w:left="440" w:top="270"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3.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three and nine months ended September 30, 2024 and 2023 (in thousands):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28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778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565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7"/>
        </w:trPr>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September 30, 2024 and December 31, 2023, was as follows (in thousands):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44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24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440" w:type="dxa"/>
            <w:vAlign w:val="bottom"/>
          </w:tcPr>
          <w:p>
            <w:pPr>
              <w:spacing w:after="0"/>
              <w:rPr>
                <w:sz w:val="24"/>
                <w:szCs w:val="24"/>
                <w:color w:val="auto"/>
              </w:rPr>
            </w:pPr>
          </w:p>
        </w:tc>
        <w:tc>
          <w:tcPr>
            <w:tcW w:w="34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F-15</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4. Fair Value Measurements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$26,054</w:t>
            </w:r>
          </w:p>
        </w:tc>
        <w:tc>
          <w:tcPr>
            <w:tcW w:w="1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5,190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61,302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61,302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4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5"/>
              </w:rPr>
              <w:t>148,551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172,283</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114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8"/>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14,641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18,064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36,435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money market funds because they were valued using quoted prices in active markets and can be redeemed on any business days with an intermediary.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80"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Changes in the fair value measurement of Level 3 liabilities related to unrealized gains (losses) resulting from remeasurement of the Company’s outstanding convertible notes and warrant liabilities (see Notes 7 and 8). The respective changes for remeasurement are reflected in the change in fair value of convertible notes and change in fair value of warrant liabilities in the accompanying condensed consolidated statements of operations.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0980"/>
          </w:cols>
          <w:pgMar w:left="440" w:top="266" w:right="479" w:bottom="1440" w:gutter="0" w:footer="0" w:header="0"/>
        </w:sectPr>
      </w:pPr>
    </w:p>
    <w:bookmarkStart w:id="351" w:name="page352"/>
    <w:bookmarkEnd w:id="351"/>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change in the fair value of the Level 3 liabilities during the three and nine months ended September 30, 2024 and 2023 was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000" w:type="dxa"/>
            <w:vAlign w:val="bottom"/>
            <w:gridSpan w:val="6"/>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16,042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$ 133,088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$ 7,665</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$156,795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15,463</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$ 148,551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14,641</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18,064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$ 3,730</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$ 36,435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105,902</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110,718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24,585</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24,666</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$ 148,551</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$ 7,755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September 30, 2023: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$ 2,227</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7,275</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1,241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8,516</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$ 3,025</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Nine months ended September 30, 2023: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60" w:type="dxa"/>
            <w:vAlign w:val="bottom"/>
          </w:tcPr>
          <w:p>
            <w:pPr>
              <w:spacing w:after="0"/>
              <w:rPr>
                <w:sz w:val="18"/>
                <w:szCs w:val="18"/>
                <w:color w:val="auto"/>
              </w:rPr>
            </w:pPr>
          </w:p>
        </w:tc>
        <w:tc>
          <w:tcPr>
            <w:tcW w:w="32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529</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$ 3,668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8,717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$ 3,025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nine months ended September 30, 2024 and 2023. Certain existing investors invested in P2P Notes during the nine months ended September 30, 2023, and accordingly, their common stock warrants were converted into Series D Shadow preferred stock warrants and reclassified as warrant liabilities (see Notes 7, 8 and 13).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440" w:top="270"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5. Supplementary Balance Sheet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consists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1,542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4,964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w w:val="93"/>
              </w:rPr>
              <w:t>6,522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4,532</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6,081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5,893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depreciation and amortization expense of property and equipment was $0.3 million and $0.7 million, respectively, and $0.7 million and $1.7 million, respectively.</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660"/>
          </w:cols>
          <w:pgMar w:left="440" w:top="266" w:right="7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1,838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6,924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7,464</w:t>
            </w: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accrued loss on purchase commitments were $1.4 million and $3.6 million, respectively (see Note 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compensation consists of the following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4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authoritative accounting guidance, the Company accounts for income taxes using the asset and liability method under which deferred tax assets and liabilities are recognized for future tax consequences attributable to differences between the consolidated financial statement carrying amounts of existing assets and liabilities and their respective income tax bases.</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recognized income tax expense (benefit) of $55,000 and ($12,000) for the three months ended September 30, 2024 and 2023, respectively, and representing an effective tax rate of 0.22% and (0.10%), respectively. The Company recognized income tax expense (benefit) of $348,000 and ($85,000) for the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nine months ended September 30, 2024 and 2023, respectively, representing an effective tax rate of 0.64% and (0.14%), respectively.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has been no significant movement in the statutory and effective tax rate for the three and nine months ended September 30,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income tax rate is primarily driven by remeasurement of warrant liabilities and valuation allowance. The Company continues to incur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losses.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regularly assesses the realizability of its deferred tax assets and establishes a valuation allowance if it is more-likely-than-not that some, or all, of its deferred tax assets will not be realized in the future.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0960"/>
          </w:cols>
          <w:pgMar w:left="440" w:top="266" w:right="499" w:bottom="1440" w:gutter="0" w:footer="0" w:header="0"/>
        </w:sectPr>
      </w:pPr>
    </w:p>
    <w:bookmarkStart w:id="354" w:name="page355"/>
    <w:bookmarkEnd w:id="3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evaluates and weighs all available evidence, both positive and negative, including its historic operating results, future reversals of existing deferred tax liabilities, as well as projected future taxable income. The Company will continue to regularly assess the realizability of its deferred tax assets. Changes in earnings performance and future earnings projections, among other factors, may cause the Company to adjust the valuation allowance on deferred tax assets, which could materially impact the income tax (benefit) expense in the period the Company determines that these factors have changed. As of September 30, 2024, the Company continues to maintain a full valuation allowance on its deferred tax assets except in certain foreign jurisdictions.</w:t>
      </w:r>
    </w:p>
    <w:p>
      <w:pPr>
        <w:spacing w:after="0" w:line="187"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The Company also files income tax returns in other various U.S. states and international jurisdictions. All tax years since inception remain open to examination by the U.S. federal authorities as a result of the net operating losses and credit carryforwards since inception. The Company is not currently under income tax examinations in any foreign or state jurisdiction. Because application of tax laws and regulations for many types of transactions is susceptible to varying interpretations, amounts reported in the condensed consolidated financial statements could be changed at a later date upon final determination by taxing authorities. Management believes that the Company has no uncertain income tax positions that could materially affect its condensed consolidated financial statements.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960" w:hanging="424"/>
        <w:spacing w:after="0" w:line="261" w:lineRule="auto"/>
        <w:tabs>
          <w:tab w:leader="none" w:pos="9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00"/>
          </w:cols>
          <w:pgMar w:left="440" w:top="270" w:right="459" w:bottom="1440" w:gutter="0" w:footer="0" w:header="0"/>
        </w:sectPr>
      </w:pPr>
    </w:p>
    <w:bookmarkStart w:id="355" w:name="page356"/>
    <w:bookmarkEnd w:id="355"/>
    <w:p>
      <w:pPr>
        <w:ind w:left="960" w:right="140" w:hanging="424"/>
        <w:spacing w:after="0" w:line="261" w:lineRule="auto"/>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85" w:lineRule="exact"/>
        <w:rPr>
          <w:rFonts w:ascii="Times New Roman" w:cs="Times New Roman" w:eastAsia="Times New Roman" w:hAnsi="Times New Roman"/>
          <w:sz w:val="18"/>
          <w:szCs w:val="18"/>
          <w:color w:val="auto"/>
        </w:rPr>
      </w:pPr>
    </w:p>
    <w:p>
      <w:pPr>
        <w:ind w:left="960" w:right="40" w:hanging="424"/>
        <w:spacing w:after="0" w:line="257" w:lineRule="auto"/>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The Company elected to measure the P2P Notes in their entirety, for the respective period issued, at fair value with changes in fair value reported in a single line in the unaudited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three and nine months ended September 30, 2024 and 2023, the Company recognized a change in fair value from the P2P Notes of approximately ($65,000) and $1.3 million, respectively and $0.4 million and</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$2.3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00"/>
          </w:cols>
          <w:pgMar w:left="440" w:top="270" w:right="459" w:bottom="1440" w:gutter="0" w:footer="0" w:header="0"/>
        </w:sectPr>
      </w:pPr>
    </w:p>
    <w:bookmarkStart w:id="356" w:name="page357"/>
    <w:bookmarkEnd w:id="356"/>
    <w:p>
      <w:pPr>
        <w:ind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(see Note 8). The fair value of the Series D warrants at reinstatement, approximating $61,000, was recognized as a component of the Pay-to-Play financing charge for the nine months ended September 30, 2023.</w:t>
      </w:r>
    </w:p>
    <w:p>
      <w:pPr>
        <w:spacing w:after="0" w:line="162"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During the three and nine month periods ended September 30, 2024 and 2023, the Company did not enter into any Exchange Agreements with eligible common shareholders.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Of the $110.7 million in proceeds received during the nine months ended September 30, 2024, $11.5 million of the proceeds was received from BurTech (see Note 1), $2.4 million was received from miscellaneous parties, and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0980"/>
          </w:cols>
          <w:pgMar w:left="440" w:top="270" w:right="47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2023 NPA provides that the notes may be converted as follows:</w:t>
      </w:r>
    </w:p>
    <w:p>
      <w:pPr>
        <w:spacing w:after="0" w:line="131" w:lineRule="exact"/>
        <w:rPr>
          <w:sz w:val="20"/>
          <w:szCs w:val="20"/>
          <w:color w:val="auto"/>
        </w:rPr>
      </w:pPr>
    </w:p>
    <w:p>
      <w:pPr>
        <w:ind w:left="520" w:right="220" w:hanging="424"/>
        <w:spacing w:after="0" w:line="261" w:lineRule="auto"/>
        <w:tabs>
          <w:tab w:leader="none" w:pos="5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980" w:hanging="331"/>
        <w:spacing w:after="0" w:line="256" w:lineRule="auto"/>
        <w:tabs>
          <w:tab w:leader="none" w:pos="9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980" w:right="60" w:hanging="331"/>
        <w:spacing w:after="0" w:line="266" w:lineRule="auto"/>
        <w:tabs>
          <w:tab w:leader="none" w:pos="9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980" w:right="20" w:hanging="331"/>
        <w:spacing w:after="0" w:line="266" w:lineRule="auto"/>
        <w:tabs>
          <w:tab w:leader="none" w:pos="9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520" w:right="40" w:hanging="424"/>
        <w:spacing w:after="0" w:line="258" w:lineRule="auto"/>
        <w:tabs>
          <w:tab w:leader="none" w:pos="5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520" w:hanging="424"/>
        <w:spacing w:after="0" w:line="256" w:lineRule="auto"/>
        <w:tabs>
          <w:tab w:leader="none" w:pos="5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520" w:right="700" w:hanging="424"/>
        <w:spacing w:after="0" w:line="282" w:lineRule="auto"/>
        <w:tabs>
          <w:tab w:leader="none" w:pos="5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980" w:right="40" w:hanging="331"/>
        <w:spacing w:after="0" w:line="312" w:lineRule="auto"/>
        <w:tabs>
          <w:tab w:leader="none" w:pos="980"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980" w:right="100" w:hanging="331"/>
        <w:spacing w:after="0" w:line="282" w:lineRule="auto"/>
        <w:tabs>
          <w:tab w:leader="none" w:pos="9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980" w:right="80" w:hanging="331"/>
        <w:spacing w:after="0" w:line="282" w:lineRule="auto"/>
        <w:tabs>
          <w:tab w:leader="none" w:pos="9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0560"/>
          </w:cols>
          <w:pgMar w:left="880" w:top="270" w:right="459" w:bottom="1440" w:gutter="0" w:footer="0" w:header="0"/>
        </w:sectPr>
      </w:pPr>
    </w:p>
    <w:bookmarkStart w:id="358" w:name="page359"/>
    <w:bookmarkEnd w:id="358"/>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2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unaudited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recognized a change in fair value of approximately</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$15.5 million and $24.6 million, respectively, and $1.2 million and $1.2 million (see Note 4),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September 30, 2024 is as follows (in thousands):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23"/>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13 and 16). In April 2024, the Company repaid the total outstanding principal and interest of $5.0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0920"/>
          </w:cols>
          <w:pgMar w:left="440" w:top="270" w:right="539" w:bottom="1440" w:gutter="0" w:footer="0" w:header="0"/>
        </w:sectPr>
      </w:pPr>
    </w:p>
    <w:bookmarkStart w:id="359" w:name="page360"/>
    <w:bookmarkEnd w:id="359"/>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7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8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w:t>
      </w:r>
    </w:p>
    <w:p>
      <w:pPr>
        <w:spacing w:after="0" w:line="27" w:lineRule="exact"/>
        <w:rPr>
          <w:sz w:val="20"/>
          <w:szCs w:val="20"/>
          <w:color w:val="auto"/>
        </w:rPr>
      </w:pPr>
    </w:p>
    <w:p>
      <w:pPr>
        <w:ind w:left="4" w:hanging="4"/>
        <w:spacing w:after="0" w:line="253" w:lineRule="auto"/>
        <w:tabs>
          <w:tab w:leader="none" w:pos="21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158" w:lineRule="exact"/>
        <w:rPr>
          <w:sz w:val="20"/>
          <w:szCs w:val="20"/>
          <w:color w:val="auto"/>
        </w:rPr>
      </w:pPr>
    </w:p>
    <w:p>
      <w:pPr>
        <w:ind w:left="5344"/>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04"/>
          </w:cols>
          <w:pgMar w:left="436" w:top="270" w:right="459" w:bottom="1440" w:gutter="0" w:footer="0" w:header="0"/>
        </w:sectPr>
      </w:pPr>
    </w:p>
    <w:bookmarkStart w:id="360" w:name="page361"/>
    <w:bookmarkEnd w:id="360"/>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 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 funded Warrant of $0.5 million was recognized as a debt financing charge on 2023 convertible notes during the nine month period ended September 30, 2024.</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September 30, 2024 and December 31, 2023, outstanding warrants consisted of the following (in thousands):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spacing w:after="0"/>
              <w:rPr>
                <w:sz w:val="15"/>
                <w:szCs w:val="15"/>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warrant shares at</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Approximate fair value at</w:t>
            </w: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Warrant Type:</w:t>
            </w:r>
          </w:p>
        </w:tc>
        <w:tc>
          <w:tcPr>
            <w:tcW w:w="3580" w:type="dxa"/>
            <w:vAlign w:val="bottom"/>
            <w:vMerge w:val="restart"/>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5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640" w:type="dxa"/>
            <w:vAlign w:val="bottom"/>
          </w:tcPr>
          <w:p>
            <w:pPr>
              <w:spacing w:after="0"/>
              <w:rPr>
                <w:sz w:val="15"/>
                <w:szCs w:val="15"/>
                <w:color w:val="auto"/>
              </w:rPr>
            </w:pPr>
          </w:p>
        </w:tc>
        <w:tc>
          <w:tcPr>
            <w:tcW w:w="58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D Shadow Preferred Warrants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338,495</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4.97</w:t>
            </w:r>
          </w:p>
        </w:tc>
        <w:tc>
          <w:tcPr>
            <w:tcW w:w="640" w:type="dxa"/>
            <w:vAlign w:val="bottom"/>
          </w:tcPr>
          <w:p>
            <w:pPr>
              <w:spacing w:after="0"/>
              <w:rPr>
                <w:sz w:val="18"/>
                <w:szCs w:val="18"/>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c>
          <w:tcPr>
            <w:tcW w:w="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c>
          <w:tcPr>
            <w:tcW w:w="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00" w:type="dxa"/>
            <w:vAlign w:val="bottom"/>
          </w:tcPr>
          <w:p>
            <w:pPr>
              <w:spacing w:after="0"/>
              <w:rPr>
                <w:sz w:val="18"/>
                <w:szCs w:val="18"/>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580" w:type="dxa"/>
            <w:vAlign w:val="bottom"/>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56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Common stock warrants</w:t>
            </w:r>
            <w:r>
              <w:rPr>
                <w:rFonts w:ascii="Times New Roman" w:cs="Times New Roman" w:eastAsia="Times New Roman" w:hAnsi="Times New Roman"/>
                <w:sz w:val="25"/>
                <w:szCs w:val="25"/>
                <w:color w:val="auto"/>
                <w:vertAlign w:val="superscript"/>
              </w:rPr>
              <w:t>(b)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104.43</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Pre-funded common stock warrants</w:t>
            </w:r>
            <w:r>
              <w:rPr>
                <w:rFonts w:ascii="Times New Roman" w:cs="Times New Roman" w:eastAsia="Times New Roman" w:hAnsi="Times New Roman"/>
                <w:sz w:val="25"/>
                <w:szCs w:val="25"/>
                <w:color w:val="auto"/>
                <w:vertAlign w:val="superscript"/>
              </w:rPr>
              <w:t>(d)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640" w:type="dxa"/>
            <w:vAlign w:val="bottom"/>
          </w:tcPr>
          <w:p>
            <w:pPr>
              <w:spacing w:after="0"/>
              <w:rPr>
                <w:sz w:val="18"/>
                <w:szCs w:val="18"/>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56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Pre-funded common stock warrants</w:t>
            </w:r>
            <w:r>
              <w:rPr>
                <w:rFonts w:ascii="Times New Roman" w:cs="Times New Roman" w:eastAsia="Times New Roman" w:hAnsi="Times New Roman"/>
                <w:sz w:val="25"/>
                <w:szCs w:val="25"/>
                <w:color w:val="auto"/>
                <w:vertAlign w:val="superscript"/>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9"/>
              </w:rPr>
              <w:t>756,172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424" w:right="140" w:hanging="424"/>
        <w:spacing w:after="0" w:line="266" w:lineRule="auto"/>
        <w:tabs>
          <w:tab w:leader="none" w:pos="42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September 30, 2024 or December 31, 2023, therefore, the exercise price is only known in aggregate based on individual investor participation levels and timing of investment. The aggregate exercise price is $2.5 million as of September 30, 2024 and December 31, 2023. The Company’s valuation of its P2P</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24"/>
          </w:cols>
          <w:pgMar w:left="436" w:top="270" w:right="439" w:bottom="1440" w:gutter="0" w:footer="0" w:header="0"/>
        </w:sectPr>
      </w:pPr>
    </w:p>
    <w:bookmarkStart w:id="361" w:name="page362"/>
    <w:bookmarkEnd w:id="361"/>
    <w:p>
      <w:pPr>
        <w:ind w:left="424"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assumes a range of expected warrant shares of 744,914 to 764,330 and 694,397 to 721,086 shares of either common stock or a future preferred stock series as of September 30, 2024 and December 31, 2023.</w:t>
      </w:r>
    </w:p>
    <w:p>
      <w:pPr>
        <w:ind w:left="424" w:right="140" w:hanging="424"/>
        <w:spacing w:after="0" w:line="250" w:lineRule="auto"/>
        <w:tabs>
          <w:tab w:leader="none" w:pos="42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nine months ended September 30, 2024.</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2023 Convertible Note Warrants as well as the related aggregate exercise price is not determinable as of September 30, 2024 or December 31, 2023 due to variable settlement terms. As of September 30, 2024 and December 31, 2023, the aggregate fixed monetary amount that will serve as the basis of calculating the number of warrant shares into which the 2023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September 30, 2024, taking into consideration the effect of the April 2024 amendment, the number of warrant shares required to be issued in the form of BurTech Class A Common stock is fixed at 2,000,000 shares.</w:t>
      </w:r>
    </w:p>
    <w:p>
      <w:pPr>
        <w:spacing w:after="0" w:line="1" w:lineRule="exact"/>
        <w:rPr>
          <w:rFonts w:ascii="Times New Roman" w:cs="Times New Roman" w:eastAsia="Times New Roman" w:hAnsi="Times New Roman"/>
          <w:sz w:val="18"/>
          <w:szCs w:val="18"/>
          <w:color w:val="auto"/>
        </w:rPr>
      </w:pPr>
    </w:p>
    <w:p>
      <w:pPr>
        <w:ind w:left="424" w:right="300" w:hanging="424"/>
        <w:spacing w:after="0" w:line="260" w:lineRule="auto"/>
        <w:tabs>
          <w:tab w:leader="none" w:pos="42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September 30, 2024, the number of warrant shares to be issued in the form of BurTech Class A Common stock is a fixed 4,500,000 shares.</w:t>
      </w:r>
    </w:p>
    <w:p>
      <w:pPr>
        <w:spacing w:after="0" w:line="181" w:lineRule="exact"/>
        <w:rPr>
          <w:sz w:val="20"/>
          <w:szCs w:val="20"/>
          <w:color w:val="auto"/>
        </w:rPr>
      </w:pPr>
    </w:p>
    <w:p>
      <w:pPr>
        <w:ind w:left="4" w:right="520" w:firstLine="440"/>
        <w:spacing w:after="0" w:line="266"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4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Series D-2 Shadow</w:t>
      </w:r>
    </w:p>
    <w:p>
      <w:pPr>
        <w:jc w:val="center"/>
        <w:ind w:left="5200"/>
        <w:spacing w:after="0" w:line="229" w:lineRule="auto"/>
        <w:rPr>
          <w:sz w:val="20"/>
          <w:szCs w:val="20"/>
          <w:color w:val="auto"/>
        </w:rPr>
      </w:pPr>
      <w:r>
        <w:rPr>
          <w:rFonts w:ascii="Times New Roman" w:cs="Times New Roman" w:eastAsia="Times New Roman" w:hAnsi="Times New Roman"/>
          <w:sz w:val="14"/>
          <w:szCs w:val="14"/>
          <w:b w:val="1"/>
          <w:bCs w:val="1"/>
          <w:color w:val="auto"/>
        </w:rPr>
        <w:t>Preferred Stock Warrant</w:t>
      </w:r>
    </w:p>
    <w:p>
      <w:pPr>
        <w:jc w:val="center"/>
        <w:ind w:left="5200"/>
        <w:spacing w:after="0" w:line="232" w:lineRule="auto"/>
        <w:rPr>
          <w:sz w:val="20"/>
          <w:szCs w:val="20"/>
          <w:color w:val="auto"/>
        </w:rPr>
      </w:pPr>
      <w:r>
        <w:rPr>
          <w:rFonts w:ascii="Times New Roman" w:cs="Times New Roman" w:eastAsia="Times New Roman" w:hAnsi="Times New Roman"/>
          <w:sz w:val="14"/>
          <w:szCs w:val="14"/>
          <w:b w:val="1"/>
          <w:bCs w:val="1"/>
          <w:color w:val="auto"/>
        </w:rPr>
        <w:t>Reinstatement</w:t>
      </w:r>
    </w:p>
    <w:tbl>
      <w:tblPr>
        <w:tblLayout w:type="fixed"/>
        <w:tblInd w:w="444"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000" w:type="dxa"/>
            <w:vAlign w:val="bottom"/>
            <w:tcBorders>
              <w:top w:val="single" w:sz="8" w:color="auto"/>
              <w:bottom w:val="single" w:sz="8" w:color="CCEEFF"/>
            </w:tcBorders>
            <w:gridSpan w:val="2"/>
          </w:tcPr>
          <w:p>
            <w:pPr>
              <w:spacing w:after="0"/>
              <w:rPr>
                <w:sz w:val="12"/>
                <w:szCs w:val="12"/>
                <w:color w:val="auto"/>
              </w:rPr>
            </w:pPr>
          </w:p>
        </w:tc>
        <w:tc>
          <w:tcPr>
            <w:tcW w:w="8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Issued in 2023</w:t>
            </w:r>
          </w:p>
        </w:tc>
        <w:tc>
          <w:tcPr>
            <w:tcW w:w="20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vMerge w:val="restart"/>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Series D-2 Shadow</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Preferred Stock Warrants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tcBorders>
              <w:top w:val="single" w:sz="8" w:color="auto"/>
            </w:tcBorders>
            <w:gridSpan w:val="4"/>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F-27</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362" w:name="page363"/>
    <w:bookmarkEnd w:id="36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 P2P</w:t>
            </w:r>
          </w:p>
        </w:tc>
      </w:tr>
      <w:tr>
        <w:trPr>
          <w:trHeight w:val="173"/>
        </w:trPr>
        <w:tc>
          <w:tcPr>
            <w:tcW w:w="8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88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09"/>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4.54% – 4.79%</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1.44 years</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4"/>
        </w:trPr>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7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8"/>
              </w:rPr>
              <w:t>$0.74</w:t>
            </w:r>
          </w:p>
        </w:tc>
      </w:tr>
      <w:tr>
        <w:trPr>
          <w:trHeight w:val="4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88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 – 4.38%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4.54% – 4.79%</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0.50 – 2.00 years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69.8% – 71.6%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 – 62.3%</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1920" w:type="dxa"/>
            <w:vAlign w:val="bottom"/>
            <w:gridSpan w:val="4"/>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4"/>
        </w:trPr>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9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auto"/>
                <w:w w:val="98"/>
              </w:rPr>
              <w:t>$0.74</w:t>
            </w:r>
          </w:p>
        </w:tc>
      </w:tr>
    </w:tbl>
    <w:p>
      <w:pPr>
        <w:spacing w:after="0" w:line="17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60" w:type="dxa"/>
            <w:vAlign w:val="bottom"/>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Warrants issued with 2023</w:t>
            </w:r>
          </w:p>
        </w:tc>
      </w:tr>
      <w:tr>
        <w:trPr>
          <w:trHeight w:val="173"/>
        </w:trPr>
        <w:tc>
          <w:tcPr>
            <w:tcW w:w="30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3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60" w:type="dxa"/>
            <w:vAlign w:val="bottom"/>
            <w:gridSpan w:val="3"/>
          </w:tcPr>
          <w:p>
            <w:pPr>
              <w:jc w:val="center"/>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 – 5.55%</w:t>
            </w:r>
          </w:p>
        </w:tc>
        <w:tc>
          <w:tcPr>
            <w:tcW w:w="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500" w:type="dxa"/>
            <w:vAlign w:val="bottom"/>
          </w:tcPr>
          <w:p>
            <w:pPr>
              <w:spacing w:after="0"/>
              <w:rPr>
                <w:sz w:val="18"/>
                <w:szCs w:val="18"/>
                <w:color w:val="auto"/>
              </w:rPr>
            </w:pPr>
          </w:p>
        </w:tc>
        <w:tc>
          <w:tcPr>
            <w:tcW w:w="1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0.36 – 5.00 years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73.0%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40" w:type="dxa"/>
            <w:vAlign w:val="bottom"/>
            <w:gridSpan w:val="3"/>
          </w:tcPr>
          <w:p>
            <w:pPr>
              <w:jc w:val="right"/>
              <w:ind w:right="297"/>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$0.81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346"/>
        </w:trPr>
        <w:tc>
          <w:tcPr>
            <w:tcW w:w="3040" w:type="dxa"/>
            <w:vAlign w:val="bottom"/>
          </w:tcPr>
          <w:p>
            <w:pPr>
              <w:spacing w:after="0"/>
              <w:rPr>
                <w:sz w:val="24"/>
                <w:szCs w:val="24"/>
                <w:color w:val="auto"/>
              </w:rPr>
            </w:pPr>
          </w:p>
        </w:tc>
        <w:tc>
          <w:tcPr>
            <w:tcW w:w="3060" w:type="dxa"/>
            <w:vAlign w:val="bottom"/>
            <w:gridSpan w:val="2"/>
          </w:tcPr>
          <w:p>
            <w:pPr>
              <w:jc w:val="right"/>
              <w:ind w:right="1656"/>
              <w:spacing w:after="0"/>
              <w:rPr>
                <w:sz w:val="20"/>
                <w:szCs w:val="20"/>
                <w:color w:val="auto"/>
              </w:rPr>
            </w:pPr>
            <w:r>
              <w:rPr>
                <w:rFonts w:ascii="Times New Roman" w:cs="Times New Roman" w:eastAsia="Times New Roman" w:hAnsi="Times New Roman"/>
                <w:sz w:val="18"/>
                <w:szCs w:val="18"/>
                <w:color w:val="auto"/>
              </w:rPr>
              <w:t>F-28</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363" w:name="page364"/>
    <w:bookmarkEnd w:id="3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September 30, 2024 and December 31, 2023:</w:t>
      </w:r>
    </w:p>
    <w:p>
      <w:pPr>
        <w:spacing w:after="0" w:line="246"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Warrants issued with</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2023 Convertible Notes</w:t>
      </w:r>
    </w:p>
    <w:tbl>
      <w:tblPr>
        <w:tblLayout w:type="fixed"/>
        <w:tblInd w:w="132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19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 – 4.93%</w:t>
            </w:r>
          </w:p>
        </w:tc>
        <w:tc>
          <w:tcPr>
            <w:tcW w:w="4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 – 5.26%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0.08 – 4.72 years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66.3% – 73.2%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 – 62.8%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$ 4.03</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$ 4.16</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$ 0.92</w:t>
            </w:r>
          </w:p>
        </w:tc>
        <w:tc>
          <w:tcPr>
            <w:tcW w:w="4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$ 0.74</w:t>
            </w:r>
          </w:p>
        </w:tc>
      </w:tr>
    </w:tbl>
    <w:p>
      <w:pPr>
        <w:spacing w:after="0" w:line="17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 weighted approach of scenarios, including the scenarios that the Merger will and will not be consummated.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2024, no Company warrants have been exercised.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reflected in the Company’s unaudited condensed consolidated statements of operations were as follows for the three and nine months ended September 30, 2024 and 2023 (in thousands):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2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6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4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Company’s operating leases had a weighted average remaining lease term of 3.4 years and a weighted average discount rate related to the Company’s right-of-use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three and nine months ended September 30, 2024 and 2023 (in thousands):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2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6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40" w:type="dxa"/>
            <w:vAlign w:val="bottom"/>
          </w:tcPr>
          <w:p>
            <w:pPr>
              <w:spacing w:after="0"/>
              <w:rPr>
                <w:sz w:val="12"/>
                <w:szCs w:val="12"/>
                <w:color w:val="auto"/>
              </w:rPr>
            </w:pPr>
          </w:p>
        </w:tc>
      </w:tr>
      <w:tr>
        <w:trPr>
          <w:trHeight w:val="178"/>
        </w:trPr>
        <w:tc>
          <w:tcPr>
            <w:tcW w:w="58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r>
      <w:tr>
        <w:trPr>
          <w:trHeight w:val="365"/>
        </w:trPr>
        <w:tc>
          <w:tcPr>
            <w:tcW w:w="58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F-29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64" w:name="page365"/>
    <w:bookmarkEnd w:id="3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September 30, 2024, future minimum lease payments under the Company’s non-cancelable operating leases are as follows (in thousands):</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09"/>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September 30, 2024 and December 31, 2023 were as follows (dollars in thousands):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9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2,020,309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4,573,935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12,234,661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10,211,548</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48,661</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3,990,707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239,405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3,662,318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7,561,820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37,595</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nine months ended September 30, 2023, the Pull-Through Exchange resulted in incremental value to the investors in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940"/>
          </w:cols>
          <w:pgMar w:left="440" w:top="270" w:right="519" w:bottom="1440" w:gutter="0" w:footer="0" w:header="0"/>
        </w:sectPr>
      </w:pPr>
    </w:p>
    <w:bookmarkStart w:id="365" w:name="page366"/>
    <w:bookmarkEnd w:id="365"/>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P2P Notes of $30.6 million, measured as the difference in the fair value of the Shadow Preferred Stock shares held after the Pull-Through Exchange to the fair value of the Converted Common held just prior to the Pull-Through Exchange, which has been accounted for as a Pay- to-Play financing charge in the accompanying condensed consolidated statements of operations.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there were 175,095,000 shares of common stock authorized, respectively, and 17,482,174 and 17,454,353 shares issued and outstanding, respectively.</w:t>
      </w:r>
    </w:p>
    <w:p>
      <w:pPr>
        <w:spacing w:after="0" w:line="162"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Common stock reserved for issuance as of September 30, 2024 and December 31, 2023, is as follows: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4,573,935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4,573,935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12,234,661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12,234,661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10,211,548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10,211,548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3,990,707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3,990,707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239,405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239,405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3,662,318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3,662,318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7,561,820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7,561,820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 Shadow preferred stock</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756,172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764,330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3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1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(  )</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2,000,000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4,500,000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21,130,207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21,354,809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1,036,487</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839,706</w:t>
            </w:r>
          </w:p>
        </w:tc>
      </w:tr>
      <w:tr>
        <w:trPr>
          <w:trHeight w:val="27"/>
        </w:trPr>
        <w:tc>
          <w:tcPr>
            <w:tcW w:w="8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74,681,899</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75,514,616</w:t>
            </w:r>
          </w:p>
        </w:tc>
      </w:tr>
      <w:tr>
        <w:trPr>
          <w:trHeight w:val="20"/>
        </w:trPr>
        <w:tc>
          <w:tcPr>
            <w:tcW w:w="8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80" w:hanging="424"/>
        <w:spacing w:after="0" w:line="282" w:lineRule="auto"/>
        <w:tabs>
          <w:tab w:leader="none" w:pos="42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September 30, 2024 and December 31 ,2023 due to the variable settlement terms (see Note 8).</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24"/>
          </w:cols>
          <w:pgMar w:left="436" w:top="270" w:right="439" w:bottom="1440" w:gutter="0" w:footer="0" w:header="0"/>
        </w:sectPr>
      </w:pPr>
    </w:p>
    <w:bookmarkStart w:id="366" w:name="page367"/>
    <w:bookmarkEnd w:id="366"/>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w:t>
      </w:r>
    </w:p>
    <w:p>
      <w:pPr>
        <w:spacing w:after="0" w:line="18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service-based options outstanding to purchase a total of 16,330,351 shares of common stock under the Plan and 4,799,856 unvested RSUs. As of September 30, 2024, 1,036,487 shares of common stock were available for issuance for either option or RSU grants under the 2011 Amended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option activity for the nine months ended September 30, 2024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1.12</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(27,821)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(76,558)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11.17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16,330,351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w:t>
            </w:r>
            <w:r>
              <w:rPr>
                <w:rFonts w:ascii="Times New Roman" w:cs="Times New Roman" w:eastAsia="Times New Roman" w:hAnsi="Times New Roman"/>
                <w:sz w:val="18"/>
                <w:szCs w:val="18"/>
                <w:u w:val="single" w:color="auto"/>
                <w:color w:val="auto"/>
                <w:w w:val="88"/>
              </w:rPr>
              <w:t>07</w:t>
            </w:r>
          </w:p>
        </w:tc>
        <w:tc>
          <w:tcPr>
            <w:tcW w:w="4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Vested/expected to vest at September 30, 2024</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16,330,351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options at September 30, 2024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6,772,090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approximately $2.4 million of total unrecognized compensation cost related to unvested options granted, which is expected to be recognized over the weighted-average period of 1.9 years.</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during the three and nine months ended September 30, 2024 and 2023, as follows (in thousands):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F-32</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67" w:name="page368"/>
    <w:bookmarkEnd w:id="367"/>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nine months ended September 30,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six million RSUs issued to an investor (see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7 and 13), for the nine months ended September 30, 2024 is as follows:</w:t>
      </w:r>
    </w:p>
    <w:p>
      <w:pPr>
        <w:spacing w:after="0" w:line="21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14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(116,973)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4,799,856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September 30, 2024, no stock-based compensation expense was recognized for the periods presented. The probability will be evaluated each reporting period. As of September 30, 2024, there was $4.4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 had outstanding purchase orders and contractual obligations totaling $0.3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three and nine months ended September 30, 2024 and 2023, the Company purchased inventories due to this obligation as follows (in thousands):</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1300" w:type="dxa"/>
            <w:vAlign w:val="bottom"/>
            <w:gridSpan w:val="4"/>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7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00" w:type="dxa"/>
            <w:vAlign w:val="bottom"/>
          </w:tcPr>
          <w:p>
            <w:pPr>
              <w:spacing w:after="0"/>
              <w:rPr>
                <w:sz w:val="15"/>
                <w:szCs w:val="15"/>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32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9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30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76"/>
              </w:rPr>
              <w:t>2023 </w:t>
            </w:r>
          </w:p>
        </w:tc>
        <w:tc>
          <w:tcPr>
            <w:tcW w:w="6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w:t>
            </w: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346</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$ 4,088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00"/>
          </w:cols>
          <w:pgMar w:left="440" w:top="270" w:right="459" w:bottom="1440" w:gutter="0" w:footer="0" w:header="0"/>
        </w:sectPr>
      </w:pPr>
    </w:p>
    <w:bookmarkStart w:id="368" w:name="page369"/>
    <w:bookmarkEnd w:id="368"/>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inventory. Furthermore, the Company accrues for losses on commitments for the future purchase on non- 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September 30, 2024 and December 31, 2023, the liability balance of the Company’s accrued losses on accrued purchase commitments equaled $1.4 million and $3.6 million, respectively, on the condensed consolidated balance sheets.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unaudited condensed consolidated financial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58"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See Note 16.</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w:t>
      </w:r>
    </w:p>
    <w:p>
      <w:pPr>
        <w:spacing w:after="0" w:line="27" w:lineRule="exact"/>
        <w:rPr>
          <w:sz w:val="20"/>
          <w:szCs w:val="20"/>
          <w:color w:val="auto"/>
        </w:rPr>
      </w:pPr>
    </w:p>
    <w:p>
      <w:pPr>
        <w:ind w:left="5344" w:right="4900" w:hanging="5344"/>
        <w:spacing w:after="0" w:line="433" w:lineRule="auto"/>
        <w:tabs>
          <w:tab w:leader="none" w:pos="22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strategic advisor in connection with the Business Combination, (ii) sole F-34</w:t>
      </w:r>
    </w:p>
    <w:p>
      <w:pPr>
        <w:sectPr>
          <w:pgSz w:w="11900" w:h="16838" w:orient="portrait"/>
          <w:cols w:equalWidth="0" w:num="1">
            <w:col w:w="10984"/>
          </w:cols>
          <w:pgMar w:left="436" w:top="270" w:right="479" w:bottom="1440" w:gutter="0" w:footer="0" w:header="0"/>
        </w:sectPr>
      </w:pPr>
    </w:p>
    <w:bookmarkStart w:id="369" w:name="page370"/>
    <w:bookmarkEnd w:id="36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but KBCM has used reasonable best efforts to secure such a private placement, a fee of $500,000 promptly (but not later than two business days) following the closing of the Business Combination. Additionally, a sale transaction fee will be paid, calculated as the greater of $3,000,000 or 1% of the transaction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revenues of approximately $0.8 million, or approximately 97% of its total revenue, from sales to one minority stockholder. During the nine months ended September 30, 2024, the Company recognized revenues of approximately $1.5 million, or approximately 98% of its total revenue, from sales to two minority stockholders representing 77% and 21%, respectively. During the three and nine months ended September 30, 2023, the Company recognized revenues of approximately $0.6 million and $3.4 million, respectively, or 97% and nearly 100% of its total revenues, from sales to one minority stockholder. As of September 30, 2024 and December 31, 2023, there was zero and $0.5 million of accounts receivables from one of these customers, respectively, all of which was unbilled.</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7)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September 30, 2024, the related party 2023 Convertible Note and 2023 Convertible Note Warrants approximate $7.9 million and $0.5 million, respectively. As of December 31, 2023, the related party 2023 Convertible Note and 2023 Convertible Note Warrants approximate $7.3 million and $0.9 million, respectively. During the three and nine months ended September 30, 2024, the change in fair value for the 2023 Convertible Note and 2023 Convertible Note Warrants equaled $0.3 million and $0.6 million, respectively, and ($37,000) and ($0.4) million, respectively (see Note 4).</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zero percent of revenue for the three months ended September 30, 2024 and 2023, and 21% and zero percent of revenue for the nine months ended September 30, 2024 and 2023, respectively,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September 30, 2024, the related party P2P Note and P2P Warrants approximate $4.2 million and $0.2 million, respectively. As of December 31, 2023, the related party P2P Note and P2P Warrants approximate $3.9 million and $0.3 million, respectively. During the three and nine months ended September 30, 2024, the change in fair value for the P2P Note and P2P Warrants equaled ($17,000) and $0.4 million, and ($1,000) and ($13,000), respectively (see Note 4).</w:t>
      </w:r>
    </w:p>
    <w:p>
      <w:pPr>
        <w:spacing w:after="0" w:line="188"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revenue arrangement, representing 97% of total revenues for the three months ended September 30, 2024 and 2023, and 77% and nearly 100% of total revenues for the nine months ended September 30, 2024 and 2023, and zero percent and 98% of accounts receivable as of September 30, 2024 and December 31, 2023, respectively, also invested in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980"/>
          </w:cols>
          <w:pgMar w:left="440" w:top="270" w:right="479" w:bottom="1440" w:gutter="0" w:footer="0" w:header="0"/>
        </w:sectPr>
      </w:pPr>
    </w:p>
    <w:bookmarkStart w:id="370" w:name="page371"/>
    <w:bookmarkEnd w:id="370"/>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September 30, 2024, the fair value of the related party P2P Note and P2P Warrants approximate $0.5 million and $28,000, respectively. As of December 31, 2023, the related party P2P Note and P2P Warrants approximate $0.4 million and $29,000, respectively. During the three and nine months ended September 30, 2024, the change in fair value for the P2P Note equaled ($2,000) and $41,000, respectively (see Note 4). During the three and nine months ended September 30, 2024, the change in fair value for the P2P Note Warrants was immaterial (see Note 4).</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three and nine months ended September 30, 2024 and 2023:</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500" w:type="dxa"/>
            <w:vAlign w:val="bottom"/>
            <w:tcBorders>
              <w:top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50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20" w:type="dxa"/>
            <w:vAlign w:val="bottom"/>
          </w:tcPr>
          <w:p>
            <w:pPr>
              <w:spacing w:after="0"/>
              <w:rPr>
                <w:sz w:val="12"/>
                <w:szCs w:val="12"/>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(11,994)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(54,503)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(62,864)</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 net loss per share attributable to common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17,478,371</w:t>
            </w: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3,551,881</w:t>
            </w:r>
          </w:p>
        </w:tc>
        <w:tc>
          <w:tcPr>
            <w:tcW w:w="12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17,466,606</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3,551,881</w:t>
            </w:r>
          </w:p>
        </w:tc>
      </w:tr>
      <w:tr>
        <w:trPr>
          <w:trHeight w:val="198"/>
        </w:trPr>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for the three and nine months ended September 30, 2024 and 2023:</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20" w:type="dxa"/>
            <w:vAlign w:val="bottom"/>
          </w:tcPr>
          <w:p>
            <w:pPr>
              <w:spacing w:after="0"/>
              <w:rPr>
                <w:sz w:val="12"/>
                <w:szCs w:val="12"/>
                <w:color w:val="auto"/>
              </w:rPr>
            </w:pP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20" w:type="dxa"/>
            <w:vAlign w:val="bottom"/>
          </w:tcPr>
          <w:p>
            <w:pPr>
              <w:spacing w:after="0"/>
              <w:rPr>
                <w:sz w:val="12"/>
                <w:szCs w:val="12"/>
                <w:color w:val="auto"/>
              </w:rPr>
            </w:pPr>
          </w:p>
        </w:tc>
        <w:tc>
          <w:tcPr>
            <w:tcW w:w="1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2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220" w:type="dxa"/>
            <w:vAlign w:val="bottom"/>
          </w:tcPr>
          <w:p>
            <w:pPr>
              <w:spacing w:after="0"/>
              <w:rPr>
                <w:sz w:val="12"/>
                <w:szCs w:val="12"/>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16,330,351</w:t>
            </w:r>
          </w:p>
        </w:tc>
        <w:tc>
          <w:tcPr>
            <w:tcW w:w="6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16,444,551</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16,330,351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16,444,551</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4,799,856</w:t>
            </w:r>
          </w:p>
        </w:tc>
        <w:tc>
          <w:tcPr>
            <w:tcW w:w="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10,945,814</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4,799,856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10,945,814</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6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1,094,667</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756,172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764,330</w:t>
            </w:r>
          </w:p>
        </w:tc>
        <w:tc>
          <w:tcPr>
            <w:tcW w:w="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801,463</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764,330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801,463</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60" w:type="dxa"/>
            <w:vAlign w:val="bottom"/>
            <w:gridSpan w:val="3"/>
          </w:tcPr>
          <w:p>
            <w:pPr>
              <w:ind w:left="6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5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520" w:type="dxa"/>
            <w:vAlign w:val="bottom"/>
            <w:gridSpan w:val="2"/>
          </w:tcPr>
          <w:p>
            <w:pPr>
              <w:ind w:left="72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14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2,063</w:t>
            </w:r>
          </w:p>
        </w:tc>
        <w:tc>
          <w:tcPr>
            <w:tcW w:w="15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6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73,645,412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73,783,261</w:t>
            </w:r>
          </w:p>
        </w:tc>
        <w:tc>
          <w:tcPr>
            <w:tcW w:w="6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73,645,412</w:t>
            </w:r>
          </w:p>
        </w:tc>
        <w:tc>
          <w:tcPr>
            <w:tcW w:w="6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73,783,261</w:t>
            </w:r>
          </w:p>
        </w:tc>
        <w:tc>
          <w:tcPr>
            <w:tcW w:w="2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280" w:hanging="424"/>
        <w:spacing w:after="0" w:line="282" w:lineRule="auto"/>
        <w:tabs>
          <w:tab w:leader="none" w:pos="42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September 30, 2024 due to the variable settlement terms (see Note 8).</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4" w:right="980" w:firstLine="440"/>
        <w:spacing w:after="0" w:line="282"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24"/>
          </w:cols>
          <w:pgMar w:left="436" w:top="270" w:right="439" w:bottom="1440" w:gutter="0" w:footer="0" w:header="0"/>
        </w:sectPr>
      </w:pPr>
    </w:p>
    <w:bookmarkStart w:id="371" w:name="page372"/>
    <w:bookmarkEnd w:id="37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$0.2 million and $0.6 million, respectively and $0.1 million and $0.4 million, respectively in matching contributions for the three and nine months ended September 30,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September 30, 2024 and December 31, 2023, the related liability is included within accrued compensation on the condensed consolidated balance sheets.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11, 2024, the date on which these condensed consolidated financial statements were available to be issued and has determined that the following subsequent events are reportable other than those disclosed elsewhere in the condensed consolidated financial statements.</w:t>
      </w:r>
    </w:p>
    <w:p>
      <w:pPr>
        <w:spacing w:after="0" w:line="176"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On October 24, 2024, BurTech, Merger Sub, the Company and Burkhan entered into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64" w:lineRule="exact"/>
        <w:rPr>
          <w:sz w:val="20"/>
          <w:szCs w:val="20"/>
          <w:color w:val="auto"/>
        </w:rPr>
      </w:pPr>
    </w:p>
    <w:p>
      <w:pPr>
        <w:jc w:val="both"/>
        <w:ind w:right="180" w:firstLine="440"/>
        <w:spacing w:after="0" w:line="257" w:lineRule="auto"/>
        <w:rPr>
          <w:sz w:val="20"/>
          <w:szCs w:val="20"/>
          <w:color w:val="auto"/>
        </w:rPr>
      </w:pPr>
      <w:r>
        <w:rPr>
          <w:rFonts w:ascii="Times New Roman" w:cs="Times New Roman" w:eastAsia="Times New Roman" w:hAnsi="Times New Roman"/>
          <w:sz w:val="18"/>
          <w:szCs w:val="18"/>
          <w:color w:val="auto"/>
        </w:rPr>
        <w:t>On October 24, 2024, the Company’s Board of Directors approved the issuance of a total of 900,000 common stock options to a director and an executive officer. Additionally, contingent on shareholder approval for an increase in the number of shares issuable under the 2011 Amended Plan, the Board approved the issuance of 21,329,457 contingently exercisable common stock options and the cancellation of 135,400 restricted stock units.</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Finally, contingent upon the close of the proposed merger on or before December 31, 2024 and continued employment or services to the Company on the applicable grant date, the Board approved the issuance of 6,936,285 restricted stock units under the New Blaize equity plan.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00"/>
          </w:cols>
          <w:pgMar w:left="440" w:top="270" w:right="45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3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to “Blaize,” “we,” “us,” “our” and “the Company” in this section are to the business and operations of Blaize, Inc. prior to the Business Combination and to Blaize Holdings, Inc. following the consummation of the Business Combination.</w:t>
      </w:r>
    </w:p>
    <w:p>
      <w:pPr>
        <w:spacing w:after="0" w:line="281" w:lineRule="exact"/>
        <w:rPr>
          <w:sz w:val="20"/>
          <w:szCs w:val="20"/>
          <w:color w:val="auto"/>
        </w:rPr>
      </w:pPr>
    </w:p>
    <w:p>
      <w:pPr>
        <w:ind w:left="960" w:hanging="532"/>
        <w:spacing w:after="0"/>
        <w:tabs>
          <w:tab w:leader="none" w:pos="96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328" w:lineRule="exact"/>
        <w:rPr>
          <w:sz w:val="20"/>
          <w:szCs w:val="20"/>
          <w:color w:val="auto"/>
        </w:rPr>
      </w:pPr>
    </w:p>
    <w:p>
      <w:pPr>
        <w:ind w:left="960" w:hanging="532"/>
        <w:spacing w:after="0"/>
        <w:tabs>
          <w:tab w:leader="none" w:pos="9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 Combination</w:t>
      </w:r>
    </w:p>
    <w:p>
      <w:pPr>
        <w:spacing w:after="0" w:line="121"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equity exchange and financing related matters associated with the Business Combination are summarized as follows:</w:t>
      </w:r>
    </w:p>
    <w:p>
      <w:pPr>
        <w:spacing w:after="0" w:line="131" w:lineRule="exact"/>
        <w:rPr>
          <w:sz w:val="20"/>
          <w:szCs w:val="20"/>
          <w:color w:val="auto"/>
        </w:rPr>
      </w:pPr>
    </w:p>
    <w:p>
      <w:pPr>
        <w:ind w:left="960" w:right="160" w:hanging="532"/>
        <w:spacing w:after="0" w:line="256" w:lineRule="auto"/>
        <w:tabs>
          <w:tab w:leader="none" w:pos="9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73" w:name="page374"/>
    <w:bookmarkEnd w:id="373"/>
    <w:p>
      <w:pPr>
        <w:ind w:left="540" w:right="120" w:hanging="532"/>
        <w:spacing w:after="0" w:line="261"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w:t>
      </w:r>
    </w:p>
    <w:p>
      <w:pPr>
        <w:spacing w:after="0" w:line="85"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Company Base Merger Consideration, by (b) the Aggregate Company Shares (the “Per Company Share Merger Consideration”).</w:t>
      </w:r>
    </w:p>
    <w:p>
      <w:pPr>
        <w:spacing w:after="0" w:line="92"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w:t>
      </w:r>
    </w:p>
    <w:p>
      <w:pPr>
        <w:spacing w:after="0" w:line="97"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w:t>
      </w:r>
    </w:p>
    <w:p>
      <w:pPr>
        <w:spacing w:after="0" w:line="88" w:lineRule="exact"/>
        <w:rPr>
          <w:rFonts w:ascii="Times New Roman" w:cs="Times New Roman" w:eastAsia="Times New Roman" w:hAnsi="Times New Roman"/>
          <w:sz w:val="18"/>
          <w:szCs w:val="18"/>
          <w:color w:val="auto"/>
        </w:rPr>
      </w:pPr>
    </w:p>
    <w:p>
      <w:pPr>
        <w:ind w:left="540" w:right="380" w:hanging="532"/>
        <w:spacing w:after="0" w:line="255"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w:t>
      </w:r>
    </w:p>
    <w:p>
      <w:pPr>
        <w:spacing w:after="0" w:line="2" w:lineRule="exact"/>
        <w:rPr>
          <w:rFonts w:ascii="Times New Roman" w:cs="Times New Roman" w:eastAsia="Times New Roman" w:hAnsi="Times New Roman"/>
          <w:sz w:val="18"/>
          <w:szCs w:val="18"/>
          <w:color w:val="auto"/>
        </w:rPr>
      </w:pP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w:t>
      </w:r>
    </w:p>
    <w:p>
      <w:pPr>
        <w:spacing w:after="0" w:line="94" w:lineRule="exact"/>
        <w:rPr>
          <w:rFonts w:ascii="Times New Roman" w:cs="Times New Roman" w:eastAsia="Times New Roman" w:hAnsi="Times New Roman"/>
          <w:sz w:val="18"/>
          <w:szCs w:val="18"/>
          <w:color w:val="auto"/>
        </w:rPr>
      </w:pPr>
    </w:p>
    <w:p>
      <w:pPr>
        <w:ind w:left="540" w:right="60" w:hanging="532"/>
        <w:spacing w:after="0" w:line="266"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the Sponsor and BurTech entered into the Sponsor Forfeiture Agreement, whereby, conditioned on Closing, the Sponsor agrees to forfeit 2,000,000 Shares held by Sponsor (the “Forfeited Shares”), such forfeiture was effective immediately prior to the Closing.</w:t>
      </w:r>
    </w:p>
    <w:p>
      <w:pPr>
        <w:spacing w:after="0" w:line="81"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374" w:name="page375"/>
    <w:bookmarkEnd w:id="374"/>
    <w:p>
      <w:pPr>
        <w:ind w:left="56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w:t>
      </w:r>
    </w:p>
    <w:p>
      <w:pPr>
        <w:spacing w:after="0" w:line="93" w:lineRule="exact"/>
        <w:rPr>
          <w:sz w:val="20"/>
          <w:szCs w:val="20"/>
          <w:color w:val="auto"/>
        </w:rPr>
      </w:pPr>
    </w:p>
    <w:p>
      <w:pPr>
        <w:ind w:left="540" w:right="120" w:hanging="532"/>
        <w:spacing w:after="0" w:line="253" w:lineRule="auto"/>
        <w:tabs>
          <w:tab w:leader="none" w:pos="5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w:t>
      </w:r>
    </w:p>
    <w:p>
      <w:pPr>
        <w:spacing w:after="0" w:line="99"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through January 10,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w:t>
      </w:r>
    </w:p>
    <w:p>
      <w:pPr>
        <w:spacing w:after="0" w:line="92" w:lineRule="exact"/>
        <w:rPr>
          <w:rFonts w:ascii="Times New Roman" w:cs="Times New Roman" w:eastAsia="Times New Roman" w:hAnsi="Times New Roman"/>
          <w:sz w:val="18"/>
          <w:szCs w:val="18"/>
          <w:color w:val="auto"/>
        </w:rPr>
      </w:pPr>
    </w:p>
    <w:p>
      <w:pPr>
        <w:ind w:left="540" w:right="60" w:hanging="532"/>
        <w:spacing w:after="0" w:line="253" w:lineRule="auto"/>
        <w:tabs>
          <w:tab w:leader="none" w:pos="5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w:t>
      </w:r>
    </w:p>
    <w:p>
      <w:pPr>
        <w:spacing w:after="0" w:line="95" w:lineRule="exact"/>
        <w:rPr>
          <w:rFonts w:ascii="Times New Roman" w:cs="Times New Roman" w:eastAsia="Times New Roman" w:hAnsi="Times New Roman"/>
          <w:sz w:val="18"/>
          <w:szCs w:val="18"/>
          <w:color w:val="auto"/>
        </w:rPr>
      </w:pPr>
    </w:p>
    <w:p>
      <w:pPr>
        <w:ind w:left="540" w:right="240" w:hanging="532"/>
        <w:spacing w:after="0" w:line="282" w:lineRule="auto"/>
        <w:tabs>
          <w:tab w:leader="none" w:pos="5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occurring from September 30, 2024 through the date of Closing of (i) 241,120 BurTech public shares and removal of $2.8 million from the trust account, and (ii) 937,844 BurTech public shares and removal of $10.9 million from the trust account.</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60" w:top="270" w:right="479" w:bottom="1440" w:gutter="0" w:footer="0" w:header="0"/>
        </w:sectPr>
      </w:pPr>
    </w:p>
    <w:bookmarkStart w:id="375" w:name="page376"/>
    <w:bookmarkEnd w:id="375"/>
    <w:p>
      <w:pPr>
        <w:ind w:left="960" w:hanging="532"/>
        <w:spacing w:after="0"/>
        <w:tabs>
          <w:tab w:leader="none" w:pos="9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Other Material Transactions:</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Material transactions that could impact the financial information of the latest balance sheet date that are material to investors, include the following:</w:t>
      </w:r>
    </w:p>
    <w:p>
      <w:pPr>
        <w:spacing w:after="0" w:line="67" w:lineRule="exact"/>
        <w:rPr>
          <w:sz w:val="20"/>
          <w:szCs w:val="20"/>
          <w:color w:val="auto"/>
        </w:rPr>
      </w:pPr>
    </w:p>
    <w:p>
      <w:pPr>
        <w:ind w:left="960" w:hanging="532"/>
        <w:spacing w:after="0" w:line="261" w:lineRule="auto"/>
        <w:tabs>
          <w:tab w:leader="none" w:pos="9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issued or cancelled a net amount of 19,651,340 options from October 1, 2024 through the date of this filing.</w:t>
      </w:r>
    </w:p>
    <w:p>
      <w:pPr>
        <w:spacing w:after="0" w:line="370" w:lineRule="exact"/>
        <w:rPr>
          <w:sz w:val="20"/>
          <w:szCs w:val="20"/>
          <w:color w:val="auto"/>
        </w:rPr>
      </w:pPr>
    </w:p>
    <w:p>
      <w:pPr>
        <w:ind w:left="960" w:hanging="532"/>
        <w:spacing w:after="0"/>
        <w:tabs>
          <w:tab w:leader="none" w:pos="9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This unaudited pro forma condensed combined financial information should be read together with the historical financial statements and related notes of Blaize and BurTech, and other financial information included elsewhere in this prospectus.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Blaize has been determined to be the accounting acquirer of BurTech based on the following facts and circumstances:</w:t>
      </w:r>
    </w:p>
    <w:p>
      <w:pPr>
        <w:spacing w:after="0" w:line="131" w:lineRule="exact"/>
        <w:rPr>
          <w:sz w:val="20"/>
          <w:szCs w:val="20"/>
          <w:color w:val="auto"/>
        </w:rPr>
      </w:pPr>
    </w:p>
    <w:p>
      <w:pPr>
        <w:ind w:left="960" w:hanging="424"/>
        <w:spacing w:after="0"/>
        <w:tabs>
          <w:tab w:leader="none" w:pos="9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is the ongoing operations of the combined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will have the greatest voting interest in the combined entity, excluding option holder.</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most significant influence of any shareholder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Blaize Holdings, Inc., i.e. the combined entity assumed Blaize’s name.</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preponderance of evidence as described above is indicative that Blaize is the accounting acquirer of BurTech. Accordingly, the merger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328" w:lineRule="exact"/>
        <w:rPr>
          <w:sz w:val="20"/>
          <w:szCs w:val="20"/>
          <w:color w:val="auto"/>
        </w:rPr>
      </w:pPr>
    </w:p>
    <w:p>
      <w:pPr>
        <w:ind w:left="960" w:hanging="532"/>
        <w:spacing w:after="0"/>
        <w:tabs>
          <w:tab w:leader="none" w:pos="9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1,178,964 public shares and payment of transaction costs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376" w:name="page377"/>
    <w:bookmarkEnd w:id="376"/>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to the Merger are expected to be used for other general corporate purposes. Further, the unaudited pro forma condensed combined financial information does not purport to project the future operating results 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w:t>
      </w:r>
    </w:p>
    <w:p>
      <w:pPr>
        <w:spacing w:after="0" w:line="180"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Blaize Common Stock issued and outstanding immediately after the Business Combination and the related ownership percentages.</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1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 Pro Forma Combined Share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120" w:type="dxa"/>
            <w:vAlign w:val="bottom"/>
            <w:tcBorders>
              <w:bottom w:val="single" w:sz="8" w:color="auto"/>
            </w:tcBorders>
            <w:gridSpan w:val="4"/>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Ownership in Blaize</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2120" w:type="dxa"/>
            <w:vAlign w:val="bottom"/>
            <w:gridSpan w:val="4"/>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Stockholders</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55,571,107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BurTech Public Stockholders</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5,456,999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14,456,132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Final Closing Lenders</w:t>
            </w:r>
            <w:r>
              <w:rPr>
                <w:rFonts w:ascii="Times New Roman" w:cs="Times New Roman" w:eastAsia="Times New Roman" w:hAnsi="Times New Roman"/>
                <w:sz w:val="25"/>
                <w:szCs w:val="25"/>
                <w:color w:val="auto"/>
                <w:vertAlign w:val="superscript"/>
              </w:rPr>
              <w:t>(4)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25,673,479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 at Closing</w:t>
            </w:r>
          </w:p>
        </w:tc>
        <w:tc>
          <w:tcPr>
            <w:tcW w:w="1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00" w:hanging="424"/>
        <w:spacing w:after="0" w:line="253" w:lineRule="auto"/>
        <w:tabs>
          <w:tab w:leader="none" w:pos="42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Blaize Stockholders is comprised of (i) the exchange of the 17,518,791 issued and outstanding Blaize Common Stock for 13,663,527 shares of Blaize Class A Common Stock, which gives effect to 36,617 shares that have been issued since September 30, 2024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w:t>
      </w:r>
    </w:p>
    <w:p>
      <w:pPr>
        <w:spacing w:after="0" w:line="5"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of Blaize Common Stock or common stock equivalent upon the Closing of the Business Combination.</w:t>
      </w:r>
    </w:p>
    <w:p>
      <w:pPr>
        <w:spacing w:after="0" w:line="99" w:lineRule="exact"/>
        <w:rPr>
          <w:sz w:val="20"/>
          <w:szCs w:val="20"/>
          <w:color w:val="auto"/>
        </w:rPr>
      </w:pPr>
    </w:p>
    <w:p>
      <w:pPr>
        <w:ind w:left="444" w:right="420"/>
        <w:spacing w:after="0" w:line="257" w:lineRule="auto"/>
        <w:rPr>
          <w:sz w:val="20"/>
          <w:szCs w:val="20"/>
          <w:color w:val="auto"/>
        </w:rPr>
      </w:pPr>
      <w:r>
        <w:rPr>
          <w:rFonts w:ascii="Times New Roman" w:cs="Times New Roman" w:eastAsia="Times New Roman" w:hAnsi="Times New Roman"/>
          <w:sz w:val="18"/>
          <w:szCs w:val="18"/>
          <w:color w:val="auto"/>
        </w:rPr>
        <w:t>The number of shares held by the Blaize Stockholders does not include (i) 4,070,299 shares of Blaize Class A Common Stock that are issued related to the conversion of the BurTech Notes or (ii) 21,173,479 shares of Blaize Class A Common Stock held by the Blaize Final Closing Lenders.</w:t>
      </w:r>
    </w:p>
    <w:p>
      <w:pPr>
        <w:spacing w:after="0" w:line="1" w:lineRule="exact"/>
        <w:rPr>
          <w:sz w:val="20"/>
          <w:szCs w:val="20"/>
          <w:color w:val="auto"/>
        </w:rPr>
      </w:pPr>
    </w:p>
    <w:p>
      <w:pPr>
        <w:ind w:left="424" w:right="300" w:hanging="424"/>
        <w:spacing w:after="0" w:line="250" w:lineRule="auto"/>
        <w:tabs>
          <w:tab w:leader="none" w:pos="42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BurTech Public Stockholders is determined by adding (i) 3,166,699 shares remaining after giving effect to redemptions, (ii) 1,540,300 shares that are issued associated with the PIPE, and (iii) 750,000 shares that are issued associated with the Sponsor Note Shares.</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Sponsor and related parties is determined by adding (i) the Sponsor’s holdings of 10,385,750 BurTech’s Redeemable Class A Common Stock at September 30,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w:t>
      </w:r>
    </w:p>
    <w:p>
      <w:pPr>
        <w:spacing w:after="0" w:line="1" w:lineRule="exact"/>
        <w:rPr>
          <w:rFonts w:ascii="Times New Roman" w:cs="Times New Roman" w:eastAsia="Times New Roman" w:hAnsi="Times New Roman"/>
          <w:sz w:val="18"/>
          <w:szCs w:val="18"/>
          <w:color w:val="auto"/>
        </w:rPr>
      </w:pPr>
    </w:p>
    <w:p>
      <w:pPr>
        <w:ind w:left="424" w:right="120" w:hanging="424"/>
        <w:spacing w:after="0" w:line="260" w:lineRule="auto"/>
        <w:tabs>
          <w:tab w:leader="none" w:pos="42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in Blaize Common Stock, attributable to existing holdings in BurTech Class A Common Stock that is held by underwriters associated with BurTech’s initial public offering.</w:t>
      </w:r>
    </w:p>
    <w:p>
      <w:pPr>
        <w:spacing w:after="0" w:line="181"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table above excludes Blaize shares associated with (i) Blaize Options, (ii) Blaize RSUs, (iii) any potential Blaize Earnout Shares and (iv) Public and Private Warrants.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77" w:name="page378"/>
    <w:bookmarkEnd w:id="3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68,640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(5,560)</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63,080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33,055</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33,122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(including related parties of $0)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4,221</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(49,915)</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90,660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 STOCKHOLDERS’ DEFICIT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4(E)</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(2,692)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(2,164)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(15,977)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notes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4(Q)</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78" w:name="page379"/>
    <w:bookmarkEnd w:id="3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00" w:type="dxa"/>
            <w:vAlign w:val="bottom"/>
          </w:tcPr>
          <w:p>
            <w:pPr>
              <w:spacing w:after="0"/>
              <w:rPr>
                <w:sz w:val="10"/>
                <w:szCs w:val="10"/>
                <w:color w:val="auto"/>
              </w:rPr>
            </w:pPr>
          </w:p>
        </w:tc>
        <w:tc>
          <w:tcPr>
            <w:tcW w:w="70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80" w:type="dxa"/>
            <w:vAlign w:val="bottom"/>
            <w:gridSpan w:val="2"/>
          </w:tcPr>
          <w:p>
            <w:pPr>
              <w:jc w:val="center"/>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4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2"/>
            <w:vMerge w:val="continue"/>
          </w:tcPr>
          <w:p>
            <w:pPr>
              <w:spacing w:after="0"/>
              <w:rPr>
                <w:sz w:val="15"/>
                <w:szCs w:val="15"/>
                <w:color w:val="auto"/>
              </w:rPr>
            </w:pPr>
          </w:p>
        </w:tc>
        <w:tc>
          <w:tcPr>
            <w:tcW w:w="1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20" w:type="dxa"/>
            <w:vAlign w:val="bottom"/>
            <w:gridSpan w:val="2"/>
            <w:vMerge w:val="continue"/>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liability</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87,777</w:t>
            </w:r>
          </w:p>
        </w:tc>
        <w:tc>
          <w:tcPr>
            <w:tcW w:w="8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4(H)</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4(I)</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148,551</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(148,551)</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4(G)</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4(J)</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(93,352)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115,781</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Commitments and contingencies Convertible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173,347</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(173,347)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4(K)</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49,495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(49,495)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4(L)</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BurTech Acquisition Corp. Class A Ordinary</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 4(M)</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BurTech Acquisition Corp. Class B Ordinary</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Holdings, Inc. common stock</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4(N)</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142,618</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622,527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4(O)</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765,145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(422,559)</w:t>
            </w: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8,563</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(324,610)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(758,436)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(279,941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(19,829)</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297,926</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90,660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50,108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(18,268)</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$ 122,500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79" w:name="page380"/>
    <w:bookmarkEnd w:id="37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 FOR THE YEAR ENDED DECEMBER 31, 2023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BurTech</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gridSpan w:val="3"/>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80" w:type="dxa"/>
            <w:vAlign w:val="bottom"/>
            <w:gridSpan w:val="3"/>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940" w:type="dxa"/>
            <w:vAlign w:val="bottom"/>
            <w:gridSpan w:val="3"/>
            <w:vMerge w:val="continue"/>
          </w:tcPr>
          <w:p>
            <w:pPr>
              <w:spacing w:after="0"/>
              <w:rPr>
                <w:sz w:val="15"/>
                <w:szCs w:val="15"/>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$3,840)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7,162</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25,277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3,385</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6,754</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27,442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12,596</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(3,385)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(26,512)</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2023 convertible notes</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Gain on foreign exchange transactions</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(237,402)</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(89,549)</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5,752</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(5,752)</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5(E)</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5,752</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(332,703)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1,028</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9"/>
              </w:rPr>
              <w:t>4,213,244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21,453,551</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center"/>
              <w:ind w:left="413"/>
              <w:spacing w:after="0"/>
              <w:rPr>
                <w:sz w:val="20"/>
                <w:szCs w:val="20"/>
                <w:color w:val="auto"/>
              </w:rPr>
            </w:pPr>
            <w:r>
              <w:rPr>
                <w:rFonts w:ascii="Times New Roman" w:cs="Times New Roman" w:eastAsia="Times New Roman" w:hAnsi="Times New Roman"/>
                <w:sz w:val="18"/>
                <w:szCs w:val="18"/>
                <w:color w:val="auto"/>
                <w:w w:val="95"/>
              </w:rPr>
              <w:t>0.06</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0" w:name="page381"/>
    <w:bookmarkEnd w:id="38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 FOR THE NINE MONTHS ENDED SEPTEMBER 30, 2024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BurTech</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6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940" w:type="dxa"/>
            <w:vAlign w:val="bottom"/>
            <w:gridSpan w:val="3"/>
            <w:vMerge w:val="continue"/>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$1,525)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6,862</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5,273</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12,135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46,854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(25,921)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25,921</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6(B)</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(1,255)</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447</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(1,892)</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6(D)</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23,221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6"/>
              </w:rPr>
              <w:t>17,466,606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15,162,663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1" w:name="page382"/>
    <w:bookmarkEnd w:id="381"/>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Blaize as of September 30, 2024 assumes that the transactions occurred on September 30, 2024. The unaudited pro forma condensed combined statement of operations of Blaize for the year ended December 31, 2023 and for the nine months ended September 30, 2024 presents pro forma effect to the transactions as if it had been completed on January 1, 2023.</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2024 and unaudited pro forma condensed combined statement of operations for the nine months ended September 30, 2024 has been prepared using, and should be read in conjunction with, the following:</w:t>
      </w:r>
    </w:p>
    <w:p>
      <w:pPr>
        <w:spacing w:after="0" w:line="67" w:lineRule="exact"/>
        <w:rPr>
          <w:sz w:val="20"/>
          <w:szCs w:val="20"/>
          <w:color w:val="auto"/>
        </w:rPr>
      </w:pPr>
    </w:p>
    <w:p>
      <w:pPr>
        <w:ind w:left="960" w:hanging="424"/>
        <w:spacing w:after="0" w:line="282" w:lineRule="auto"/>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BurTech for the three and nine months ended September 30, 2024 and the related notes, included elsewhere in this prospectus; and</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Blaize for the three and nine months ended September 30, 2024 and the related notes, included elsewhere in this prospectus.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2023 has been prepared using, and should be read in conjunction with, the following:</w:t>
      </w:r>
    </w:p>
    <w:p>
      <w:pPr>
        <w:spacing w:after="0" w:line="67" w:lineRule="exact"/>
        <w:rPr>
          <w:sz w:val="20"/>
          <w:szCs w:val="20"/>
          <w:color w:val="auto"/>
        </w:rPr>
      </w:pPr>
    </w:p>
    <w:p>
      <w:pPr>
        <w:ind w:left="960" w:right="480" w:hanging="424"/>
        <w:spacing w:after="0" w:line="282" w:lineRule="auto"/>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BurTech for the year ended December 31, 2023 and the related notes, included elsewhere in this prospectus; and</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Blaize for the year ended December 31, 2023 and the related notes, included elsewhere in this prospectus.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other material transactions and has been prepared for informational purposes only.</w:t>
      </w:r>
    </w:p>
    <w:p>
      <w:pPr>
        <w:spacing w:after="0" w:line="162" w:lineRule="exact"/>
        <w:rPr>
          <w:sz w:val="20"/>
          <w:szCs w:val="20"/>
          <w:color w:val="auto"/>
        </w:rPr>
      </w:pPr>
    </w:p>
    <w:p>
      <w:pPr>
        <w:ind w:right="220" w:firstLine="440"/>
        <w:spacing w:after="0" w:line="274"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382" w:name="page383"/>
    <w:bookmarkEnd w:id="382"/>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pro forma condensed combined provision for income taxes does not necessarily reflect the amounts that would have resulted had Blaize filed consolidated income tax returns during the periods presented.</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amounts presented in the unaudited pro forma condensed combined statements of operations are based upon the number of Blaize shares outstanding, assuming the Business Combination occurred on January 1, 2023.</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 and In-Process Accounting Analysis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w:t>
      </w:r>
    </w:p>
    <w:p>
      <w:pPr>
        <w:spacing w:after="0" w:line="94" w:lineRule="exact"/>
        <w:rPr>
          <w:sz w:val="20"/>
          <w:szCs w:val="20"/>
          <w:color w:val="auto"/>
        </w:rPr>
      </w:pPr>
    </w:p>
    <w:p>
      <w:pPr>
        <w:ind w:left="960" w:right="360" w:hanging="424"/>
        <w:spacing w:after="0" w:line="282" w:lineRule="auto"/>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480 — Distinguishing Liabilities from Equity — if the instrument is treated as a liability, it will be recognized at fair value upon issuance and each reporting period with changes in fair value recognized in income</w:t>
      </w:r>
    </w:p>
    <w:p>
      <w:pPr>
        <w:spacing w:after="0" w:line="67" w:lineRule="exact"/>
        <w:rPr>
          <w:rFonts w:ascii="Times New Roman" w:cs="Times New Roman" w:eastAsia="Times New Roman" w:hAnsi="Times New Roman"/>
          <w:sz w:val="18"/>
          <w:szCs w:val="18"/>
          <w:color w:val="auto"/>
        </w:rPr>
      </w:pPr>
    </w:p>
    <w:p>
      <w:pPr>
        <w:ind w:left="960" w:right="240" w:hanging="424"/>
        <w:spacing w:after="0" w:line="289" w:lineRule="auto"/>
        <w:tabs>
          <w:tab w:leader="none" w:pos="96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w:t>
      </w:r>
    </w:p>
    <w:p>
      <w:pPr>
        <w:spacing w:after="0" w:line="15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not yet completed a valuation to determine the fair value of the instrument and results of the accounting may be material to the post-combination entity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3 — Adjustments to Unaudited Pro Forma Condensed Combined Financial Information for Other Material Events</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Subsequent to September 30, 2024, BurTech has had certain events occur, or that were probable of occurring, that are considered material to investors.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BurTech Material Event Adjustments </w:t>
      </w:r>
      <w:r>
        <w:rPr>
          <w:rFonts w:ascii="Times New Roman" w:cs="Times New Roman" w:eastAsia="Times New Roman" w:hAnsi="Times New Roman"/>
          <w:sz w:val="18"/>
          <w:szCs w:val="18"/>
          <w:color w:val="auto"/>
        </w:rPr>
        <w:t>— BurTech adjustments include:</w:t>
      </w:r>
    </w:p>
    <w:p>
      <w:pPr>
        <w:spacing w:after="0" w:line="133" w:lineRule="exact"/>
        <w:rPr>
          <w:sz w:val="20"/>
          <w:szCs w:val="20"/>
          <w:color w:val="auto"/>
        </w:rPr>
      </w:pPr>
    </w:p>
    <w:p>
      <w:pPr>
        <w:ind w:left="960" w:right="60" w:hanging="532"/>
        <w:spacing w:after="0" w:line="261" w:lineRule="auto"/>
        <w:tabs>
          <w:tab w:leader="none" w:pos="9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w:t>
      </w:r>
    </w:p>
    <w:p>
      <w:pPr>
        <w:spacing w:after="0" w:line="12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pro forma Blaize and Transaction Accounting Adjustments, based on preliminary estimates that could change materially as additional information is obtained, are as follows:</w:t>
      </w:r>
    </w:p>
    <w:p>
      <w:pPr>
        <w:spacing w:after="0" w:line="65" w:lineRule="exact"/>
        <w:rPr>
          <w:sz w:val="20"/>
          <w:szCs w:val="20"/>
          <w:color w:val="auto"/>
        </w:rPr>
      </w:pPr>
    </w:p>
    <w:p>
      <w:pPr>
        <w:ind w:left="960" w:right="40" w:hanging="532"/>
        <w:spacing w:after="0" w:line="284" w:lineRule="auto"/>
        <w:tabs>
          <w:tab w:leader="none" w:pos="9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Reflects the Transaction Accounting Adjustments impact of the Business Combination on the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balance of Blaize. The table below summarizes the pro forma adjustments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9"/>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funds held in the Trust Account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36,278</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costs and other costs</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4(A)(ii)</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(19,022)</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BurTech related party notes and advance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4(A)(iii)</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(3,664)</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underwriting fee payable</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4(A)(iv)</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PIPE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4(A)(v)</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15,403</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restricted cash</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4(A)(vi)</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(33,055)</w:t>
            </w: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Cash and cash equivalents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0" w:hanging="439"/>
        <w:spacing w:after="0" w:line="258" w:lineRule="auto"/>
        <w:tabs>
          <w:tab w:leader="none" w:pos="14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release of $36.3 million of funds held in the Trust Account upon the Closing of the Business Combination subsequent to redemptions. After giving effect to the $33.1 million reclassification of funds to restricted cash pursuant to Note 4(R),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remaining funds will be made available for the ongoing operations of Blaize as cash and cash equivalents.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for the corresponding pro forma adjusting entries for the decrease of funds held in the Trust Account.</w:t>
      </w:r>
    </w:p>
    <w:p>
      <w:pPr>
        <w:spacing w:after="0" w:line="88"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$19.0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w:t>
      </w:r>
    </w:p>
    <w:p>
      <w:pPr>
        <w:spacing w:after="0" w:line="67" w:lineRule="exact"/>
        <w:rPr>
          <w:rFonts w:ascii="Times New Roman" w:cs="Times New Roman" w:eastAsia="Times New Roman" w:hAnsi="Times New Roman"/>
          <w:sz w:val="18"/>
          <w:szCs w:val="18"/>
          <w:color w:val="auto"/>
        </w:rPr>
      </w:pPr>
    </w:p>
    <w:p>
      <w:pPr>
        <w:ind w:left="14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$19.0 million estimated transaction costs, approximately $11.4 million are incurred by BurTech. $2.3 million of BurTech’s total $11.4 million transaction costs were included on BurTech’s historical balance sheet as of September 30, 2024 as a component of BurTech’s accrued expenses and other current liabilities balance. See Note 4(E), </w:t>
      </w:r>
      <w:r>
        <w:rPr>
          <w:rFonts w:ascii="Times New Roman" w:cs="Times New Roman" w:eastAsia="Times New Roman" w:hAnsi="Times New Roman"/>
          <w:sz w:val="18"/>
          <w:szCs w:val="18"/>
          <w:i w:val="1"/>
          <w:iCs w:val="1"/>
          <w:color w:val="auto"/>
        </w:rPr>
        <w:t>Accounts payable and accrued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the corresponding pro forma adjusting entries. The approximate remaining amount of $9.1 million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costs incurred by BurTech. These amounts exclude the $1.5 million of BurTech’s transaction costs relating to the deferred underwriting fees described in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4(J), </w:t>
      </w:r>
      <w:r>
        <w:rPr>
          <w:rFonts w:ascii="Times New Roman" w:cs="Times New Roman" w:eastAsia="Times New Roman" w:hAnsi="Times New Roman"/>
          <w:sz w:val="18"/>
          <w:szCs w:val="18"/>
          <w:i w:val="1"/>
          <w:iCs w:val="1"/>
          <w:color w:val="auto"/>
        </w:rPr>
        <w:t>Deferred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384" w:name="page385"/>
    <w:bookmarkEnd w:id="384"/>
    <w:p>
      <w:pPr>
        <w:ind w:left="1000"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of September 30, 2024, $0.9 million of Blaize’s total $7.6 million in expected transaction costs were accrued on the historical balance sheet of Blaize as a component of Blaize’s accounts payable and accrued expense balances. See Note 4(E),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 and accrued and other current liabilities</w:t>
      </w:r>
      <w:r>
        <w:rPr>
          <w:rFonts w:ascii="Times New Roman" w:cs="Times New Roman" w:eastAsia="Times New Roman" w:hAnsi="Times New Roman"/>
          <w:sz w:val="18"/>
          <w:szCs w:val="18"/>
          <w:color w:val="auto"/>
        </w:rPr>
        <w:t>, for the corresponding pro forma adjusting entries. The approximate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$6.7 million consists of transaction costs incurred by Blaize (see Note 4(O)(i)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 (ii),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$5.6 million and $1.1 million change to Blaize’s additional paid-in capital and accumulated deficit balances).</w:t>
      </w:r>
    </w:p>
    <w:p>
      <w:pPr>
        <w:spacing w:after="0" w:line="93" w:lineRule="exact"/>
        <w:rPr>
          <w:sz w:val="20"/>
          <w:szCs w:val="20"/>
          <w:color w:val="auto"/>
        </w:rPr>
      </w:pPr>
    </w:p>
    <w:p>
      <w:pPr>
        <w:ind w:left="1000" w:right="280" w:hanging="439"/>
        <w:spacing w:after="0" w:line="266" w:lineRule="auto"/>
        <w:tabs>
          <w:tab w:leader="none" w:pos="10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settlement of certain convertible working capital loans from the Sponsor to BurTech in the amount of $1.5 million and the settlement of advance from the Sponsor to BurTech in the amount $2.2 million. The convertible promissory notes were settled in cash, rather than converted to Blaize equity.</w:t>
      </w:r>
    </w:p>
    <w:p>
      <w:pPr>
        <w:spacing w:after="0" w:line="81"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payment of deferred underwriting commissions incurred during BurTech’s IPO, which was settled in cash, in the amount of $1.5 million. See Note 4(J), </w:t>
      </w:r>
      <w:r>
        <w:rPr>
          <w:rFonts w:ascii="Times New Roman" w:cs="Times New Roman" w:eastAsia="Times New Roman" w:hAnsi="Times New Roman"/>
          <w:sz w:val="18"/>
          <w:szCs w:val="18"/>
          <w:i w:val="1"/>
          <w:iCs w:val="1"/>
          <w:color w:val="auto"/>
        </w:rPr>
        <w:t>Deferred underwriting commissions</w:t>
      </w:r>
      <w:r>
        <w:rPr>
          <w:rFonts w:ascii="Times New Roman" w:cs="Times New Roman" w:eastAsia="Times New Roman" w:hAnsi="Times New Roman"/>
          <w:sz w:val="18"/>
          <w:szCs w:val="18"/>
          <w:color w:val="auto"/>
        </w:rPr>
        <w:t>, for the corresponding pro forma adjusting entries.</w:t>
      </w:r>
    </w:p>
    <w:p>
      <w:pPr>
        <w:spacing w:after="0" w:line="67" w:lineRule="exact"/>
        <w:rPr>
          <w:rFonts w:ascii="Times New Roman" w:cs="Times New Roman" w:eastAsia="Times New Roman" w:hAnsi="Times New Roman"/>
          <w:sz w:val="18"/>
          <w:szCs w:val="18"/>
          <w:color w:val="auto"/>
        </w:rPr>
      </w:pPr>
    </w:p>
    <w:p>
      <w:pPr>
        <w:ind w:left="1000" w:right="60" w:hanging="439"/>
        <w:spacing w:after="0" w:line="266" w:lineRule="auto"/>
        <w:tabs>
          <w:tab w:leader="none" w:pos="10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proceeds of $15.4 million from the issuance and sale of 1.5 million shares of Blaize common stock, with a per share par value of $0.0001, at $10.00 per share pursuant to the PIPE Investment. See Note 4(O)(x),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60" w:hanging="439"/>
        <w:spacing w:after="0" w:line="261" w:lineRule="auto"/>
        <w:tabs>
          <w:tab w:leader="none" w:pos="10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for the corresponding pro forma adjusting entries.</w:t>
      </w:r>
    </w:p>
    <w:p>
      <w:pPr>
        <w:spacing w:after="0" w:line="83" w:lineRule="exact"/>
        <w:rPr>
          <w:rFonts w:ascii="Times New Roman" w:cs="Times New Roman" w:eastAsia="Times New Roman" w:hAnsi="Times New Roman"/>
          <w:sz w:val="18"/>
          <w:szCs w:val="18"/>
          <w:color w:val="auto"/>
        </w:rPr>
      </w:pPr>
    </w:p>
    <w:p>
      <w:pPr>
        <w:ind w:left="540" w:right="40" w:hanging="532"/>
        <w:spacing w:after="0" w:line="284"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Receivable and payable reflects the amount due to be reimbursed to the Trust Account from the Sponsor.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assumes settlement of these amounts upon execution of the Business Combination and settlement of the Trust Account.</w:t>
      </w:r>
    </w:p>
    <w:p>
      <w:pPr>
        <w:spacing w:after="0" w:line="63" w:lineRule="exact"/>
        <w:rPr>
          <w:rFonts w:ascii="Times New Roman" w:cs="Times New Roman" w:eastAsia="Times New Roman" w:hAnsi="Times New Roman"/>
          <w:sz w:val="18"/>
          <w:szCs w:val="18"/>
          <w:color w:val="auto"/>
        </w:rPr>
      </w:pPr>
    </w:p>
    <w:p>
      <w:pPr>
        <w:ind w:left="540" w:right="200" w:hanging="532"/>
        <w:spacing w:after="0" w:line="256"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Prepaid expenses and other current assets — </w:t>
      </w:r>
      <w:r>
        <w:rPr>
          <w:rFonts w:ascii="Times New Roman" w:cs="Times New Roman" w:eastAsia="Times New Roman" w:hAnsi="Times New Roman"/>
          <w:sz w:val="18"/>
          <w:szCs w:val="18"/>
          <w:color w:val="auto"/>
        </w:rPr>
        <w:t>Reflects (i) the reclassification of $4.5 million of transaction costs incurred by Blaize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conjunction with the Business Combination and which are capitalized within Blaize’s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Additionally, reflects the (ii) $8.8 million note receivable related to the Sponsor Note for which BurTech issued 750 thousand shares of New Blaize common stock pursuant to the Sponsor Note Issuance. See Note 4(O)(ii) and (x),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160" w:hanging="532"/>
        <w:spacing w:after="0" w:line="261"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held in the Trust Account — </w:t>
      </w:r>
      <w:r>
        <w:rPr>
          <w:rFonts w:ascii="Times New Roman" w:cs="Times New Roman" w:eastAsia="Times New Roman" w:hAnsi="Times New Roman"/>
          <w:sz w:val="18"/>
          <w:szCs w:val="18"/>
          <w:color w:val="auto"/>
        </w:rPr>
        <w:t>Represents the reclassification of $36.3 million of funds associated with the Investments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Trust Account that become available at the Closing of the Business Combination after giving effect to the impact of redemptions of BurTech’s Class A Redeemable Common Stock amounting to $13.6 million. See Note 4(A)(i),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4(L), </w:t>
      </w:r>
      <w:r>
        <w:rPr>
          <w:rFonts w:ascii="Times New Roman" w:cs="Times New Roman" w:eastAsia="Times New Roman" w:hAnsi="Times New Roman"/>
          <w:sz w:val="18"/>
          <w:szCs w:val="18"/>
          <w:i w:val="1"/>
          <w:iCs w:val="1"/>
          <w:color w:val="auto"/>
        </w:rPr>
        <w:t xml:space="preserve">Class A Common Stock subject to redemption </w:t>
      </w:r>
      <w:r>
        <w:rPr>
          <w:rFonts w:ascii="Times New Roman" w:cs="Times New Roman" w:eastAsia="Times New Roman" w:hAnsi="Times New Roman"/>
          <w:sz w:val="18"/>
          <w:szCs w:val="18"/>
          <w:color w:val="auto"/>
        </w:rPr>
        <w:t>and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payable and accrued and other current liabilities </w:t>
      </w:r>
      <w:r>
        <w:rPr>
          <w:rFonts w:ascii="Times New Roman" w:cs="Times New Roman" w:eastAsia="Times New Roman" w:hAnsi="Times New Roman"/>
          <w:sz w:val="18"/>
          <w:szCs w:val="18"/>
          <w:color w:val="auto"/>
        </w:rPr>
        <w:t>— Reflects the payment of $2.3 million of nonrecurring transaction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by BurTech for legal services settled prior to, or upon, the Closing of the Business Combination. Additionally, reflects the payment of $0.9 million of nonrecurring transaction costs incurred by Blaize for financial advisory, legal, and other professional services settled prior to, or upon, the Closing of the Business Combination. See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60" w:top="270" w:right="459" w:bottom="1440" w:gutter="0" w:footer="0" w:header="0"/>
        </w:sectPr>
      </w:pPr>
    </w:p>
    <w:bookmarkStart w:id="385" w:name="page386"/>
    <w:bookmarkEnd w:id="385"/>
    <w:p>
      <w:pPr>
        <w:ind w:left="540" w:right="20" w:hanging="532"/>
        <w:spacing w:after="0" w:line="261"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BurTech advances and working capital loans </w:t>
      </w:r>
      <w:r>
        <w:rPr>
          <w:rFonts w:ascii="Times New Roman" w:cs="Times New Roman" w:eastAsia="Times New Roman" w:hAnsi="Times New Roman"/>
          <w:sz w:val="18"/>
          <w:szCs w:val="18"/>
          <w:color w:val="auto"/>
        </w:rPr>
        <w:t>— Represents the settlement of certain convertible working capital loans from the Sponsor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BurTech in the amount of $1.5 million and the settlement of advance from the Sponsor to BurTech in the amount $2.2 million. The convertible promissory notes were settled in cash, rather than converted to BurTech equity, and paid off with funds from the Merger. See Note 4(A)(iii),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 Immediately prior to the closing of the Business Combination, all outstanding amounts of the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$246.9 million. See Note 4(P)(iii)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for corresponding pro forma entries. The remeasured value of $411.5 million was reclassified into additional paid in capital, see Note 4(O)(iii)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w:t>
      </w:r>
    </w:p>
    <w:p>
      <w:pPr>
        <w:spacing w:after="0" w:line="90" w:lineRule="exact"/>
        <w:rPr>
          <w:rFonts w:ascii="Times New Roman" w:cs="Times New Roman" w:eastAsia="Times New Roman" w:hAnsi="Times New Roman"/>
          <w:sz w:val="18"/>
          <w:szCs w:val="18"/>
          <w:color w:val="auto"/>
        </w:rPr>
      </w:pPr>
    </w:p>
    <w:p>
      <w:pPr>
        <w:ind w:left="540" w:right="280" w:hanging="532"/>
        <w:spacing w:after="0" w:line="267"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Earnout shares liability </w:t>
      </w:r>
      <w:r>
        <w:rPr>
          <w:rFonts w:ascii="Times New Roman" w:cs="Times New Roman" w:eastAsia="Times New Roman" w:hAnsi="Times New Roman"/>
          <w:sz w:val="18"/>
          <w:szCs w:val="18"/>
          <w:color w:val="auto"/>
        </w:rPr>
        <w:t>— Reflects the preliminary estimated fair value of liability classified Blaize Equityholders’ Earnout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$87.8 million as of September 30, 2024, with a corresponding decrease of $87.8 million to additional paid-in capital. See Note 4(O)(iv)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 For further information on the earnout shares, see Note 7.</w:t>
      </w:r>
    </w:p>
    <w:p>
      <w:pPr>
        <w:spacing w:after="0" w:line="78" w:lineRule="exact"/>
        <w:rPr>
          <w:rFonts w:ascii="Times New Roman" w:cs="Times New Roman" w:eastAsia="Times New Roman" w:hAnsi="Times New Roman"/>
          <w:sz w:val="18"/>
          <w:szCs w:val="18"/>
          <w:color w:val="auto"/>
        </w:rPr>
      </w:pPr>
    </w:p>
    <w:p>
      <w:pPr>
        <w:ind w:left="540" w:right="60" w:hanging="532"/>
        <w:spacing w:after="0" w:line="257"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 Immediately prior to the Effective Time, the outstanding Blaize warrants were automatically net exercised in full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Blaize Common Stock or such warrants expired. Pro forma adjustment reflects (i) the final remeasurement to fair value of $90.5 million and (ii) the elimination of a liability of $98.2 million associated with such warrant liabilities which 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paid-in capital, </w:t>
      </w:r>
      <w:r>
        <w:rPr>
          <w:rFonts w:ascii="Times New Roman" w:cs="Times New Roman" w:eastAsia="Times New Roman" w:hAnsi="Times New Roman"/>
          <w:sz w:val="18"/>
          <w:szCs w:val="18"/>
          <w:color w:val="auto"/>
        </w:rPr>
        <w:t>and Note 4(P)(iv),</w:t>
      </w:r>
      <w:r>
        <w:rPr>
          <w:rFonts w:ascii="Times New Roman" w:cs="Times New Roman" w:eastAsia="Times New Roman" w:hAnsi="Times New Roman"/>
          <w:sz w:val="18"/>
          <w:szCs w:val="18"/>
          <w:i w:val="1"/>
          <w:iCs w:val="1"/>
          <w:color w:val="auto"/>
        </w:rPr>
        <w:t xml:space="preserve"> Accumulated deficit</w:t>
      </w:r>
      <w:r>
        <w:rPr>
          <w:rFonts w:ascii="Times New Roman" w:cs="Times New Roman" w:eastAsia="Times New Roman" w:hAnsi="Times New Roman"/>
          <w:sz w:val="18"/>
          <w:szCs w:val="18"/>
          <w:color w:val="auto"/>
        </w:rPr>
        <w:t>, for the corresponding pro forma adjusting entries.</w:t>
      </w:r>
    </w:p>
    <w:p>
      <w:pPr>
        <w:spacing w:after="0" w:line="87" w:lineRule="exact"/>
        <w:rPr>
          <w:rFonts w:ascii="Times New Roman" w:cs="Times New Roman" w:eastAsia="Times New Roman" w:hAnsi="Times New Roman"/>
          <w:sz w:val="18"/>
          <w:szCs w:val="18"/>
          <w:color w:val="auto"/>
        </w:rPr>
      </w:pPr>
    </w:p>
    <w:p>
      <w:pPr>
        <w:ind w:left="540" w:right="60" w:hanging="532"/>
        <w:spacing w:after="0" w:line="267"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underwriting commissions </w:t>
      </w:r>
      <w:r>
        <w:rPr>
          <w:rFonts w:ascii="Times New Roman" w:cs="Times New Roman" w:eastAsia="Times New Roman" w:hAnsi="Times New Roman"/>
          <w:sz w:val="18"/>
          <w:szCs w:val="18"/>
          <w:color w:val="auto"/>
        </w:rPr>
        <w:t>— Reflects the settlement of BurTech’s $1.5 million deferred underwriting commissions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of the Business Combination from the funds held in the Trust Account. Refer to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540" w:right="340" w:hanging="532"/>
        <w:spacing w:after="0" w:line="267"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preferred stock </w:t>
      </w:r>
      <w:r>
        <w:rPr>
          <w:rFonts w:ascii="Times New Roman" w:cs="Times New Roman" w:eastAsia="Times New Roman" w:hAnsi="Times New Roman"/>
          <w:sz w:val="18"/>
          <w:szCs w:val="18"/>
          <w:color w:val="auto"/>
        </w:rPr>
        <w:t>— Represents the conversion of 44,494,703 shares of Blaize Redeemable Convertible Preferred Stock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44,494,703 shares of Common Stock, immediately prior to the Closing of the Business Combination as part of the Blaize Security Conversion event, resulting in the reclassification of $173.3 million from mezzanine equity to permanent equity.</w:t>
      </w:r>
    </w:p>
    <w:p>
      <w:pPr>
        <w:spacing w:after="0" w:line="78"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 A Common Stock subject to redemption — </w:t>
      </w:r>
      <w:r>
        <w:rPr>
          <w:rFonts w:ascii="Times New Roman" w:cs="Times New Roman" w:eastAsia="Times New Roman" w:hAnsi="Times New Roman"/>
          <w:sz w:val="18"/>
          <w:szCs w:val="18"/>
          <w:color w:val="auto"/>
        </w:rPr>
        <w:t>Represents the reclassification of $35.9 million of BurTech’s Redeemable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which was not redeemed, from temporary equity (mezzanine) to permanent equity of Blaize after giving effect to the redemption of 1,178,964 public shares. The redemptions were paid with funds from the trust account, amounting to $13.6 million. Refer to Note 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xml:space="preserve"> and Note 4(O)(vii),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580" w:hanging="532"/>
        <w:spacing w:after="0" w:line="284"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Acquisition Corp. Class A Ordinary Shares — </w:t>
      </w:r>
      <w:r>
        <w:rPr>
          <w:rFonts w:ascii="Times New Roman" w:cs="Times New Roman" w:eastAsia="Times New Roman" w:hAnsi="Times New Roman"/>
          <w:sz w:val="18"/>
          <w:szCs w:val="18"/>
          <w:color w:val="auto"/>
        </w:rPr>
        <w:t>Represents adjustment to reclassify the par value associated with BurTech’s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to the par value associated with Blaize.</w:t>
      </w:r>
    </w:p>
    <w:p>
      <w:pPr>
        <w:spacing w:after="0" w:line="63" w:lineRule="exact"/>
        <w:rPr>
          <w:rFonts w:ascii="Times New Roman" w:cs="Times New Roman" w:eastAsia="Times New Roman" w:hAnsi="Times New Roman"/>
          <w:sz w:val="18"/>
          <w:szCs w:val="18"/>
          <w:color w:val="auto"/>
        </w:rPr>
      </w:pPr>
    </w:p>
    <w:p>
      <w:pPr>
        <w:ind w:left="540" w:right="60" w:hanging="532"/>
        <w:spacing w:after="0" w:line="284" w:lineRule="auto"/>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Blaize Common Stock </w:t>
      </w:r>
      <w:r>
        <w:rPr>
          <w:rFonts w:ascii="Times New Roman" w:cs="Times New Roman" w:eastAsia="Times New Roman" w:hAnsi="Times New Roman"/>
          <w:sz w:val="18"/>
          <w:szCs w:val="18"/>
          <w:color w:val="auto"/>
        </w:rPr>
        <w:t>— Represents the adjustment to establish the value of the common stock based on a par value of $0.0001 as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101,588,967 shares of Blaize outstanding at the Effective Time.</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60" w:top="268" w:right="459" w:bottom="1440" w:gutter="0" w:footer="0" w:header="0"/>
        </w:sectPr>
      </w:pPr>
    </w:p>
    <w:bookmarkStart w:id="386" w:name="page387"/>
    <w:bookmarkEnd w:id="386"/>
    <w:p>
      <w:pPr>
        <w:ind w:left="540" w:right="880" w:hanging="532"/>
        <w:spacing w:after="0" w:line="284" w:lineRule="auto"/>
        <w:tabs>
          <w:tab w:leader="none" w:pos="5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paid-in capital — </w:t>
      </w:r>
      <w:r>
        <w:rPr>
          <w:rFonts w:ascii="Times New Roman" w:cs="Times New Roman" w:eastAsia="Times New Roman" w:hAnsi="Times New Roman"/>
          <w:sz w:val="18"/>
          <w:szCs w:val="18"/>
          <w:color w:val="auto"/>
        </w:rPr>
        <w:t>Represents the impact of the Business Combination on additional paid-in capital. The table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summarizes the pro forma adjustments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54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Deferred Transaction Costs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4(O)(ii)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(4,533)</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Convertible Notes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4(O)(iii)</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411,462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liability classified Earnout Shares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4(O)(iv)</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(87,777)</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Warrants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4(O)(v)</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98,249</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Redeemable Convertible Preferred Stock</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4(O)(vi)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173,338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BurTech’s Redeemable Class A Common Stock</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4(O)(vii)</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35,858</w:t>
            </w:r>
          </w:p>
        </w:tc>
      </w:tr>
      <w:tr>
        <w:trPr>
          <w:trHeight w:val="198"/>
        </w:trPr>
        <w:tc>
          <w:tcPr>
            <w:tcW w:w="6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4(O)(viii)</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5,864</w:t>
            </w:r>
          </w:p>
        </w:tc>
      </w:tr>
      <w:tr>
        <w:trPr>
          <w:trHeight w:val="198"/>
        </w:trPr>
        <w:tc>
          <w:tcPr>
            <w:tcW w:w="6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(elimination)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4(O)(ix)</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(28,976)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PIPE Investment and Sponsor Note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4(O)(x)</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24,157</w:t>
            </w: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of Derivative Liability</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4(O)(xi)</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Additional paid-in capital</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622,527</w:t>
            </w:r>
          </w:p>
        </w:tc>
      </w:tr>
      <w:tr>
        <w:trPr>
          <w:trHeight w:val="20"/>
        </w:trPr>
        <w:tc>
          <w:tcPr>
            <w:tcW w:w="7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00" w:right="320" w:hanging="439"/>
        <w:spacing w:after="0" w:line="266" w:lineRule="auto"/>
        <w:tabs>
          <w:tab w:leader="none" w:pos="10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transaction costs of approximately $5.6 million incurred by Blaize related to financial advisory, legal, and other professional services, in connection with the Business Combination prior to the Closing. These costs are non-recurring in nature.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40" w:hanging="439"/>
        <w:spacing w:after="0" w:line="258" w:lineRule="auto"/>
        <w:tabs>
          <w:tab w:leader="none" w:pos="10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$4.5 million of transaction costs incurred by Blaize in conjunction with the Business Combination and which are capitalized within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Refer to Note 4(C), </w:t>
      </w:r>
      <w:r>
        <w:rPr>
          <w:rFonts w:ascii="Times New Roman" w:cs="Times New Roman" w:eastAsia="Times New Roman" w:hAnsi="Times New Roman"/>
          <w:sz w:val="18"/>
          <w:szCs w:val="18"/>
          <w:i w:val="1"/>
          <w:iCs w:val="1"/>
          <w:color w:val="auto"/>
        </w:rPr>
        <w:t>Prepaid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5" w:lineRule="exact"/>
        <w:rPr>
          <w:rFonts w:ascii="Times New Roman" w:cs="Times New Roman" w:eastAsia="Times New Roman" w:hAnsi="Times New Roman"/>
          <w:sz w:val="18"/>
          <w:szCs w:val="18"/>
          <w:color w:val="auto"/>
        </w:rPr>
      </w:pPr>
    </w:p>
    <w:p>
      <w:pPr>
        <w:ind w:left="1000" w:right="80" w:hanging="439"/>
        <w:spacing w:after="0" w:line="266" w:lineRule="auto"/>
        <w:tabs>
          <w:tab w:leader="none" w:pos="10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preliminary estimated fair value of liability classified Blaize Equityholders’ Earnout Shares of $87.8 million as of September 30, 2024, with a corresponding recognition of $87.8 million Earnout Shares liability. Refer to Note 4(H),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for the corresponding pro forma adjusting entries and Note 7 for further information.</w:t>
      </w:r>
    </w:p>
    <w:p>
      <w:pPr>
        <w:spacing w:after="0" w:line="81"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pro forma adjusting entries. The warrant treatment assumes that certain warrants were out of the money at Closing Date remain unexercised and therefore expire.</w:t>
      </w:r>
    </w:p>
    <w:p>
      <w:pPr>
        <w:spacing w:after="0" w:line="85" w:lineRule="exact"/>
        <w:rPr>
          <w:rFonts w:ascii="Times New Roman" w:cs="Times New Roman" w:eastAsia="Times New Roman" w:hAnsi="Times New Roman"/>
          <w:sz w:val="18"/>
          <w:szCs w:val="18"/>
          <w:color w:val="auto"/>
        </w:rPr>
      </w:pPr>
    </w:p>
    <w:p>
      <w:pPr>
        <w:ind w:left="1000" w:right="80" w:hanging="439"/>
        <w:spacing w:after="0" w:line="282" w:lineRule="auto"/>
        <w:tabs>
          <w:tab w:leader="none" w:pos="10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conversion of 44,494,703 shares of Blaize Redeemable Convertible Preferred Stock into 44,494,703 shares of Blaize Common Stock, immediately prior to the Closing of the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60" w:top="268" w:right="459" w:bottom="1440" w:gutter="0" w:footer="0" w:header="0"/>
        </w:sectPr>
      </w:pPr>
    </w:p>
    <w:bookmarkStart w:id="387" w:name="page388"/>
    <w:bookmarkEnd w:id="387"/>
    <w:p>
      <w:pPr>
        <w:ind w:left="100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Business Combination as part of the Blaize Security Conversion event, resulting in the reclassification of $173.3 million from mezzanine equity to permanent equity. Refer to Note 4(K),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the corresponding pro forma adjusting entries.</w:t>
      </w:r>
    </w:p>
    <w:p>
      <w:pPr>
        <w:spacing w:after="0" w:line="81" w:lineRule="exact"/>
        <w:rPr>
          <w:sz w:val="20"/>
          <w:szCs w:val="20"/>
          <w:color w:val="auto"/>
        </w:rPr>
      </w:pPr>
    </w:p>
    <w:p>
      <w:pPr>
        <w:jc w:val="both"/>
        <w:ind w:left="1000" w:right="760" w:hanging="439"/>
        <w:spacing w:after="0" w:line="266"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reclassification of $35.9 million of BurTech’s Redeemable Class A Common Stock from temporary equity (mezzanine) to permanent equity after giving effect to redemptions Refer to Note 4(L), </w:t>
      </w:r>
      <w:r>
        <w:rPr>
          <w:rFonts w:ascii="Times New Roman" w:cs="Times New Roman" w:eastAsia="Times New Roman" w:hAnsi="Times New Roman"/>
          <w:sz w:val="18"/>
          <w:szCs w:val="18"/>
          <w:i w:val="1"/>
          <w:iCs w:val="1"/>
          <w:color w:val="auto"/>
        </w:rPr>
        <w:t>Class A Common Stock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220" w:hanging="439"/>
        <w:spacing w:after="0" w:line="266"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$5.9 million of stock-based compensation expense associated with Blaize performance-based equity awards that have a portion that are immediately vested upon the successful completion of a Business Combination. Refer to Note 4(P)(v),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20" w:hanging="439"/>
        <w:spacing w:after="0" w:line="261"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$29.0 million elimination of BurTech’s historical accumulated deficit as part of the reverse recapitalization at the Closing of the Business Combination, after giving effect to the $9.1 million of transaction costs expected to be incurred by BurTech related to the Business Combination (as described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4(P)(vi),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00" w:right="160" w:hanging="439"/>
        <w:spacing w:after="0" w:line="266"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reversal of the $0.4 million BurTech derivative liability related to the Backstop Agreement in connection with the consummation of the Business Combination. Refer to Note 4(Q), </w:t>
      </w:r>
      <w:r>
        <w:rPr>
          <w:rFonts w:ascii="Times New Roman" w:cs="Times New Roman" w:eastAsia="Times New Roman" w:hAnsi="Times New Roman"/>
          <w:sz w:val="18"/>
          <w:szCs w:val="18"/>
          <w:i w:val="1"/>
          <w:iCs w:val="1"/>
          <w:color w:val="auto"/>
        </w:rPr>
        <w:t>Derivative liability — Backstop Subscription Agreement</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540" w:right="20" w:hanging="532"/>
        <w:spacing w:after="0" w:line="284" w:lineRule="auto"/>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Accumulated deficit — </w:t>
      </w:r>
      <w:r>
        <w:rPr>
          <w:rFonts w:ascii="Times New Roman" w:cs="Times New Roman" w:eastAsia="Times New Roman" w:hAnsi="Times New Roman"/>
          <w:sz w:val="18"/>
          <w:szCs w:val="18"/>
          <w:color w:val="auto"/>
        </w:rPr>
        <w:t>Represents the impact of the Business Combination on accumulated deficit. The table below reflects the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as follows:</w:t>
      </w:r>
    </w:p>
    <w:p>
      <w:pPr>
        <w:spacing w:after="0" w:line="16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560" w:type="dxa"/>
            <w:vAlign w:val="bottom"/>
            <w:vMerge w:val="restart"/>
          </w:tcPr>
          <w:p>
            <w:pPr>
              <w:spacing w:after="0"/>
              <w:rPr>
                <w:sz w:val="12"/>
                <w:szCs w:val="12"/>
                <w:color w:val="auto"/>
              </w:rPr>
            </w:pPr>
          </w:p>
        </w:tc>
        <w:tc>
          <w:tcPr>
            <w:tcW w:w="11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6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89"/>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BurTech Transaction Expenses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4(P)(i)</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4(P)(ii)</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Blaize Convertible Notes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4(P)(iii)</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(246,934)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Warrants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4(P)(iv)</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4(P)(v)</w:t>
            </w: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and other charges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4(P)(vi)</w:t>
            </w: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28,976</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Accumulated deficit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(324,610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000" w:hanging="439"/>
        <w:spacing w:after="0" w:line="284" w:lineRule="auto"/>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certain transaction related expenses incurred subsequent to September 30, 2024 by BurTech prior to the Closing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65" w:lineRule="exact"/>
        <w:rPr>
          <w:rFonts w:ascii="Times New Roman" w:cs="Times New Roman" w:eastAsia="Times New Roman" w:hAnsi="Times New Roman"/>
          <w:sz w:val="18"/>
          <w:szCs w:val="18"/>
          <w:color w:val="auto"/>
        </w:rPr>
      </w:pPr>
    </w:p>
    <w:p>
      <w:pPr>
        <w:ind w:left="1000" w:right="440" w:hanging="439"/>
        <w:spacing w:after="0" w:line="266" w:lineRule="auto"/>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00"/>
          </w:cols>
          <w:pgMar w:left="860" w:top="270" w:right="539" w:bottom="1440" w:gutter="0" w:footer="0" w:header="0"/>
        </w:sectPr>
      </w:pPr>
    </w:p>
    <w:bookmarkStart w:id="388" w:name="page389"/>
    <w:bookmarkEnd w:id="388"/>
    <w:p>
      <w:pPr>
        <w:ind w:left="1000"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relative fair value allocation compared to all financial instruments issued 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89" w:lineRule="exact"/>
        <w:rPr>
          <w:sz w:val="20"/>
          <w:szCs w:val="20"/>
          <w:color w:val="auto"/>
        </w:rPr>
      </w:pPr>
    </w:p>
    <w:p>
      <w:pPr>
        <w:ind w:left="1000" w:hanging="439"/>
        <w:spacing w:after="0" w:line="266" w:lineRule="auto"/>
        <w:tabs>
          <w:tab w:leader="none" w:pos="10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final remeasurement of Blaize convertible notes which are accounted for under the fair value option, at the time of the Blaize Security Conversion resulting in an increase to accumulated deficit of $246.9 million.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final remeasurement of Blaize liability classified warrants at the time of the Warrant Event, which results in a</w:t>
      </w:r>
    </w:p>
    <w:p>
      <w:pPr>
        <w:spacing w:after="0" w:line="27" w:lineRule="exact"/>
        <w:rPr>
          <w:rFonts w:ascii="Times New Roman" w:cs="Times New Roman" w:eastAsia="Times New Roman" w:hAnsi="Times New Roman"/>
          <w:sz w:val="18"/>
          <w:szCs w:val="18"/>
          <w:color w:val="auto"/>
        </w:rPr>
      </w:pPr>
    </w:p>
    <w:p>
      <w:pPr>
        <w:ind w:left="100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$90.5 million loss on remeasurement to mark the warrants to fair value. Adjustment includes the recognition of $5.3 million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adjusting pro forma entries.</w:t>
      </w:r>
    </w:p>
    <w:p>
      <w:pPr>
        <w:spacing w:after="0" w:line="94" w:lineRule="exact"/>
        <w:rPr>
          <w:rFonts w:ascii="Times New Roman" w:cs="Times New Roman" w:eastAsia="Times New Roman" w:hAnsi="Times New Roman"/>
          <w:sz w:val="18"/>
          <w:szCs w:val="18"/>
          <w:color w:val="auto"/>
        </w:rPr>
      </w:pPr>
    </w:p>
    <w:p>
      <w:pPr>
        <w:ind w:left="1000" w:right="160" w:hanging="439"/>
        <w:spacing w:after="0" w:line="266" w:lineRule="auto"/>
        <w:tabs>
          <w:tab w:leader="none" w:pos="10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$5.9 million of stock-based compensation expense associated with Blaize performance-based equity awards that have a portion that are immediately vested upon the successful completion of the Business Combination. Refer to Note 4(O) (viii),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000" w:right="300" w:hanging="439"/>
        <w:spacing w:after="0" w:line="266" w:lineRule="auto"/>
        <w:tabs>
          <w:tab w:leader="none" w:pos="10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BurTech’s historical accumulated deficit to additional paid-in capital in connection with the consummation of the Business Combination, inclusive of the $9.1 million discussed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Refer to Note 4(O)ix,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540" w:right="120" w:hanging="532"/>
        <w:spacing w:after="0" w:line="267" w:lineRule="auto"/>
        <w:tabs>
          <w:tab w:leader="none" w:pos="5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 liability — Backstop Subscription Agreement </w:t>
      </w:r>
      <w:r>
        <w:rPr>
          <w:rFonts w:ascii="Times New Roman" w:cs="Times New Roman" w:eastAsia="Times New Roman" w:hAnsi="Times New Roman"/>
          <w:sz w:val="18"/>
          <w:szCs w:val="18"/>
          <w:color w:val="auto"/>
        </w:rPr>
        <w:t>— Reflects the reversal of the $0.4 million BurTech derivative liability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Backstop Agreement in connection with the consummation of the Business Combination. Refer to Note 4(O)(xi), </w:t>
      </w:r>
      <w:r>
        <w:rPr>
          <w:rFonts w:ascii="Times New Roman" w:cs="Times New Roman" w:eastAsia="Times New Roman" w:hAnsi="Times New Roman"/>
          <w:sz w:val="18"/>
          <w:szCs w:val="18"/>
          <w:i w:val="1"/>
          <w:iCs w:val="1"/>
          <w:color w:val="auto"/>
        </w:rPr>
        <w:t>Additional paid-in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Amount represents the reclassification of $33.1 million from cash and cash equivalents to restricted cash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the corresponding pro forma adjusting entries.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60" w:top="270"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5 — Adjustments to Unaudited Pro Forma Condensed Combined Statement of Operations for the Year Ended December 31, 2023</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960" w:right="340" w:hanging="532"/>
        <w:spacing w:after="0" w:line="282" w:lineRule="auto"/>
        <w:tabs>
          <w:tab w:leader="none" w:pos="9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assuming the Closing of the Business Combination occurred on January 1, 2023, with details of the effects on the impacted financial statement line items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2"/>
                <w:szCs w:val="12"/>
                <w:color w:val="auto"/>
              </w:rPr>
            </w:pPr>
          </w:p>
        </w:tc>
        <w:tc>
          <w:tcPr>
            <w:tcW w:w="12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600" w:type="dxa"/>
            <w:vAlign w:val="bottom"/>
            <w:gridSpan w:val="4"/>
          </w:tcPr>
          <w:p>
            <w:pPr>
              <w:jc w:val="center"/>
              <w:ind w:left="479"/>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90"/>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5(A)(i)</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upon achievement of performance</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5(A)(ii)</w:t>
            </w: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7,162</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0" w:right="280" w:hanging="439"/>
        <w:spacing w:after="0" w:line="261" w:lineRule="auto"/>
        <w:tabs>
          <w:tab w:leader="none" w:pos="14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7) recognized stock-based compensation for the year as an increase of $5.0 million to research and development expense and $6.5 million to selling, general and administrative expense.</w:t>
      </w:r>
    </w:p>
    <w:p>
      <w:pPr>
        <w:spacing w:after="0" w:line="85" w:lineRule="exact"/>
        <w:rPr>
          <w:rFonts w:ascii="Times New Roman" w:cs="Times New Roman" w:eastAsia="Times New Roman" w:hAnsi="Times New Roman"/>
          <w:sz w:val="18"/>
          <w:szCs w:val="18"/>
          <w:color w:val="auto"/>
        </w:rPr>
      </w:pPr>
    </w:p>
    <w:p>
      <w:pPr>
        <w:ind w:left="1420" w:hanging="439"/>
        <w:spacing w:after="0" w:line="256" w:lineRule="auto"/>
        <w:tabs>
          <w:tab w:leader="none" w:pos="14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year as an increase of $2.1 million to research and development expense and $0.2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960" w:right="60" w:hanging="532"/>
        <w:spacing w:after="0" w:line="274" w:lineRule="auto"/>
        <w:tabs>
          <w:tab w:leader="none" w:pos="960"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transaction expenses incurred by both BurTech and Blaize prior to Closing. Impact is calculated as (i) $11.5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w:t>
      </w:r>
    </w:p>
    <w:p>
      <w:pPr>
        <w:spacing w:after="0" w:line="78" w:lineRule="exact"/>
        <w:rPr>
          <w:rFonts w:ascii="Times New Roman" w:cs="Times New Roman" w:eastAsia="Times New Roman" w:hAnsi="Times New Roman"/>
          <w:sz w:val="17"/>
          <w:szCs w:val="17"/>
          <w:color w:val="auto"/>
        </w:rPr>
      </w:pPr>
    </w:p>
    <w:p>
      <w:pPr>
        <w:ind w:left="960" w:right="400" w:hanging="532"/>
        <w:spacing w:after="0" w:line="261" w:lineRule="auto"/>
        <w:tabs>
          <w:tab w:leader="none" w:pos="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elimination of $9.5 million of loss on changes in the fair value of Blaize’s convertible notes, which were accounted for under the fair value option during the year ended December 31, 2023, offset by (ii) the reflection of a final fair value measurement associated with all convertible notes, assuming the date of the closing is January 1, 2023, resulting in a loss on remeasurement of $246.9 million.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390" w:name="page391"/>
    <w:bookmarkEnd w:id="390"/>
    <w:p>
      <w:pPr>
        <w:ind w:left="960" w:right="360" w:hanging="532"/>
        <w:spacing w:after="0" w:line="282" w:lineRule="auto"/>
        <w:tabs>
          <w:tab w:leader="none" w:pos="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estimated impacts to the pro forma statement of operations associated of the various warrants, the details of such effect are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8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loss on changes in fair value of warrants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5(E)(i)</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remeasurement of warrants at time of Warrant Event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5(E)(ii)</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(90,494)</w:t>
            </w: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Warrants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(89,549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0" w:right="240" w:hanging="439"/>
        <w:spacing w:after="0" w:line="282" w:lineRule="auto"/>
        <w:tabs>
          <w:tab w:leader="none" w:pos="142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$0.9 million of loss on changes in the fair value of Blaize’s liability classified warrants during the year ended December 31, 2023.</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final fair value measurement associated with all liability classified warrants at the time of the Warrant event, assuming the date of the Closing is January 1, 2023. Such measurement results in a loss on remeasurement of $90.5 million.</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$5.8 million of BurTech’s historical interest income earned on the funds held in the Trust Account, which was dissolved and liquidated upon the Closing of the Business Combination.</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Statement of Operations for the Nine Months Ended September 30, 2024</w:t>
      </w:r>
    </w:p>
    <w:p>
      <w:pPr>
        <w:spacing w:after="0" w:line="64" w:lineRule="exact"/>
        <w:rPr>
          <w:sz w:val="20"/>
          <w:szCs w:val="20"/>
          <w:color w:val="auto"/>
        </w:rPr>
      </w:pPr>
    </w:p>
    <w:p>
      <w:pPr>
        <w:ind w:left="960" w:right="160" w:hanging="532"/>
        <w:spacing w:after="0" w:line="282" w:lineRule="auto"/>
        <w:tabs>
          <w:tab w:leader="none" w:pos="9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for the nine months ended September 30, 2024, with details of the effects on the impacted financial statement line items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2"/>
                <w:szCs w:val="12"/>
                <w:color w:val="auto"/>
              </w:rPr>
            </w:pPr>
          </w:p>
        </w:tc>
        <w:tc>
          <w:tcPr>
            <w:tcW w:w="1260" w:type="dxa"/>
            <w:vAlign w:val="bottom"/>
            <w:vMerge w:val="restart"/>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600" w:type="dxa"/>
            <w:vAlign w:val="bottom"/>
            <w:gridSpan w:val="4"/>
          </w:tcPr>
          <w:p>
            <w:pPr>
              <w:jc w:val="center"/>
              <w:ind w:left="479"/>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90"/>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1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6(A)(i)</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upon achievement of performance</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w:t>
            </w:r>
          </w:p>
        </w:tc>
        <w:tc>
          <w:tcPr>
            <w:tcW w:w="12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6(A)(ii)</w:t>
            </w: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1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6,862</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0" w:hanging="439"/>
        <w:spacing w:after="0" w:line="261" w:lineRule="auto"/>
        <w:tabs>
          <w:tab w:leader="none" w:pos="14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7) resulting in recognized stock-based compensation for the nine months as an increase of $3.8 million to research and development expense and $4.9 million to selling, general and administrative expense.</w:t>
      </w:r>
    </w:p>
    <w:p>
      <w:pPr>
        <w:spacing w:after="0" w:line="85" w:lineRule="exact"/>
        <w:rPr>
          <w:rFonts w:ascii="Times New Roman" w:cs="Times New Roman" w:eastAsia="Times New Roman" w:hAnsi="Times New Roman"/>
          <w:sz w:val="18"/>
          <w:szCs w:val="18"/>
          <w:color w:val="auto"/>
        </w:rPr>
      </w:pPr>
    </w:p>
    <w:p>
      <w:pPr>
        <w:ind w:left="1420" w:right="220" w:hanging="439"/>
        <w:spacing w:after="0" w:line="256" w:lineRule="auto"/>
        <w:tabs>
          <w:tab w:leader="none" w:pos="14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nine months as an increase of $3.1 million to research and development expense and $0.4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$25.9 million of loss on changes in the fair value of Blaize’s convertible notes which were accounted for under the fair value option during the nine months ended September 30, 2024.</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91" w:name="page392"/>
    <w:bookmarkEnd w:id="391"/>
    <w:p>
      <w:pPr>
        <w:ind w:left="960" w:right="80" w:hanging="532"/>
        <w:spacing w:after="0" w:line="282" w:lineRule="auto"/>
        <w:tabs>
          <w:tab w:leader="none" w:pos="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the elimination of $1.3 million of gain on changes in the fair value of Blaize’s liability classified warrants during the nine months ended September 30, 2024.</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$1.9 million of BurTech’s historical interest income earned during the nine months ended September 30, 2024 on the funds held in the Trust Account, which were dissolved and liquidated upon the Closing of the Business Combination.</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$0.4 million of loss on changes in the fair value of BurTech’s derivate liability associated with the Backstop Agreement during the nine months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Earnouts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w:t>
      </w:r>
    </w:p>
    <w:p>
      <w:pPr>
        <w:spacing w:after="0" w:line="89" w:lineRule="exact"/>
        <w:rPr>
          <w:sz w:val="20"/>
          <w:szCs w:val="20"/>
          <w:color w:val="auto"/>
        </w:rPr>
      </w:pPr>
    </w:p>
    <w:p>
      <w:pPr>
        <w:ind w:left="960" w:hanging="424"/>
        <w:spacing w:after="0" w:line="258" w:lineRule="auto"/>
        <w:tabs>
          <w:tab w:leader="none" w:pos="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92" w:name="page393"/>
    <w:bookmarkEnd w:id="392"/>
    <w:p>
      <w:pPr>
        <w:ind w:left="424" w:hanging="424"/>
        <w:spacing w:after="0"/>
        <w:tabs>
          <w:tab w:leader="none" w:pos="424" w:val="left"/>
        </w:tabs>
        <w:numPr>
          <w:ilvl w:val="0"/>
          <w:numId w:val="3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Earnout Shares Issued to Holders of Blaize Stock Options and Blaize RSUs</w:t>
      </w:r>
    </w:p>
    <w:p>
      <w:pPr>
        <w:spacing w:after="0" w:line="11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preliminary estimated fair value of the Blaize Earnout Shares subject to ASC 718 was $57.7 million, assuming the service conditions were met and assuming no forfeitures. The vested amounts of $11.5 million for the year ended December 31, 2023 and $8.7 million for the nine months ended September 30, 2024 were recorded as stock- based compensation expense in the unaudited pro forma condensed combined statements of operations as it was probable the market condition would be met.</w:t>
      </w:r>
    </w:p>
    <w:p>
      <w:pPr>
        <w:spacing w:after="0" w:line="326" w:lineRule="exact"/>
        <w:rPr>
          <w:sz w:val="20"/>
          <w:szCs w:val="20"/>
          <w:color w:val="auto"/>
        </w:rPr>
      </w:pPr>
    </w:p>
    <w:p>
      <w:pPr>
        <w:ind w:left="424" w:hanging="424"/>
        <w:spacing w:after="0"/>
        <w:tabs>
          <w:tab w:leader="none" w:pos="424" w:val="left"/>
        </w:tabs>
        <w:numPr>
          <w:ilvl w:val="0"/>
          <w:numId w:val="3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Blaize and Burkhan</w:t>
      </w:r>
    </w:p>
    <w:p>
      <w:pPr>
        <w:spacing w:after="0" w:line="119" w:lineRule="exact"/>
        <w:rPr>
          <w:sz w:val="20"/>
          <w:szCs w:val="20"/>
          <w:color w:val="auto"/>
        </w:rPr>
      </w:pPr>
    </w:p>
    <w:p>
      <w:pPr>
        <w:ind w:left="4" w:right="40" w:firstLine="440"/>
        <w:spacing w:after="0" w:line="271" w:lineRule="auto"/>
        <w:rPr>
          <w:sz w:val="20"/>
          <w:szCs w:val="20"/>
          <w:color w:val="auto"/>
        </w:rPr>
      </w:pPr>
      <w:r>
        <w:rPr>
          <w:rFonts w:ascii="Times New Roman" w:cs="Times New Roman" w:eastAsia="Times New Roman" w:hAnsi="Times New Roman"/>
          <w:sz w:val="17"/>
          <w:szCs w:val="17"/>
          <w:color w:val="auto"/>
        </w:rPr>
        <w:t>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 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w:t>
      </w:r>
    </w:p>
    <w:p>
      <w:pPr>
        <w:spacing w:after="0" w:line="173"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has placed a value of $87.8 million on the liability. The earnout liability will be remeasured at each reporting date with changes in the fair value recorded to earnings.</w:t>
      </w:r>
    </w:p>
    <w:p>
      <w:pPr>
        <w:spacing w:after="0" w:line="308" w:lineRule="exact"/>
        <w:rPr>
          <w:sz w:val="20"/>
          <w:szCs w:val="20"/>
          <w:color w:val="auto"/>
        </w:rPr>
      </w:pPr>
    </w:p>
    <w:p>
      <w:pPr>
        <w:ind w:left="424" w:hanging="424"/>
        <w:spacing w:after="0"/>
        <w:tabs>
          <w:tab w:leader="none" w:pos="424" w:val="left"/>
        </w:tabs>
        <w:numPr>
          <w:ilvl w:val="0"/>
          <w:numId w:val="3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Earnout Shares</w:t>
      </w:r>
    </w:p>
    <w:p>
      <w:pPr>
        <w:spacing w:after="0" w:line="11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Blaize Earnout Consideration that was not subject to ASC 718 was determined by using the assumed stock price of Blaize of $10.00 at the grant date and multiplying it by the expected probability of achieving the market conditions.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121" w:lineRule="exact"/>
        <w:rPr>
          <w:sz w:val="20"/>
          <w:szCs w:val="20"/>
          <w:color w:val="auto"/>
        </w:rPr>
      </w:pPr>
    </w:p>
    <w:p>
      <w:pPr>
        <w:ind w:left="4" w:right="280" w:firstLine="440"/>
        <w:spacing w:after="0" w:line="289" w:lineRule="auto"/>
        <w:rPr>
          <w:sz w:val="20"/>
          <w:szCs w:val="20"/>
          <w:color w:val="auto"/>
        </w:rPr>
      </w:pPr>
      <w:r>
        <w:rPr>
          <w:rFonts w:ascii="Times New Roman" w:cs="Times New Roman" w:eastAsia="Times New Roman" w:hAnsi="Times New Roman"/>
          <w:sz w:val="17"/>
          <w:szCs w:val="17"/>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8" w:right="459" w:bottom="1440" w:gutter="0" w:footer="0" w:header="0"/>
        </w:sectPr>
      </w:pPr>
    </w:p>
    <w:bookmarkStart w:id="393" w:name="page394"/>
    <w:bookmarkEnd w:id="393"/>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outstanding for basic and diluted net loss per share assumes the shares issued in connection with the Business Combination and other related events have been outstanding for the entire periods presented.</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(0.44)</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150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(4.38)</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Weighted average shares outstanding for both basic and diluted was calculated as follows for the year ended December 31, 2023 and for the nine months ended September 30, 2024:</w:t>
      </w:r>
    </w:p>
    <w:p>
      <w:pPr>
        <w:spacing w:after="0" w:line="328"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Blaize stockholders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55,571,107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BurTech’s public stockholders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Sponsor &amp; related parties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14,456,132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closing lenders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25,673,479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Weighted Average Shares Outstanding</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Blaize Common Stock equivalents were excluded from the computation of pro forma diluted net loss per share because including them would have had an anti-dilutive effect for the year ended December 31, 2023 and for the nine months ended September 30, 2024:</w:t>
      </w:r>
    </w:p>
    <w:p>
      <w:pPr>
        <w:spacing w:after="0" w:line="184"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 Options and RSUs</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31,679,816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17,600,000</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28,750,000</w:t>
            </w: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78,928,066</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80" w:hanging="424"/>
        <w:spacing w:after="0" w:line="282"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gives effect to the net impact of 19,651,340 options that have been granted or cancelled from October 1, 2024 through the date of this filing.</w:t>
      </w:r>
    </w:p>
    <w:p>
      <w:pPr>
        <w:spacing w:after="0" w:line="9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4"/>
          </w:cols>
          <w:pgMar w:left="436" w:top="270" w:right="59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Inc. and BurTech Acquisition Corp. announce closing of business combination</w:t>
      </w:r>
    </w:p>
    <w:p>
      <w:pPr>
        <w:spacing w:after="0" w:line="20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Washington, D.C. and El Dorado Hills, CA— Jan. 13, 2025 — </w:t>
      </w:r>
      <w:r>
        <w:rPr>
          <w:rFonts w:ascii="Times New Roman" w:cs="Times New Roman" w:eastAsia="Times New Roman" w:hAnsi="Times New Roman"/>
          <w:sz w:val="18"/>
          <w:szCs w:val="18"/>
          <w:color w:val="auto"/>
        </w:rPr>
        <w:t>BurTech Acquisition Corp. (“BurTech”) (NASDAQ: BRKH), a publicly-traded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purpose acquisition company, and Blaize, Inc. (“Blaize”), a provider of purpose-built, artificial intelligence (“AI”)-enabled edge computing solutions, today announced the completion of their previously announced business combination (the “Business Combination”). The combined company will operate under the name Blaize Holdings, Inc. and begin trading on Nasdaq under the ticker symbols “BZAI” and “BZAIW” on January 14, 2025. The Business Combination, approved at a special meeting of BurTech shareholders on December 23, 2024, begins a new period in Blaize’s growth in bringing artificial intelligence to the edge.</w:t>
      </w:r>
    </w:p>
    <w:p>
      <w:pPr>
        <w:spacing w:after="0" w:line="1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Business Combination marks a major milestone for Blaize as it continues building its transformative new compute solution that unites silicon and software to optimize AI from the edge to the core. Blaize has strong traction with over $400 million in a qualified pipeline of prospective customers it expects to engage in 2025 and a global footprint with Tier 1 supply chain relationships.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“Today is an exciting milestone on Blaize’s journey of powering the next generation of computing,” said Dinakar Munagala, CEO of Blaize. “AI-powered edge computing is the future due to its low power consumption, low latency, cost-effectiveness and data privacy advantages. Blaize is well-positioned with our full-stack hardware and software solution purpose-built for edge computing.”</w:t>
      </w:r>
    </w:p>
    <w:p>
      <w:pPr>
        <w:spacing w:after="0" w:line="17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are pleased to announce the successful completion of our merger, marking a significant milestone in bringing value for our shareholders,” said Shahal Khan, CEO and chairman of BurTech. “AI-powered edge computing is redefining what is possible across a broad range of sectors, from security and monitoring to enterprise edge AI to autonomous systems. We’re so thrilled to partner with Blaize as it delivers the next generation of computing.”</w:t>
      </w:r>
    </w:p>
    <w:p>
      <w:pPr>
        <w:sectPr>
          <w:pgSz w:w="11900" w:h="16838" w:orient="portrait"/>
          <w:cols w:equalWidth="0" w:num="1">
            <w:col w:w="11020"/>
          </w:cols>
          <w:pgMar w:left="440" w:top="117" w:right="4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Norton Rose Fulbright US LLP and Loeb &amp; Loeb LLP acted as legal counsel to BurTech. Jefferies served as a Capital Markets Advisor to Burtech and was represented by Kirkland &amp; Ellis LLP. Latham &amp; Watkins LLP acted as legal counsel to Blaize. KeyBanc Capital Markets served as strategic advisor to Blaize, and Sidley Austin LLP acted as legal counsel to KeyBanc Capital Markets. In addition, D.A. Davidson &amp; Co., Rosenblatt Securities, and Roth Capital Partners, LLC acted as Capital Markets Advisors to Blaize, and Blueshirt Capital Advisors is serving as an investor relations advisor to Blaize.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BurTech (NASDAQ: BRKH) is a special-purpose acquisition company dedicated to partnering with exceptional businesses and providing them with the resources and expertise to excel in the public market. With a focus on delivering long-term value to stockholders and supporting innovative companies, BurTech is committed to creating success stories in technology industries. With steadfast stockholders, a robust financial footing, and an unyielding commitment to innovation, BurTech is a visionary force in the technology world.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for 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ir@blaize.com</w:t>
      </w:r>
    </w:p>
    <w:p>
      <w:pPr>
        <w:sectPr>
          <w:pgSz w:w="11900" w:h="16838" w:orient="portrait"/>
          <w:cols w:equalWidth="0" w:num="1">
            <w:col w:w="10980"/>
          </w:cols>
          <w:pgMar w:left="440" w:top="266" w:right="479" w:bottom="1440" w:gutter="0" w:footer="0" w:header="0"/>
        </w:sectPr>
      </w:pPr>
    </w:p>
    <w:bookmarkStart w:id="396" w:name="page397"/>
    <w:bookmarkEnd w:id="39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ind w:left="4" w:right="280"/>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Blaize’s business plans and growth strategies, market opportunities, customer pipeline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w:t>
      </w:r>
    </w:p>
    <w:p>
      <w:pPr>
        <w:spacing w:after="0" w:line="5" w:lineRule="exact"/>
        <w:rPr>
          <w:sz w:val="20"/>
          <w:szCs w:val="20"/>
          <w:color w:val="auto"/>
        </w:rPr>
      </w:pPr>
    </w:p>
    <w:p>
      <w:pPr>
        <w:ind w:left="4" w:hanging="4"/>
        <w:spacing w:after="0" w:line="251" w:lineRule="auto"/>
        <w:tabs>
          <w:tab w:leader="none" w:pos="21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(ii) the expected benefits of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ectPr>
          <w:pgSz w:w="11900" w:h="16838" w:orient="portrait"/>
          <w:cols w:equalWidth="0" w:num="1">
            <w:col w:w="11004"/>
          </w:cols>
          <w:pgMar w:left="436" w:top="266" w:right="45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Blaize partners with VSBLTY to develop new AI-enabled hybrid technology for large-scale global safety and security solutions</w:t>
      </w:r>
    </w:p>
    <w:p>
      <w:pPr>
        <w:spacing w:after="0" w:line="22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joint development will provide AI-based computer vision solutions designed for the high demands of challenging defense and national security environments</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EL DORADO HILLS, CA — January 14, 2025 — Blaize Holdings, Inc. (NASDAQ:BZAI), a provider of purpose-built, artificial intelligence (AI)-enabled edge computing solutions, and VSBLTY Groupe Technologies Corp., a leading software provider of AI-driven security and retail analytics technology, announced they have entered into a joint technology commercial agreement for the development and deployment of complete AI-enabled safety and security solutions.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companies have been collaborating on several commercial deals that have resulted in a commercial agreement for Blaize to support VSBLTY on the development costs associated with optimizing VSBLTY software on Blaize silicon. VSBLTY has issued a Purchase Order to Blaize, the fulfillment of which is subject to several conditions related to production deployment and performance criteria.</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agreement includes the establishment of a technology center to create practical AI architectural hybrid designs. The initial milestone is the successful creation of a Digital Twin Lab environment demonstrating AI computer vision solutions specifically for large-scale safety, security, and defense-based contracts. This initiative is expected to provide deployable solutions today while maintaining unique flexibility to adapt to the rapidly evolving innovations in the AI landscape over time.</w:t>
      </w:r>
    </w:p>
    <w:p>
      <w:pPr>
        <w:spacing w:after="0" w:line="2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is an exciting day for Blaize as we forge ahead with VSBLTY to bring our combined solution to market to achieve a significant impact on our ability to drive both scalability and major cost efficiency in these critically important security deployments. Our smart cameras will largely be deployed outdoors and primarily in rugged, far-edge environments needed for municipal and national security projects that require extensive field deployments using thousands of surveillance cameras (in some cases over 25,000),” said Dinakar Munagala, CEO of Blaize. “Our combined solution is already considered a key component in several pending contracts, including border control programs where far-edge capability is crucial.”</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are extremely honored to be selected as Blaize’s AI computer vision partner to create solutions that aide law enforcement and armed forces to better understand and respond to various incidents and threats,” </w:t>
      </w:r>
      <w:r>
        <w:rPr>
          <w:rFonts w:ascii="Times New Roman" w:cs="Times New Roman" w:eastAsia="Times New Roman" w:hAnsi="Times New Roman"/>
          <w:sz w:val="18"/>
          <w:szCs w:val="18"/>
          <w:color w:val="auto"/>
        </w:rPr>
        <w:t>said Jay Hutton, CEO of VSBLTY. “</w:t>
      </w:r>
      <w:r>
        <w:rPr>
          <w:rFonts w:ascii="Times New Roman" w:cs="Times New Roman" w:eastAsia="Times New Roman" w:hAnsi="Times New Roman"/>
          <w:sz w:val="18"/>
          <w:szCs w:val="18"/>
          <w:i w:val="1"/>
          <w:iCs w:val="1"/>
          <w:color w:val="auto"/>
        </w:rPr>
        <w:t>The exact nature of the analytics and application requirements will evolve over time and will require flexible and scalable underlying architecture and component technologies making our collaboration and co-development partnership critical to the future success of large, long-term security deployments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w:t>
      </w:r>
    </w:p>
    <w:p>
      <w:pPr>
        <w:sectPr>
          <w:pgSz w:w="11900" w:h="16838" w:orient="portrait"/>
          <w:cols w:equalWidth="0" w:num="1">
            <w:col w:w="11020"/>
          </w:cols>
          <w:pgMar w:left="440" w:top="117" w:right="439" w:bottom="1440" w:gutter="0" w:footer="0" w:header="0"/>
        </w:sectPr>
      </w:pPr>
    </w:p>
    <w:bookmarkStart w:id="398" w:name="page399"/>
    <w:bookmarkEnd w:id="39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VSBLTY</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Headquartered in Philadelphia, VSBLTY (OTCQB: VSBGF) (CSE: VSBY) (Frankfurt: 5VS) (OTC: VSBGF) (“VSBLTY”) is the world leader in Artificial Intelligence and real time interpretation of what a CCTV and other cameras see. By utilizing facial recognition, age and gender, VSBLTY’s proprietary technology can effectively enhance retail brand engagement and data analytics measurement through customized ads on instore digital displays at point of purchase in real time. This technology has been proven to increase brand sales by over 25%. The firm is also recognized for its leadership role in the growing “Store as a Medium” movement that enables brands to reach customers with paid media ads when and where buying decisions are being made while producing a new revenue stream for retailers. Most recently, VSBLTY has been building object recognition software to identify products by SKU, at the point of checkout, to integrate this capability into their retail media network offering to retailers and large CPG brands that lack customer information and transaction data at the point of sale. Using its proprietary AI software, and the various data collected using their software, VSBLTY has also developed a range of security solutions that include not only facial recognition but weapon recognition utilizing modern surveillance cameras and legacy CCTV cameras. VSBLTY has the capability to create a proactive security system rather than a reactive security system, providing early warning of threats that can save lives. Data collected through the platform can inform large scale deployments for smart city, private state and federal municipal security programs including border control.</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Blueshirt Group for Blaize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ir@blaize.com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Linda Rosanio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VSBLTY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lrosanio@vsblty.net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Blaize’s business plans and growth strategies, market opportunities, commercial agreements and purchase orders,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w:t>
      </w:r>
    </w:p>
    <w:p>
      <w:pPr>
        <w:spacing w:after="0" w:line="6" w:lineRule="exact"/>
        <w:rPr>
          <w:sz w:val="20"/>
          <w:szCs w:val="20"/>
          <w:color w:val="auto"/>
        </w:rPr>
      </w:pPr>
    </w:p>
    <w:p>
      <w:pPr>
        <w:ind w:left="4" w:hanging="4"/>
        <w:spacing w:after="0" w:line="253" w:lineRule="auto"/>
        <w:tabs>
          <w:tab w:leader="none" w:pos="21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(ii) the expected benefits of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w:t>
      </w:r>
    </w:p>
    <w:p>
      <w:pPr>
        <w:sectPr>
          <w:pgSz w:w="11900" w:h="16838" w:orient="portrait"/>
          <w:cols w:equalWidth="0" w:num="1">
            <w:col w:w="11004"/>
          </w:cols>
          <w:pgMar w:left="436" w:top="266" w:right="459" w:bottom="1440" w:gutter="0" w:footer="0" w:header="0"/>
        </w:sectPr>
      </w:pPr>
    </w:p>
    <w:bookmarkStart w:id="399" w:name="page400"/>
    <w:bookmarkEnd w:id="39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suppliers and retain its management and key employees; (vi) costs related to the Business Combination; (vii) changes in applicable law or regulations;</w:t>
      </w:r>
    </w:p>
    <w:p>
      <w:pPr>
        <w:spacing w:after="0" w:line="27" w:lineRule="exact"/>
        <w:rPr>
          <w:sz w:val="20"/>
          <w:szCs w:val="20"/>
          <w:color w:val="auto"/>
        </w:rPr>
      </w:pPr>
    </w:p>
    <w:p>
      <w:pPr>
        <w:ind w:left="4" w:hanging="4"/>
        <w:spacing w:after="0" w:line="251" w:lineRule="auto"/>
        <w:tabs>
          <w:tab w:leader="none" w:pos="40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(xii) the failure to meet conditions required for payments to be received under purchase orders; and (xiii)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BACF25"/>
    <w:multiLevelType w:val="hybridMultilevel"/>
    <w:lvl w:ilvl="0">
      <w:lvlJc w:val="left"/>
      <w:lvlText w:val="☐"/>
      <w:numFmt w:val="bullet"/>
      <w:start w:val="1"/>
    </w:lvl>
  </w:abstractNum>
  <w:abstractNum w:abstractNumId="1">
    <w:nsid w:val="5D5BABB3"/>
    <w:multiLevelType w:val="hybridMultilevel"/>
    <w:lvl w:ilvl="0">
      <w:lvlJc w:val="left"/>
      <w:lvlText w:val="(%1)"/>
      <w:numFmt w:val="upperLetter"/>
      <w:start w:val="1"/>
    </w:lvl>
  </w:abstractNum>
  <w:abstractNum w:abstractNumId="2">
    <w:nsid w:val="51BF6B48"/>
    <w:multiLevelType w:val="hybridMultilevel"/>
    <w:lvl w:ilvl="0">
      <w:lvlJc w:val="left"/>
      <w:lvlText w:val="(%1)"/>
      <w:numFmt w:val="upperLetter"/>
      <w:start w:val="1"/>
    </w:lvl>
  </w:abstractNum>
  <w:abstractNum w:abstractNumId="3">
    <w:nsid w:val="7E0F6384"/>
    <w:multiLevelType w:val="hybridMultilevel"/>
    <w:lvl w:ilvl="0">
      <w:lvlJc w:val="left"/>
      <w:lvlText w:val="(%1)"/>
      <w:numFmt w:val="upperLetter"/>
      <w:start w:val="3"/>
    </w:lvl>
  </w:abstractNum>
  <w:abstractNum w:abstractNumId="4">
    <w:nsid w:val="2B4B8B53"/>
    <w:multiLevelType w:val="hybridMultilevel"/>
    <w:lvl w:ilvl="0">
      <w:lvlJc w:val="left"/>
      <w:lvlText w:val="(%1)"/>
      <w:numFmt w:val="decimal"/>
      <w:start w:val="1"/>
    </w:lvl>
  </w:abstractNum>
  <w:abstractNum w:abstractNumId="5">
    <w:nsid w:val="72E3413A"/>
    <w:multiLevelType w:val="hybridMultilevel"/>
    <w:lvl w:ilvl="0">
      <w:lvlJc w:val="left"/>
      <w:lvlText w:val="•"/>
      <w:numFmt w:val="bullet"/>
      <w:start w:val="1"/>
    </w:lvl>
  </w:abstractNum>
  <w:abstractNum w:abstractNumId="6">
    <w:nsid w:val="116AE494"/>
    <w:multiLevelType w:val="hybridMultilevel"/>
    <w:lvl w:ilvl="0">
      <w:lvlJc w:val="left"/>
      <w:lvlText w:val="•"/>
      <w:numFmt w:val="bullet"/>
      <w:start w:val="1"/>
    </w:lvl>
  </w:abstractNum>
  <w:abstractNum w:abstractNumId="7">
    <w:nsid w:val="3494B2FB"/>
    <w:multiLevelType w:val="hybridMultilevel"/>
    <w:lvl w:ilvl="0">
      <w:lvlJc w:val="left"/>
      <w:lvlText w:val="*"/>
      <w:numFmt w:val="bullet"/>
      <w:start w:val="1"/>
    </w:lvl>
  </w:abstractNum>
  <w:abstractNum w:abstractNumId="8">
    <w:nsid w:val="B13A31"/>
    <w:multiLevelType w:val="hybridMultilevel"/>
    <w:lvl w:ilvl="0">
      <w:lvlJc w:val="left"/>
      <w:lvlText w:val="(%1)"/>
      <w:numFmt w:val="decimal"/>
      <w:start w:val="1"/>
    </w:lvl>
  </w:abstractNum>
  <w:abstractNum w:abstractNumId="9">
    <w:nsid w:val="64429599"/>
    <w:multiLevelType w:val="hybridMultilevel"/>
    <w:lvl w:ilvl="0">
      <w:lvlJc w:val="left"/>
      <w:lvlText w:val="(%1)"/>
      <w:numFmt w:val="decimal"/>
      <w:start w:val="6"/>
    </w:lvl>
  </w:abstractNum>
  <w:abstractNum w:abstractNumId="10">
    <w:nsid w:val="631F1690"/>
    <w:multiLevelType w:val="hybridMultilevel"/>
    <w:lvl w:ilvl="0">
      <w:lvlJc w:val="left"/>
      <w:lvlText w:val="•"/>
      <w:numFmt w:val="bullet"/>
      <w:start w:val="1"/>
    </w:lvl>
  </w:abstractNum>
  <w:abstractNum w:abstractNumId="11">
    <w:nsid w:val="25973E32"/>
    <w:multiLevelType w:val="hybridMultilevel"/>
    <w:lvl w:ilvl="0">
      <w:lvlJc w:val="left"/>
      <w:lvlText w:val="(%1)"/>
      <w:numFmt w:val="decimal"/>
      <w:start w:val="1"/>
    </w:lvl>
  </w:abstractNum>
  <w:abstractNum w:abstractNumId="12">
    <w:nsid w:val="EAD6F57"/>
    <w:multiLevelType w:val="hybridMultilevel"/>
    <w:lvl w:ilvl="0">
      <w:lvlJc w:val="left"/>
      <w:lvlText w:val="•"/>
      <w:numFmt w:val="bullet"/>
      <w:start w:val="1"/>
    </w:lvl>
  </w:abstractNum>
  <w:abstractNum w:abstractNumId="13">
    <w:nsid w:val="6EC9D844"/>
    <w:multiLevelType w:val="hybridMultilevel"/>
    <w:lvl w:ilvl="0">
      <w:lvlJc w:val="left"/>
      <w:lvlText w:val="(%1)"/>
      <w:numFmt w:val="decimal"/>
      <w:start w:val="1"/>
    </w:lvl>
  </w:abstractNum>
  <w:abstractNum w:abstractNumId="14">
    <w:nsid w:val="5C49EAEE"/>
    <w:multiLevelType w:val="hybridMultilevel"/>
    <w:lvl w:ilvl="0">
      <w:lvlJc w:val="left"/>
      <w:lvlText w:val="(%1)"/>
      <w:numFmt w:val="decimal"/>
      <w:start w:val="3"/>
    </w:lvl>
  </w:abstractNum>
  <w:abstractNum w:abstractNumId="15">
    <w:nsid w:val="64AF49B"/>
    <w:multiLevelType w:val="hybridMultilevel"/>
    <w:lvl w:ilvl="0">
      <w:lvlJc w:val="left"/>
      <w:lvlText w:val="(%1)"/>
      <w:numFmt w:val="decimal"/>
      <w:start w:val="1"/>
    </w:lvl>
  </w:abstractNum>
  <w:abstractNum w:abstractNumId="16">
    <w:nsid w:val="397C46BC"/>
    <w:multiLevelType w:val="hybridMultilevel"/>
    <w:lvl w:ilvl="0">
      <w:lvlJc w:val="left"/>
      <w:lvlText w:val="•"/>
      <w:numFmt w:val="bullet"/>
      <w:start w:val="1"/>
    </w:lvl>
    <w:lvl w:ilvl="1">
      <w:lvlJc w:val="left"/>
      <w:lvlText w:val="•"/>
      <w:numFmt w:val="bullet"/>
      <w:start w:val="1"/>
    </w:lvl>
  </w:abstractNum>
  <w:abstractNum w:abstractNumId="17">
    <w:nsid w:val="7E448DE9"/>
    <w:multiLevelType w:val="hybridMultilevel"/>
    <w:lvl w:ilvl="0">
      <w:lvlJc w:val="left"/>
      <w:lvlText w:val="(%1)"/>
      <w:numFmt w:val="lowerRoman"/>
      <w:start w:val="1"/>
    </w:lvl>
  </w:abstractNum>
  <w:abstractNum w:abstractNumId="18">
    <w:nsid w:val="5A9CC3E5"/>
    <w:multiLevelType w:val="hybridMultilevel"/>
    <w:lvl w:ilvl="0">
      <w:lvlJc w:val="left"/>
      <w:lvlText w:val="(%1)"/>
      <w:numFmt w:val="lowerLetter"/>
      <w:start w:val="1"/>
    </w:lvl>
  </w:abstractNum>
  <w:abstractNum w:abstractNumId="19">
    <w:nsid w:val="1AFE3625"/>
    <w:multiLevelType w:val="hybridMultilevel"/>
    <w:lvl w:ilvl="0">
      <w:lvlJc w:val="left"/>
      <w:lvlText w:val="(%1)"/>
      <w:numFmt w:val="lowerLetter"/>
      <w:start w:val="2"/>
    </w:lvl>
  </w:abstractNum>
  <w:abstractNum w:abstractNumId="20">
    <w:nsid w:val="3CA88ECF"/>
    <w:multiLevelType w:val="hybridMultilevel"/>
    <w:lvl w:ilvl="0">
      <w:lvlJc w:val="left"/>
      <w:lvlText w:val="(%1)"/>
      <w:numFmt w:val="lowerLetter"/>
      <w:start w:val="3"/>
    </w:lvl>
  </w:abstractNum>
  <w:abstractNum w:abstractNumId="21">
    <w:nsid w:val="6EBE4208"/>
    <w:multiLevelType w:val="hybridMultilevel"/>
    <w:lvl w:ilvl="0">
      <w:lvlJc w:val="left"/>
      <w:lvlText w:val=" "/>
      <w:numFmt w:val="bullet"/>
      <w:start w:val="1"/>
    </w:lvl>
  </w:abstractNum>
  <w:abstractNum w:abstractNumId="22">
    <w:nsid w:val="C058DF5"/>
    <w:multiLevelType w:val="hybridMultilevel"/>
    <w:lvl w:ilvl="0">
      <w:lvlJc w:val="left"/>
      <w:lvlText w:val="*"/>
      <w:numFmt w:val="bullet"/>
      <w:start w:val="1"/>
    </w:lvl>
  </w:abstractNum>
  <w:abstractNum w:abstractNumId="23">
    <w:nsid w:val="CBE5BE9"/>
    <w:multiLevelType w:val="hybridMultilevel"/>
    <w:lvl w:ilvl="0">
      <w:lvlJc w:val="left"/>
      <w:lvlText w:val="%1."/>
      <w:numFmt w:val="decimal"/>
      <w:start w:val="1"/>
    </w:lvl>
  </w:abstractNum>
  <w:abstractNum w:abstractNumId="24">
    <w:nsid w:val="3102BBE2"/>
    <w:multiLevelType w:val="hybridMultilevel"/>
    <w:lvl w:ilvl="0">
      <w:lvlJc w:val="left"/>
      <w:lvlText w:val="%1"/>
      <w:numFmt w:val="lowerLetter"/>
      <w:start w:val="1"/>
    </w:lvl>
    <w:lvl w:ilvl="1">
      <w:lvlJc w:val="left"/>
      <w:lvlText w:val="%2."/>
      <w:numFmt w:val="decimal"/>
      <w:start w:val="1"/>
    </w:lvl>
  </w:abstractNum>
  <w:abstractNum w:abstractNumId="25">
    <w:nsid w:val="26A02C5E"/>
    <w:multiLevelType w:val="hybridMultilevel"/>
    <w:lvl w:ilvl="0">
      <w:lvlJc w:val="left"/>
      <w:lvlText w:val="%1."/>
      <w:numFmt w:val="lowerLetter"/>
      <w:start w:val="1"/>
    </w:lvl>
    <w:lvl w:ilvl="1">
      <w:lvlJc w:val="left"/>
      <w:lvlText w:val="%2"/>
      <w:numFmt w:val="decimal"/>
      <w:start w:val="1"/>
    </w:lvl>
  </w:abstractNum>
  <w:abstractNum w:abstractNumId="26">
    <w:nsid w:val="541C8153"/>
    <w:multiLevelType w:val="hybridMultilevel"/>
    <w:lvl w:ilvl="0">
      <w:lvlJc w:val="left"/>
      <w:lvlText w:val="%1."/>
      <w:numFmt w:val="decimal"/>
      <w:start w:val="3"/>
    </w:lvl>
  </w:abstractNum>
  <w:abstractNum w:abstractNumId="27">
    <w:nsid w:val="67906F60"/>
    <w:multiLevelType w:val="hybridMultilevel"/>
    <w:lvl w:ilvl="0">
      <w:lvlJc w:val="left"/>
      <w:lvlText w:val="%1"/>
      <w:numFmt w:val="upperLetter"/>
      <w:start w:val="1"/>
    </w:lvl>
    <w:lvl w:ilvl="1">
      <w:lvlJc w:val="left"/>
      <w:lvlText w:val="%2."/>
      <w:numFmt w:val="decimal"/>
      <w:start w:val="4"/>
    </w:lvl>
  </w:abstractNum>
  <w:abstractNum w:abstractNumId="28">
    <w:nsid w:val="10DB9DAA"/>
    <w:multiLevelType w:val="hybridMultilevel"/>
    <w:lvl w:ilvl="0">
      <w:lvlJc w:val="left"/>
      <w:lvlText w:val="%1."/>
      <w:numFmt w:val="upperLetter"/>
      <w:start w:val="2"/>
    </w:lvl>
    <w:lvl w:ilvl="1">
      <w:lvlJc w:val="left"/>
      <w:lvlText w:val="%2"/>
      <w:numFmt w:val="decimal"/>
      <w:start w:val="1"/>
    </w:lvl>
  </w:abstractNum>
  <w:abstractNum w:abstractNumId="29">
    <w:nsid w:val="697D2D2"/>
    <w:multiLevelType w:val="hybridMultilevel"/>
    <w:lvl w:ilvl="0">
      <w:lvlJc w:val="left"/>
      <w:lvlText w:val="(%1)"/>
      <w:numFmt w:val="lowerLetter"/>
      <w:start w:val="1"/>
    </w:lvl>
  </w:abstractNum>
  <w:abstractNum w:abstractNumId="30">
    <w:nsid w:val="6D68AB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1">
    <w:nsid w:val="3A966CD0"/>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32">
    <w:nsid w:val="63F37E85"/>
    <w:multiLevelType w:val="hybridMultilevel"/>
    <w:lvl w:ilvl="0">
      <w:lvlJc w:val="left"/>
      <w:lvlText w:val="(%1)"/>
      <w:numFmt w:val="lowerRoman"/>
      <w:start w:val="3"/>
    </w:lvl>
  </w:abstractNum>
  <w:abstractNum w:abstractNumId="33">
    <w:nsid w:val="5895F5FA"/>
    <w:multiLevelType w:val="hybridMultilevel"/>
    <w:lvl w:ilvl="0">
      <w:lvlJc w:val="left"/>
      <w:lvlText w:val="(%1)"/>
      <w:numFmt w:val="lowerLetter"/>
      <w:start w:val="4"/>
    </w:lvl>
  </w:abstractNum>
  <w:abstractNum w:abstractNumId="34">
    <w:nsid w:val="38A5D054"/>
    <w:multiLevelType w:val="hybridMultilevel"/>
    <w:lvl w:ilvl="0">
      <w:lvlJc w:val="left"/>
      <w:lvlText w:val="(%1)"/>
      <w:numFmt w:val="lowerLetter"/>
      <w:start w:val="6"/>
    </w:lvl>
  </w:abstractNum>
  <w:abstractNum w:abstractNumId="35">
    <w:nsid w:val="F3F09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4B79373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37">
    <w:nsid w:val="4A10B4E8"/>
    <w:multiLevelType w:val="hybridMultilevel"/>
    <w:lvl w:ilvl="0">
      <w:lvlJc w:val="left"/>
      <w:lvlText w:val="%1"/>
      <w:numFmt w:val="lowerLetter"/>
      <w:start w:val="1"/>
    </w:lvl>
    <w:lvl w:ilvl="1">
      <w:lvlJc w:val="left"/>
      <w:lvlText w:val="(%2)"/>
      <w:numFmt w:val="lowerRoman"/>
      <w:start w:val="3"/>
    </w:lvl>
  </w:abstractNum>
  <w:abstractNum w:abstractNumId="38">
    <w:nsid w:val="43D3BCD4"/>
    <w:multiLevelType w:val="hybridMultilevel"/>
    <w:lvl w:ilvl="0">
      <w:lvlJc w:val="left"/>
      <w:lvlText w:val="(%1)"/>
      <w:numFmt w:val="lowerLetter"/>
      <w:start w:val="3"/>
    </w:lvl>
    <w:lvl w:ilvl="1">
      <w:lvlJc w:val="left"/>
      <w:lvlText w:val="(%2)"/>
      <w:numFmt w:val="lowerRoman"/>
      <w:start w:val="1"/>
    </w:lvl>
  </w:abstractNum>
  <w:abstractNum w:abstractNumId="39">
    <w:nsid w:val="4C2A7166"/>
    <w:multiLevelType w:val="hybridMultilevel"/>
    <w:lvl w:ilvl="0">
      <w:lvlJc w:val="left"/>
      <w:lvlText w:val="(%1)"/>
      <w:numFmt w:val="lowerLetter"/>
      <w:start w:val="4"/>
    </w:lvl>
  </w:abstractNum>
  <w:abstractNum w:abstractNumId="40">
    <w:nsid w:val="2E534A82"/>
    <w:multiLevelType w:val="hybridMultilevel"/>
    <w:lvl w:ilvl="0">
      <w:lvlJc w:val="left"/>
      <w:lvlText w:val="(%1)"/>
      <w:numFmt w:val="lowerLetter"/>
      <w:start w:val="6"/>
    </w:lvl>
  </w:abstractNum>
  <w:abstractNum w:abstractNumId="41">
    <w:nsid w:val="26F2D364"/>
    <w:multiLevelType w:val="hybridMultilevel"/>
    <w:lvl w:ilvl="0">
      <w:lvlJc w:val="left"/>
      <w:lvlText w:val="(%1)"/>
      <w:numFmt w:val="lowerLetter"/>
      <w:start w:val="9"/>
    </w:lvl>
  </w:abstractNum>
  <w:abstractNum w:abstractNumId="42">
    <w:nsid w:val="71C1AF98"/>
    <w:multiLevelType w:val="hybridMultilevel"/>
    <w:lvl w:ilvl="0">
      <w:lvlJc w:val="left"/>
      <w:lvlText w:val="(%1)"/>
      <w:numFmt w:val="lowerRoman"/>
      <w:start w:val="4"/>
    </w:lvl>
  </w:abstractNum>
  <w:abstractNum w:abstractNumId="43">
    <w:nsid w:val="3D00B9D9"/>
    <w:multiLevelType w:val="hybridMultilevel"/>
    <w:lvl w:ilvl="0">
      <w:lvlJc w:val="left"/>
      <w:lvlText w:val="(%1)"/>
      <w:numFmt w:val="decimal"/>
      <w:start w:val="3"/>
    </w:lvl>
  </w:abstractNum>
  <w:abstractNum w:abstractNumId="44">
    <w:nsid w:val="15BCABA8"/>
    <w:multiLevelType w:val="hybridMultilevel"/>
    <w:lvl w:ilvl="0">
      <w:lvlJc w:val="left"/>
      <w:lvlText w:val="(%1)"/>
      <w:numFmt w:val="lowerRoman"/>
      <w:start w:val="1"/>
    </w:lvl>
  </w:abstractNum>
  <w:abstractNum w:abstractNumId="45">
    <w:nsid w:val="4E0B9A87"/>
    <w:multiLevelType w:val="hybridMultilevel"/>
    <w:lvl w:ilvl="0">
      <w:lvlJc w:val="left"/>
      <w:lvlText w:val="(%1)"/>
      <w:numFmt w:val="lowerRoman"/>
      <w:start w:val="1"/>
    </w:lvl>
  </w:abstractNum>
  <w:abstractNum w:abstractNumId="46">
    <w:nsid w:val="434BAE75"/>
    <w:multiLevelType w:val="hybridMultilevel"/>
    <w:lvl w:ilvl="0">
      <w:lvlJc w:val="left"/>
      <w:lvlText w:val="(%1)"/>
      <w:numFmt w:val="lowerRoman"/>
      <w:start w:val="1"/>
    </w:lvl>
  </w:abstractNum>
  <w:abstractNum w:abstractNumId="47">
    <w:nsid w:val="4F38F265"/>
    <w:multiLevelType w:val="hybridMultilevel"/>
    <w:lvl w:ilvl="0">
      <w:lvlJc w:val="left"/>
      <w:lvlText w:val="(%1)"/>
      <w:numFmt w:val="lowerRoman"/>
      <w:start w:val="1"/>
    </w:lvl>
  </w:abstractNum>
  <w:abstractNum w:abstractNumId="48">
    <w:nsid w:val="4C502870"/>
    <w:multiLevelType w:val="hybridMultilevel"/>
    <w:lvl w:ilvl="0">
      <w:lvlJc w:val="left"/>
      <w:lvlText w:val="(%1)"/>
      <w:numFmt w:val="lowerRoman"/>
      <w:start w:val="1"/>
    </w:lvl>
  </w:abstractNum>
  <w:abstractNum w:abstractNumId="49">
    <w:nsid w:val="1DE8725A"/>
    <w:multiLevelType w:val="hybridMultilevel"/>
    <w:lvl w:ilvl="0">
      <w:lvlJc w:val="left"/>
      <w:lvlText w:val="(%1)"/>
      <w:numFmt w:val="lowerRoman"/>
      <w:start w:val="1"/>
    </w:lvl>
  </w:abstractNum>
  <w:abstractNum w:abstractNumId="50">
    <w:nsid w:val="6A37288A"/>
    <w:multiLevelType w:val="hybridMultilevel"/>
    <w:lvl w:ilvl="0">
      <w:lvlJc w:val="left"/>
      <w:lvlText w:val="(%1)"/>
      <w:numFmt w:val="lowerRoman"/>
      <w:start w:val="2"/>
    </w:lvl>
  </w:abstractNum>
  <w:abstractNum w:abstractNumId="51">
    <w:nsid w:val="8F8B73F"/>
    <w:multiLevelType w:val="hybridMultilevel"/>
    <w:lvl w:ilvl="0">
      <w:lvlJc w:val="left"/>
      <w:lvlText w:val="(%1)"/>
      <w:numFmt w:val="lowerRoman"/>
      <w:start w:val="1"/>
    </w:lvl>
  </w:abstractNum>
  <w:abstractNum w:abstractNumId="52">
    <w:nsid w:val="CA6B462"/>
    <w:multiLevelType w:val="hybridMultilevel"/>
    <w:lvl w:ilvl="0">
      <w:lvlJc w:val="left"/>
      <w:lvlText w:val="(%1)"/>
      <w:numFmt w:val="lowerRoman"/>
      <w:start w:val="1"/>
    </w:lvl>
  </w:abstractNum>
  <w:abstractNum w:abstractNumId="53">
    <w:nsid w:val="763CB680"/>
    <w:multiLevelType w:val="hybridMultilevel"/>
    <w:lvl w:ilvl="0">
      <w:lvlJc w:val="left"/>
      <w:lvlText w:val="(%1)"/>
      <w:numFmt w:val="upperLetter"/>
      <w:start w:val="1"/>
    </w:lvl>
  </w:abstractNum>
  <w:abstractNum w:abstractNumId="54">
    <w:nsid w:val="15B71329"/>
    <w:multiLevelType w:val="hybridMultilevel"/>
    <w:lvl w:ilvl="0">
      <w:lvlJc w:val="left"/>
      <w:lvlText w:val="(%1)"/>
      <w:numFmt w:val="lowerLetter"/>
      <w:start w:val="2"/>
    </w:lvl>
  </w:abstractNum>
  <w:abstractNum w:abstractNumId="55">
    <w:nsid w:val="3DA97044"/>
    <w:multiLevelType w:val="hybridMultilevel"/>
    <w:lvl w:ilvl="0">
      <w:lvlJc w:val="left"/>
      <w:lvlText w:val="(%1)"/>
      <w:numFmt w:val="lowerRoman"/>
      <w:start w:val="2"/>
    </w:lvl>
  </w:abstractNum>
  <w:abstractNum w:abstractNumId="56">
    <w:nsid w:val="1CDCE2DE"/>
    <w:multiLevelType w:val="hybridMultilevel"/>
    <w:lvl w:ilvl="0">
      <w:lvlJc w:val="left"/>
      <w:lvlText w:val="(%1)"/>
      <w:numFmt w:val="decimal"/>
      <w:start w:val="2"/>
    </w:lvl>
  </w:abstractNum>
  <w:abstractNum w:abstractNumId="57">
    <w:nsid w:val="69D3947C"/>
    <w:multiLevelType w:val="hybridMultilevel"/>
    <w:lvl w:ilvl="0">
      <w:lvlJc w:val="left"/>
      <w:lvlText w:val="(%1)"/>
      <w:numFmt w:val="lowerLetter"/>
      <w:start w:val="9"/>
    </w:lvl>
    <w:lvl w:ilvl="1">
      <w:lvlJc w:val="left"/>
      <w:lvlText w:val="(%2)"/>
      <w:numFmt w:val="lowerLetter"/>
      <w:start w:val="1"/>
    </w:lvl>
  </w:abstractNum>
  <w:abstractNum w:abstractNumId="58">
    <w:nsid w:val="2539DFA5"/>
    <w:multiLevelType w:val="hybridMultilevel"/>
    <w:lvl w:ilvl="0">
      <w:lvlJc w:val="left"/>
      <w:lvlText w:val="%1"/>
      <w:numFmt w:val="upperLetter"/>
      <w:start w:val="1"/>
    </w:lvl>
    <w:lvl w:ilvl="1">
      <w:lvlJc w:val="left"/>
      <w:lvlText w:val="(%2)"/>
      <w:numFmt w:val="lowerLetter"/>
      <w:start w:val="2"/>
    </w:lvl>
  </w:abstractNum>
  <w:abstractNum w:abstractNumId="59">
    <w:nsid w:val="2DB88089"/>
    <w:multiLevelType w:val="hybridMultilevel"/>
    <w:lvl w:ilvl="0">
      <w:lvlJc w:val="left"/>
      <w:lvlText w:val="(%1)"/>
      <w:numFmt w:val="upperLetter"/>
      <w:start w:val="3"/>
    </w:lvl>
    <w:lvl w:ilvl="1">
      <w:lvlJc w:val="left"/>
      <w:lvlText w:val="(%2)"/>
      <w:numFmt w:val="lowerLetter"/>
      <w:start w:val="3"/>
    </w:lvl>
  </w:abstractNum>
  <w:abstractNum w:abstractNumId="60">
    <w:nsid w:val="706B674E"/>
    <w:multiLevelType w:val="hybridMultilevel"/>
    <w:lvl w:ilvl="0">
      <w:lvlJc w:val="left"/>
      <w:lvlText w:val="(%1)"/>
      <w:numFmt w:val="decimal"/>
      <w:start w:val="12"/>
    </w:lvl>
  </w:abstractNum>
  <w:abstractNum w:abstractNumId="61">
    <w:nsid w:val="2C106A57"/>
    <w:multiLevelType w:val="hybridMultilevel"/>
    <w:lvl w:ilvl="0">
      <w:lvlJc w:val="left"/>
      <w:lvlText w:val="(%1)"/>
      <w:numFmt w:val="lowerLetter"/>
      <w:start w:val="1"/>
    </w:lvl>
    <w:lvl w:ilvl="1">
      <w:lvlJc w:val="left"/>
      <w:lvlText w:val="%2."/>
      <w:numFmt w:val="lowerRoman"/>
      <w:start w:val="1"/>
    </w:lvl>
  </w:abstractNum>
  <w:abstractNum w:abstractNumId="62">
    <w:nsid w:val="684EED59"/>
    <w:multiLevelType w:val="hybridMultilevel"/>
    <w:lvl w:ilvl="0">
      <w:lvlJc w:val="left"/>
      <w:lvlText w:val="%1."/>
      <w:numFmt w:val="lowerRoman"/>
      <w:start w:val="3"/>
    </w:lvl>
  </w:abstractNum>
  <w:abstractNum w:abstractNumId="63">
    <w:nsid w:val="545EE5D3"/>
    <w:multiLevelType w:val="hybridMultilevel"/>
    <w:lvl w:ilvl="0">
      <w:lvlJc w:val="left"/>
      <w:lvlText w:val="1"/>
      <w:numFmt w:val="bullet"/>
      <w:start w:val="1"/>
    </w:lvl>
  </w:abstractNum>
  <w:abstractNum w:abstractNumId="64">
    <w:nsid w:val="4A66051"/>
    <w:multiLevelType w:val="hybridMultilevel"/>
    <w:lvl w:ilvl="0">
      <w:lvlJc w:val="left"/>
      <w:lvlText w:val="2"/>
      <w:numFmt w:val="bullet"/>
      <w:start w:val="1"/>
    </w:lvl>
  </w:abstractNum>
  <w:abstractNum w:abstractNumId="65">
    <w:nsid w:val="20F4BDAD"/>
    <w:multiLevelType w:val="hybridMultilevel"/>
    <w:lvl w:ilvl="0">
      <w:lvlJc w:val="left"/>
      <w:lvlText w:val="(%1)"/>
      <w:numFmt w:val="lowerLetter"/>
      <w:start w:val="2"/>
    </w:lvl>
    <w:lvl w:ilvl="1">
      <w:lvlJc w:val="left"/>
      <w:lvlText w:val="3"/>
      <w:numFmt w:val="bullet"/>
      <w:start w:val="1"/>
    </w:lvl>
  </w:abstractNum>
  <w:abstractNum w:abstractNumId="66">
    <w:nsid w:val="639DEFAC"/>
    <w:multiLevelType w:val="hybridMultilevel"/>
    <w:lvl w:ilvl="0">
      <w:lvlJc w:val="left"/>
      <w:lvlText w:val="%1"/>
      <w:numFmt w:val="lowerLetter"/>
      <w:start w:val="1"/>
    </w:lvl>
    <w:lvl w:ilvl="1">
      <w:lvlJc w:val="left"/>
      <w:lvlText w:val="(%2)"/>
      <w:numFmt w:val="lowerLetter"/>
      <w:start w:val="6"/>
    </w:lvl>
  </w:abstractNum>
  <w:abstractNum w:abstractNumId="67">
    <w:nsid w:val="501F9786"/>
    <w:multiLevelType w:val="hybridMultilevel"/>
    <w:lvl w:ilvl="0">
      <w:lvlJc w:val="left"/>
      <w:lvlText w:val="(%1)"/>
      <w:numFmt w:val="lowerLetter"/>
      <w:start w:val="9"/>
    </w:lvl>
    <w:lvl w:ilvl="1">
      <w:lvlJc w:val="left"/>
      <w:lvlText w:val="(%2)"/>
      <w:numFmt w:val="lowerLetter"/>
      <w:start w:val="7"/>
    </w:lvl>
  </w:abstractNum>
  <w:abstractNum w:abstractNumId="68">
    <w:nsid w:val="6B057295"/>
    <w:multiLevelType w:val="hybridMultilevel"/>
    <w:lvl w:ilvl="0">
      <w:lvlJc w:val="left"/>
      <w:lvlText w:val="(%1)"/>
      <w:numFmt w:val="lowerLetter"/>
      <w:start w:val="35"/>
    </w:lvl>
    <w:lvl w:ilvl="1">
      <w:lvlJc w:val="left"/>
      <w:lvlText w:val="(%2)"/>
      <w:numFmt w:val="lowerLetter"/>
      <w:start w:val="8"/>
    </w:lvl>
  </w:abstractNum>
  <w:abstractNum w:abstractNumId="69">
    <w:nsid w:val="2771AC80"/>
    <w:multiLevelType w:val="hybridMultilevel"/>
    <w:lvl w:ilvl="0">
      <w:lvlJc w:val="left"/>
      <w:lvlText w:val="(%1)"/>
      <w:numFmt w:val="lowerLetter"/>
      <w:start w:val="1"/>
    </w:lvl>
  </w:abstractNum>
  <w:abstractNum w:abstractNumId="70">
    <w:nsid w:val="1C4A08EC"/>
    <w:multiLevelType w:val="hybridMultilevel"/>
    <w:lvl w:ilvl="0">
      <w:lvlJc w:val="left"/>
      <w:lvlText w:val="(%1)"/>
      <w:numFmt w:val="lowerLetter"/>
      <w:start w:val="1"/>
    </w:lvl>
    <w:lvl w:ilvl="1">
      <w:lvlJc w:val="left"/>
      <w:lvlText w:val="%2."/>
      <w:numFmt w:val="lowerRoman"/>
      <w:start w:val="1"/>
    </w:lvl>
  </w:abstractNum>
  <w:abstractNum w:abstractNumId="71">
    <w:nsid w:val="1958BD17"/>
    <w:multiLevelType w:val="hybridMultilevel"/>
    <w:lvl w:ilvl="0">
      <w:lvlJc w:val="left"/>
      <w:lvlText w:val="%1."/>
      <w:numFmt w:val="lowerRoman"/>
      <w:start w:val="2"/>
    </w:lvl>
    <w:lvl w:ilvl="1">
      <w:lvlJc w:val="left"/>
      <w:lvlText w:val="%2"/>
      <w:numFmt w:val="decimal"/>
      <w:start w:val="1"/>
    </w:lvl>
  </w:abstractNum>
  <w:abstractNum w:abstractNumId="72">
    <w:nsid w:val="4E647FE4"/>
    <w:multiLevelType w:val="hybridMultilevel"/>
    <w:lvl w:ilvl="0">
      <w:lvlJc w:val="left"/>
      <w:lvlText w:val="(%1)"/>
      <w:numFmt w:val="lowerLetter"/>
      <w:start w:val="2"/>
    </w:lvl>
  </w:abstractNum>
  <w:abstractNum w:abstractNumId="73">
    <w:nsid w:val="E0BB885"/>
    <w:multiLevelType w:val="hybridMultilevel"/>
    <w:lvl w:ilvl="0">
      <w:lvlJc w:val="left"/>
      <w:lvlText w:val="(%1)"/>
      <w:numFmt w:val="lowerLetter"/>
      <w:start w:val="1"/>
    </w:lvl>
  </w:abstractNum>
  <w:abstractNum w:abstractNumId="74">
    <w:nsid w:val="565976F1"/>
    <w:multiLevelType w:val="hybridMultilevel"/>
    <w:lvl w:ilvl="0">
      <w:lvlJc w:val="left"/>
      <w:lvlText w:val="(%1)"/>
      <w:numFmt w:val="lowerLetter"/>
      <w:start w:val="1"/>
    </w:lvl>
  </w:abstractNum>
  <w:abstractNum w:abstractNumId="75">
    <w:nsid w:val="64212B8C"/>
    <w:multiLevelType w:val="hybridMultilevel"/>
    <w:lvl w:ilvl="0">
      <w:lvlJc w:val="left"/>
      <w:lvlText w:val="%1"/>
      <w:numFmt w:val="lowerLetter"/>
      <w:start w:val="1"/>
    </w:lvl>
    <w:lvl w:ilvl="1">
      <w:lvlJc w:val="left"/>
      <w:lvlText w:val="%2."/>
      <w:numFmt w:val="lowerRoman"/>
      <w:start w:val="2"/>
    </w:lvl>
  </w:abstractNum>
  <w:abstractNum w:abstractNumId="76">
    <w:nsid w:val="5C17530C"/>
    <w:multiLevelType w:val="hybridMultilevel"/>
    <w:lvl w:ilvl="0">
      <w:lvlJc w:val="left"/>
      <w:lvlText w:val="(%1)"/>
      <w:numFmt w:val="lowerLetter"/>
      <w:start w:val="2"/>
    </w:lvl>
    <w:lvl w:ilvl="1">
      <w:lvlJc w:val="left"/>
      <w:lvlText w:val="%2"/>
      <w:numFmt w:val="lowerRoman"/>
      <w:start w:val="1"/>
    </w:lvl>
  </w:abstractNum>
  <w:abstractNum w:abstractNumId="77">
    <w:nsid w:val="19A52566"/>
    <w:multiLevelType w:val="hybridMultilevel"/>
    <w:lvl w:ilvl="0">
      <w:lvlJc w:val="left"/>
      <w:lvlText w:val="(%1)"/>
      <w:numFmt w:val="lowerLetter"/>
      <w:start w:val="5"/>
    </w:lvl>
  </w:abstractNum>
  <w:abstractNum w:abstractNumId="78">
    <w:nsid w:val="335A1DF1"/>
    <w:multiLevelType w:val="hybridMultilevel"/>
    <w:lvl w:ilvl="0">
      <w:lvlJc w:val="left"/>
      <w:lvlText w:val="(%1)"/>
      <w:numFmt w:val="lowerLetter"/>
      <w:start w:val="1"/>
    </w:lvl>
  </w:abstractNum>
  <w:abstractNum w:abstractNumId="79">
    <w:nsid w:val="28677B7C"/>
    <w:multiLevelType w:val="hybridMultilevel"/>
    <w:lvl w:ilvl="0">
      <w:lvlJc w:val="left"/>
      <w:lvlText w:val="%1"/>
      <w:numFmt w:val="lowerLetter"/>
      <w:start w:val="1"/>
    </w:lvl>
    <w:lvl w:ilvl="1">
      <w:lvlJc w:val="left"/>
      <w:lvlText w:val="(%2)"/>
      <w:numFmt w:val="lowerLetter"/>
      <w:start w:val="3"/>
    </w:lvl>
  </w:abstractNum>
  <w:abstractNum w:abstractNumId="80">
    <w:nsid w:val="378D97C0"/>
    <w:multiLevelType w:val="hybridMultilevel"/>
    <w:lvl w:ilvl="0">
      <w:lvlJc w:val="left"/>
      <w:lvlText w:val="(%1)"/>
      <w:numFmt w:val="lowerLetter"/>
      <w:start w:val="9"/>
    </w:lvl>
    <w:lvl w:ilvl="1">
      <w:lvlJc w:val="left"/>
      <w:lvlText w:val="(%2)"/>
      <w:numFmt w:val="lowerLetter"/>
      <w:start w:val="5"/>
    </w:lvl>
  </w:abstractNum>
  <w:abstractNum w:abstractNumId="81">
    <w:nsid w:val="1D91467C"/>
    <w:multiLevelType w:val="hybridMultilevel"/>
    <w:lvl w:ilvl="0">
      <w:lvlJc w:val="left"/>
      <w:lvlText w:val="%1"/>
      <w:numFmt w:val="decimal"/>
      <w:start w:val="1"/>
    </w:lvl>
    <w:lvl w:ilvl="1">
      <w:lvlJc w:val="left"/>
      <w:lvlText w:val="(%2)"/>
      <w:numFmt w:val="lowerLetter"/>
      <w:start w:val="1"/>
    </w:lvl>
  </w:abstractNum>
  <w:abstractNum w:abstractNumId="82">
    <w:nsid w:val="316032BB"/>
    <w:multiLevelType w:val="hybridMultilevel"/>
    <w:lvl w:ilvl="0">
      <w:lvlJc w:val="left"/>
      <w:lvlText w:val="(%1)"/>
      <w:numFmt w:val="decimal"/>
      <w:start w:val="30"/>
    </w:lvl>
    <w:lvl w:ilvl="1">
      <w:lvlJc w:val="left"/>
      <w:lvlText w:val="%2"/>
      <w:numFmt w:val="lowerLetter"/>
      <w:start w:val="1"/>
    </w:lvl>
  </w:abstractNum>
  <w:abstractNum w:abstractNumId="83">
    <w:nsid w:val="44344C22"/>
    <w:multiLevelType w:val="hybridMultilevel"/>
    <w:lvl w:ilvl="0">
      <w:lvlJc w:val="left"/>
      <w:lvlText w:val="(%1)"/>
      <w:numFmt w:val="lowerLetter"/>
      <w:start w:val="2"/>
    </w:lvl>
  </w:abstractNum>
  <w:abstractNum w:abstractNumId="84">
    <w:nsid w:val="13CDFCFC"/>
    <w:multiLevelType w:val="hybridMultilevel"/>
    <w:lvl w:ilvl="0">
      <w:lvlJc w:val="left"/>
      <w:lvlText w:val="(%1)"/>
      <w:numFmt w:val="lowerLetter"/>
      <w:start w:val="1"/>
    </w:lvl>
  </w:abstractNum>
  <w:abstractNum w:abstractNumId="85">
    <w:nsid w:val="471745E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6">
    <w:nsid w:val="1DDBC66"/>
    <w:multiLevelType w:val="hybridMultilevel"/>
    <w:lvl w:ilvl="0">
      <w:lvlJc w:val="left"/>
      <w:lvlText w:val="%1."/>
      <w:numFmt w:val="lowerRoman"/>
      <w:start w:val="3"/>
    </w:lvl>
    <w:lvl w:ilvl="1">
      <w:lvlJc w:val="left"/>
      <w:lvlText w:val="(%2)"/>
      <w:numFmt w:val="lowerLetter"/>
      <w:start w:val="3"/>
    </w:lvl>
  </w:abstractNum>
  <w:abstractNum w:abstractNumId="87">
    <w:nsid w:val="30AADFDA"/>
    <w:multiLevelType w:val="hybridMultilevel"/>
    <w:lvl w:ilvl="0">
      <w:lvlJc w:val="left"/>
      <w:lvlText w:val="(%1)"/>
      <w:numFmt w:val="lowerLetter"/>
      <w:start w:val="5"/>
    </w:lvl>
  </w:abstractNum>
  <w:abstractNum w:abstractNumId="88">
    <w:nsid w:val="30EADA61"/>
    <w:multiLevelType w:val="hybridMultilevel"/>
    <w:lvl w:ilvl="0">
      <w:lvlJc w:val="left"/>
      <w:lvlText w:val="(%1)"/>
      <w:numFmt w:val="lowerLetter"/>
      <w:start w:val="1"/>
    </w:lvl>
  </w:abstractNum>
  <w:abstractNum w:abstractNumId="89">
    <w:nsid w:val="27179C0B"/>
    <w:multiLevelType w:val="hybridMultilevel"/>
    <w:lvl w:ilvl="0">
      <w:lvlJc w:val="left"/>
      <w:lvlText w:val="(%1)"/>
      <w:numFmt w:val="lowerLetter"/>
      <w:start w:val="1"/>
    </w:lvl>
  </w:abstractNum>
  <w:abstractNum w:abstractNumId="90">
    <w:nsid w:val="5E636063"/>
    <w:multiLevelType w:val="hybridMultilevel"/>
    <w:lvl w:ilvl="0">
      <w:lvlJc w:val="left"/>
      <w:lvlText w:val="(%1)"/>
      <w:numFmt w:val="lowerLetter"/>
      <w:start w:val="1"/>
    </w:lvl>
  </w:abstractNum>
  <w:abstractNum w:abstractNumId="91">
    <w:nsid w:val="215641AF"/>
    <w:multiLevelType w:val="hybridMultilevel"/>
    <w:lvl w:ilvl="0">
      <w:lvlJc w:val="left"/>
      <w:lvlText w:val="(%1)"/>
      <w:numFmt w:val="lowerLetter"/>
      <w:start w:val="1"/>
    </w:lvl>
  </w:abstractNum>
  <w:abstractNum w:abstractNumId="92">
    <w:nsid w:val="53280662"/>
    <w:multiLevelType w:val="hybridMultilevel"/>
    <w:lvl w:ilvl="0">
      <w:lvlJc w:val="left"/>
      <w:lvlText w:val="1"/>
      <w:numFmt w:val="bullet"/>
      <w:start w:val="1"/>
    </w:lvl>
  </w:abstractNum>
  <w:abstractNum w:abstractNumId="93">
    <w:nsid w:val="46B24DBC"/>
    <w:multiLevelType w:val="hybridMultilevel"/>
    <w:lvl w:ilvl="0">
      <w:lvlJc w:val="left"/>
      <w:lvlText w:val="(%1)"/>
      <w:numFmt w:val="lowerLetter"/>
      <w:start w:val="1"/>
    </w:lvl>
  </w:abstractNum>
  <w:abstractNum w:abstractNumId="94">
    <w:nsid w:val="75B52783"/>
    <w:multiLevelType w:val="hybridMultilevel"/>
    <w:lvl w:ilvl="0">
      <w:lvlJc w:val="left"/>
      <w:lvlText w:val="(%1)"/>
      <w:numFmt w:val="lowerLetter"/>
      <w:start w:val="1"/>
    </w:lvl>
  </w:abstractNum>
  <w:abstractNum w:abstractNumId="95">
    <w:nsid w:val="57CE66B4"/>
    <w:multiLevelType w:val="hybridMultilevel"/>
    <w:lvl w:ilvl="0">
      <w:lvlJc w:val="left"/>
      <w:lvlText w:val="2"/>
      <w:numFmt w:val="bullet"/>
      <w:start w:val="1"/>
    </w:lvl>
  </w:abstractNum>
  <w:abstractNum w:abstractNumId="96">
    <w:nsid w:val="67A70B69"/>
    <w:multiLevelType w:val="hybridMultilevel"/>
    <w:lvl w:ilvl="0">
      <w:lvlJc w:val="left"/>
      <w:lvlText w:val="(%1)"/>
      <w:numFmt w:val="lowerLetter"/>
      <w:start w:val="3"/>
    </w:lvl>
  </w:abstractNum>
  <w:abstractNum w:abstractNumId="97">
    <w:nsid w:val="5953172F"/>
    <w:multiLevelType w:val="hybridMultilevel"/>
    <w:lvl w:ilvl="0">
      <w:lvlJc w:val="left"/>
      <w:lvlText w:val="(%1)"/>
      <w:numFmt w:val="lowerLetter"/>
      <w:start w:val="1"/>
    </w:lvl>
    <w:lvl w:ilvl="1">
      <w:lvlJc w:val="left"/>
      <w:lvlText w:val="(%2)"/>
      <w:numFmt w:val="lowerRoman"/>
      <w:start w:val="1"/>
    </w:lvl>
  </w:abstractNum>
  <w:abstractNum w:abstractNumId="98">
    <w:nsid w:val="27EDFE3A"/>
    <w:multiLevelType w:val="hybridMultilevel"/>
    <w:lvl w:ilvl="0">
      <w:lvlJc w:val="left"/>
      <w:lvlText w:val="(%1)"/>
      <w:numFmt w:val="lowerLetter"/>
      <w:start w:val="5"/>
    </w:lvl>
    <w:lvl w:ilvl="1">
      <w:lvlJc w:val="left"/>
      <w:lvlText w:val="(%2)"/>
      <w:numFmt w:val="lowerRoman"/>
      <w:start w:val="1"/>
    </w:lvl>
  </w:abstractNum>
  <w:abstractNum w:abstractNumId="99">
    <w:nsid w:val="52AC7DFF"/>
    <w:multiLevelType w:val="hybridMultilevel"/>
    <w:lvl w:ilvl="0">
      <w:lvlJc w:val="left"/>
      <w:lvlText w:val="(%1)"/>
      <w:numFmt w:val="lowerLetter"/>
      <w:start w:val="7"/>
    </w:lvl>
    <w:lvl w:ilvl="1">
      <w:lvlJc w:val="left"/>
      <w:lvlText w:val="(%2)"/>
      <w:numFmt w:val="lowerLetter"/>
      <w:start w:val="9"/>
    </w:lvl>
  </w:abstractNum>
  <w:abstractNum w:abstractNumId="100">
    <w:nsid w:val="C4C3AF"/>
    <w:multiLevelType w:val="hybridMultilevel"/>
    <w:lvl w:ilvl="0">
      <w:lvlJc w:val="left"/>
      <w:lvlText w:val="(%1)"/>
      <w:numFmt w:val="lowerRoman"/>
      <w:start w:val="2"/>
    </w:lvl>
  </w:abstractNum>
  <w:abstractNum w:abstractNumId="101">
    <w:nsid w:val="44380727"/>
    <w:multiLevelType w:val="hybridMultilevel"/>
    <w:lvl w:ilvl="0">
      <w:lvlJc w:val="left"/>
      <w:lvlText w:val="(%1)"/>
      <w:numFmt w:val="lowerLetter"/>
      <w:start w:val="1"/>
    </w:lvl>
  </w:abstractNum>
  <w:abstractNum w:abstractNumId="102">
    <w:nsid w:val="6C053B16"/>
    <w:multiLevelType w:val="hybridMultilevel"/>
    <w:lvl w:ilvl="0">
      <w:lvlJc w:val="left"/>
      <w:lvlText w:val="(%1)"/>
      <w:numFmt w:val="lowerLetter"/>
      <w:start w:val="1"/>
    </w:lvl>
  </w:abstractNum>
  <w:abstractNum w:abstractNumId="103">
    <w:nsid w:val="4F294393"/>
    <w:multiLevelType w:val="hybridMultilevel"/>
    <w:lvl w:ilvl="0">
      <w:lvlJc w:val="left"/>
      <w:lvlText w:val="(%1)"/>
      <w:numFmt w:val="lowerLetter"/>
      <w:start w:val="7"/>
    </w:lvl>
  </w:abstractNum>
  <w:abstractNum w:abstractNumId="104">
    <w:nsid w:val="5243BFAC"/>
    <w:multiLevelType w:val="hybridMultilevel"/>
    <w:lvl w:ilvl="0">
      <w:lvlJc w:val="left"/>
      <w:lvlText w:val="%1"/>
      <w:numFmt w:val="lowerLetter"/>
      <w:start w:val="1"/>
    </w:lvl>
    <w:lvl w:ilvl="1">
      <w:lvlJc w:val="left"/>
      <w:lvlText w:val="(%2)"/>
      <w:numFmt w:val="lowerLetter"/>
      <w:start w:val="1"/>
    </w:lvl>
  </w:abstractNum>
  <w:abstractNum w:abstractNumId="105">
    <w:nsid w:val="425EB207"/>
    <w:multiLevelType w:val="hybridMultilevel"/>
    <w:lvl w:ilvl="0">
      <w:lvlJc w:val="left"/>
      <w:lvlText w:val="(%1)"/>
      <w:numFmt w:val="lowerLetter"/>
      <w:start w:val="9"/>
    </w:lvl>
    <w:lvl w:ilvl="1">
      <w:lvlJc w:val="left"/>
      <w:lvlText w:val="%2"/>
      <w:numFmt w:val="lowerLetter"/>
      <w:start w:val="1"/>
    </w:lvl>
  </w:abstractNum>
  <w:abstractNum w:abstractNumId="106">
    <w:nsid w:val="334A6F1F"/>
    <w:multiLevelType w:val="hybridMultilevel"/>
    <w:lvl w:ilvl="0">
      <w:lvlJc w:val="left"/>
      <w:lvlText w:val="(%1)"/>
      <w:numFmt w:val="lowerLetter"/>
      <w:start w:val="7"/>
    </w:lvl>
  </w:abstractNum>
  <w:abstractNum w:abstractNumId="107">
    <w:nsid w:val="2E5B12B8"/>
    <w:multiLevelType w:val="hybridMultilevel"/>
    <w:lvl w:ilvl="0">
      <w:lvlJc w:val="left"/>
      <w:lvlText w:val="%1"/>
      <w:numFmt w:val="lowerRoman"/>
      <w:start w:val="1"/>
    </w:lvl>
    <w:lvl w:ilvl="1">
      <w:lvlJc w:val="left"/>
      <w:lvlText w:val="(%2)"/>
      <w:numFmt w:val="lowerLetter"/>
      <w:start w:val="1"/>
    </w:lvl>
  </w:abstractNum>
  <w:abstractNum w:abstractNumId="108">
    <w:nsid w:val="5C03D76D"/>
    <w:multiLevelType w:val="hybridMultilevel"/>
    <w:lvl w:ilvl="0">
      <w:lvlJc w:val="left"/>
      <w:lvlText w:val="(%1)"/>
      <w:numFmt w:val="lowerRoman"/>
      <w:start w:val="1"/>
    </w:lvl>
    <w:lvl w:ilvl="1">
      <w:lvlJc w:val="left"/>
      <w:lvlText w:val="%2"/>
      <w:numFmt w:val="lowerLetter"/>
      <w:start w:val="1"/>
    </w:lvl>
  </w:abstractNum>
  <w:abstractNum w:abstractNumId="109">
    <w:nsid w:val="66A48D11"/>
    <w:multiLevelType w:val="hybridMultilevel"/>
    <w:lvl w:ilvl="0">
      <w:lvlJc w:val="left"/>
      <w:lvlText w:val="(%1)"/>
      <w:numFmt w:val="lowerRoman"/>
      <w:start w:val="4"/>
    </w:lvl>
    <w:lvl w:ilvl="1">
      <w:lvlJc w:val="left"/>
      <w:lvlText w:val="%2"/>
      <w:numFmt w:val="lowerLetter"/>
      <w:start w:val="1"/>
    </w:lvl>
  </w:abstractNum>
  <w:abstractNum w:abstractNumId="110">
    <w:nsid w:val="56C28E34"/>
    <w:multiLevelType w:val="hybridMultilevel"/>
    <w:lvl w:ilvl="0">
      <w:lvlJc w:val="left"/>
      <w:lvlText w:val="(%1)"/>
      <w:numFmt w:val="lowerLetter"/>
      <w:start w:val="2"/>
    </w:lvl>
    <w:lvl w:ilvl="1">
      <w:lvlJc w:val="left"/>
      <w:lvlText w:val="(%2)"/>
      <w:numFmt w:val="lowerRoman"/>
      <w:start w:val="1"/>
    </w:lvl>
  </w:abstractNum>
  <w:abstractNum w:abstractNumId="111">
    <w:nsid w:val="13916F2D"/>
    <w:multiLevelType w:val="hybridMultilevel"/>
    <w:lvl w:ilvl="0">
      <w:lvlJc w:val="left"/>
      <w:lvlText w:val="(%1)"/>
      <w:numFmt w:val="lowerRoman"/>
      <w:start w:val="4"/>
    </w:lvl>
  </w:abstractNum>
  <w:abstractNum w:abstractNumId="112">
    <w:nsid w:val="435D38D"/>
    <w:multiLevelType w:val="hybridMultilevel"/>
    <w:lvl w:ilvl="0">
      <w:lvlJc w:val="left"/>
      <w:lvlText w:val="(%1)"/>
      <w:numFmt w:val="lowerLetter"/>
      <w:start w:val="3"/>
    </w:lvl>
  </w:abstractNum>
  <w:abstractNum w:abstractNumId="113">
    <w:nsid w:val="822C0EF"/>
    <w:multiLevelType w:val="hybridMultilevel"/>
    <w:lvl w:ilvl="0">
      <w:lvlJc w:val="left"/>
      <w:lvlText w:val="(%1)"/>
      <w:numFmt w:val="lowerLetter"/>
      <w:start w:val="1"/>
    </w:lvl>
  </w:abstractNum>
  <w:abstractNum w:abstractNumId="114">
    <w:nsid w:val="57C5BB4F"/>
    <w:multiLevelType w:val="hybridMultilevel"/>
    <w:lvl w:ilvl="0">
      <w:lvlJc w:val="left"/>
      <w:lvlText w:val="(%1)"/>
      <w:numFmt w:val="lowerLetter"/>
      <w:start w:val="4"/>
    </w:lvl>
    <w:lvl w:ilvl="1">
      <w:lvlJc w:val="left"/>
      <w:lvlText w:val="(%2)"/>
      <w:numFmt w:val="lowerRoman"/>
      <w:start w:val="1"/>
    </w:lvl>
  </w:abstractNum>
  <w:abstractNum w:abstractNumId="115">
    <w:nsid w:val="1803D089"/>
    <w:multiLevelType w:val="hybridMultilevel"/>
    <w:lvl w:ilvl="0">
      <w:lvlJc w:val="left"/>
      <w:lvlText w:val="(%1)"/>
      <w:numFmt w:val="lowerRoman"/>
      <w:start w:val="3"/>
    </w:lvl>
  </w:abstractNum>
  <w:abstractNum w:abstractNumId="116">
    <w:nsid w:val="4F3A06D4"/>
    <w:multiLevelType w:val="hybridMultilevel"/>
    <w:lvl w:ilvl="0">
      <w:lvlJc w:val="left"/>
      <w:lvlText w:val="(%1)"/>
      <w:numFmt w:val="lowerLetter"/>
      <w:start w:val="1"/>
    </w:lvl>
  </w:abstractNum>
  <w:abstractNum w:abstractNumId="117">
    <w:nsid w:val="59A377B6"/>
    <w:multiLevelType w:val="hybridMultilevel"/>
    <w:lvl w:ilvl="0">
      <w:lvlJc w:val="left"/>
      <w:lvlText w:val="(%1)"/>
      <w:numFmt w:val="lowerLetter"/>
      <w:start w:val="1"/>
    </w:lvl>
  </w:abstractNum>
  <w:abstractNum w:abstractNumId="118">
    <w:nsid w:val="48AEB063"/>
    <w:multiLevelType w:val="hybridMultilevel"/>
    <w:lvl w:ilvl="0">
      <w:lvlJc w:val="left"/>
      <w:lvlText w:val="(%1)"/>
      <w:numFmt w:val="lowerLetter"/>
      <w:start w:val="5"/>
    </w:lvl>
  </w:abstractNum>
  <w:abstractNum w:abstractNumId="119">
    <w:nsid w:val="24E135"/>
    <w:multiLevelType w:val="hybridMultilevel"/>
    <w:lvl w:ilvl="0">
      <w:lvlJc w:val="left"/>
      <w:lvlText w:val="3"/>
      <w:numFmt w:val="bullet"/>
      <w:start w:val="1"/>
    </w:lvl>
  </w:abstractNum>
  <w:abstractNum w:abstractNumId="120">
    <w:nsid w:val="BB13C1"/>
    <w:multiLevelType w:val="hybridMultilevel"/>
    <w:lvl w:ilvl="0">
      <w:lvlJc w:val="left"/>
      <w:lvlText w:val="4"/>
      <w:numFmt w:val="bullet"/>
      <w:start w:val="1"/>
    </w:lvl>
  </w:abstractNum>
  <w:abstractNum w:abstractNumId="121">
    <w:nsid w:val="271210C7"/>
    <w:multiLevelType w:val="hybridMultilevel"/>
    <w:lvl w:ilvl="0">
      <w:lvlJc w:val="left"/>
      <w:lvlText w:val="(%1)"/>
      <w:numFmt w:val="lowerLetter"/>
      <w:start w:val="17"/>
    </w:lvl>
  </w:abstractNum>
  <w:abstractNum w:abstractNumId="122">
    <w:nsid w:val="217B22E4"/>
    <w:multiLevelType w:val="hybridMultilevel"/>
    <w:lvl w:ilvl="0">
      <w:lvlJc w:val="left"/>
      <w:lvlText w:val="(%1)"/>
      <w:numFmt w:val="lowerLetter"/>
      <w:start w:val="27"/>
    </w:lvl>
  </w:abstractNum>
  <w:abstractNum w:abstractNumId="123">
    <w:nsid w:val="53E31A24"/>
    <w:multiLevelType w:val="hybridMultilevel"/>
    <w:lvl w:ilvl="0">
      <w:lvlJc w:val="left"/>
      <w:lvlText w:val="(%1)"/>
      <w:numFmt w:val="lowerLetter"/>
      <w:start w:val="32"/>
    </w:lvl>
  </w:abstractNum>
  <w:abstractNum w:abstractNumId="124">
    <w:nsid w:val="6DC45E83"/>
    <w:multiLevelType w:val="hybridMultilevel"/>
    <w:lvl w:ilvl="0">
      <w:lvlJc w:val="left"/>
      <w:lvlText w:val="(%1)"/>
      <w:numFmt w:val="lowerLetter"/>
      <w:start w:val="2"/>
    </w:lvl>
  </w:abstractNum>
  <w:abstractNum w:abstractNumId="125">
    <w:nsid w:val="17304A67"/>
    <w:multiLevelType w:val="hybridMultilevel"/>
    <w:lvl w:ilvl="0">
      <w:lvlJc w:val="left"/>
      <w:lvlText w:val="(%1)"/>
      <w:numFmt w:val="lowerLetter"/>
      <w:start w:val="1"/>
    </w:lvl>
  </w:abstractNum>
  <w:abstractNum w:abstractNumId="126">
    <w:nsid w:val="2BB180D8"/>
    <w:multiLevelType w:val="hybridMultilevel"/>
    <w:lvl w:ilvl="0">
      <w:lvlJc w:val="left"/>
      <w:lvlText w:val="(%1)"/>
      <w:numFmt w:val="lowerLetter"/>
      <w:start w:val="1"/>
    </w:lvl>
  </w:abstractNum>
  <w:abstractNum w:abstractNumId="127">
    <w:nsid w:val="556B69ED"/>
    <w:multiLevelType w:val="hybridMultilevel"/>
    <w:lvl w:ilvl="0">
      <w:lvlJc w:val="left"/>
      <w:lvlText w:val="(%1)"/>
      <w:numFmt w:val="lowerLetter"/>
      <w:start w:val="1"/>
    </w:lvl>
  </w:abstractNum>
  <w:abstractNum w:abstractNumId="128">
    <w:nsid w:val="70836196"/>
    <w:multiLevelType w:val="hybridMultilevel"/>
    <w:lvl w:ilvl="0">
      <w:lvlJc w:val="left"/>
      <w:lvlText w:val="(%1)"/>
      <w:numFmt w:val="lowerLetter"/>
      <w:start w:val="24"/>
    </w:lvl>
    <w:lvl w:ilvl="1">
      <w:lvlJc w:val="left"/>
      <w:lvlText w:val="(%2)"/>
      <w:numFmt w:val="lowerLetter"/>
      <w:start w:val="1"/>
    </w:lvl>
  </w:abstractNum>
  <w:abstractNum w:abstractNumId="129">
    <w:nsid w:val="539F7F12"/>
    <w:multiLevelType w:val="hybridMultilevel"/>
    <w:lvl w:ilvl="0">
      <w:lvlJc w:val="left"/>
      <w:lvlText w:val="(%1)"/>
      <w:numFmt w:val="lowerLetter"/>
      <w:start w:val="3"/>
    </w:lvl>
  </w:abstractNum>
  <w:abstractNum w:abstractNumId="130">
    <w:nsid w:val="2817E7EC"/>
    <w:multiLevelType w:val="hybridMultilevel"/>
    <w:lvl w:ilvl="0">
      <w:lvlJc w:val="left"/>
      <w:lvlText w:val="(%1)"/>
      <w:numFmt w:val="lowerRoman"/>
      <w:start w:val="1"/>
    </w:lvl>
  </w:abstractNum>
  <w:abstractNum w:abstractNumId="131">
    <w:nsid w:val="71482545"/>
    <w:multiLevelType w:val="hybridMultilevel"/>
    <w:lvl w:ilvl="0">
      <w:lvlJc w:val="left"/>
      <w:lvlText w:val="(%1)"/>
      <w:numFmt w:val="lowerLetter"/>
      <w:start w:val="6"/>
    </w:lvl>
  </w:abstractNum>
  <w:abstractNum w:abstractNumId="132">
    <w:nsid w:val="17D78639"/>
    <w:multiLevelType w:val="hybridMultilevel"/>
    <w:lvl w:ilvl="0">
      <w:lvlJc w:val="left"/>
      <w:lvlText w:val="(%1)"/>
      <w:numFmt w:val="lowerLetter"/>
      <w:start w:val="1"/>
    </w:lvl>
  </w:abstractNum>
  <w:abstractNum w:abstractNumId="133">
    <w:nsid w:val="141D2302"/>
    <w:multiLevelType w:val="hybridMultilevel"/>
    <w:lvl w:ilvl="0">
      <w:lvlJc w:val="left"/>
      <w:lvlText w:val="(%1)"/>
      <w:numFmt w:val="lowerLetter"/>
      <w:start w:val="2"/>
    </w:lvl>
  </w:abstractNum>
  <w:abstractNum w:abstractNumId="134">
    <w:nsid w:val="407168D8"/>
    <w:multiLevelType w:val="hybridMultilevel"/>
    <w:lvl w:ilvl="0">
      <w:lvlJc w:val="left"/>
      <w:lvlText w:val="(%1)"/>
      <w:numFmt w:val="lowerLetter"/>
      <w:start w:val="1"/>
    </w:lvl>
    <w:lvl w:ilvl="1">
      <w:lvlJc w:val="left"/>
      <w:lvlText w:val="(%2)"/>
      <w:numFmt w:val="lowerLetter"/>
      <w:start w:val="9"/>
    </w:lvl>
  </w:abstractNum>
  <w:abstractNum w:abstractNumId="135">
    <w:nsid w:val="6A1B45E5"/>
    <w:multiLevelType w:val="hybridMultilevel"/>
    <w:lvl w:ilvl="0">
      <w:lvlJc w:val="left"/>
      <w:lvlText w:val="(%1)"/>
      <w:numFmt w:val="lowerRoman"/>
      <w:start w:val="2"/>
    </w:lvl>
  </w:abstractNum>
  <w:abstractNum w:abstractNumId="136">
    <w:nsid w:val="567BD50A"/>
    <w:multiLevelType w:val="hybridMultilevel"/>
    <w:lvl w:ilvl="0">
      <w:lvlJc w:val="left"/>
      <w:lvlText w:val="(%1)"/>
      <w:numFmt w:val="lowerLetter"/>
      <w:start w:val="1"/>
    </w:lvl>
  </w:abstractNum>
  <w:abstractNum w:abstractNumId="137">
    <w:nsid w:val="73BBD7F8"/>
    <w:multiLevelType w:val="hybridMultilevel"/>
    <w:lvl w:ilvl="0">
      <w:lvlJc w:val="left"/>
      <w:lvlText w:val="(%1)"/>
      <w:numFmt w:val="lowerLetter"/>
      <w:start w:val="4"/>
    </w:lvl>
  </w:abstractNum>
  <w:abstractNum w:abstractNumId="138">
    <w:nsid w:val="1876589D"/>
    <w:multiLevelType w:val="hybridMultilevel"/>
    <w:lvl w:ilvl="0">
      <w:lvlJc w:val="left"/>
      <w:lvlText w:val="(%1)"/>
      <w:numFmt w:val="lowerLetter"/>
      <w:start w:val="1"/>
    </w:lvl>
  </w:abstractNum>
  <w:abstractNum w:abstractNumId="139">
    <w:nsid w:val="327FAC77"/>
    <w:multiLevelType w:val="hybridMultilevel"/>
    <w:lvl w:ilvl="0">
      <w:lvlJc w:val="left"/>
      <w:lvlText w:val="(%1)"/>
      <w:numFmt w:val="lowerLetter"/>
      <w:start w:val="4"/>
    </w:lvl>
  </w:abstractNum>
  <w:abstractNum w:abstractNumId="140">
    <w:nsid w:val="5A606509"/>
    <w:multiLevelType w:val="hybridMultilevel"/>
    <w:lvl w:ilvl="0">
      <w:lvlJc w:val="left"/>
      <w:lvlText w:val="(%1)"/>
      <w:numFmt w:val="lowerLetter"/>
      <w:start w:val="1"/>
    </w:lvl>
  </w:abstractNum>
  <w:abstractNum w:abstractNumId="141">
    <w:nsid w:val="6F38E6D1"/>
    <w:multiLevelType w:val="hybridMultilevel"/>
    <w:lvl w:ilvl="0">
      <w:lvlJc w:val="left"/>
      <w:lvlText w:val="(%1)"/>
      <w:numFmt w:val="lowerLetter"/>
      <w:start w:val="1"/>
    </w:lvl>
  </w:abstractNum>
  <w:abstractNum w:abstractNumId="142">
    <w:nsid w:val="46111BA5"/>
    <w:multiLevelType w:val="hybridMultilevel"/>
    <w:lvl w:ilvl="0">
      <w:lvlJc w:val="left"/>
      <w:lvlText w:val="(%1)"/>
      <w:numFmt w:val="lowerLetter"/>
      <w:start w:val="1"/>
    </w:lvl>
  </w:abstractNum>
  <w:abstractNum w:abstractNumId="143">
    <w:nsid w:val="5E963896"/>
    <w:multiLevelType w:val="hybridMultilevel"/>
    <w:lvl w:ilvl="0">
      <w:lvlJc w:val="left"/>
      <w:lvlText w:val="(%1)"/>
      <w:numFmt w:val="lowerLetter"/>
      <w:start w:val="1"/>
    </w:lvl>
  </w:abstractNum>
  <w:abstractNum w:abstractNumId="144">
    <w:nsid w:val="775BA7C1"/>
    <w:multiLevelType w:val="hybridMultilevel"/>
    <w:lvl w:ilvl="0">
      <w:lvlJc w:val="left"/>
      <w:lvlText w:val="(%1)"/>
      <w:numFmt w:val="lowerLetter"/>
      <w:start w:val="1"/>
    </w:lvl>
  </w:abstractNum>
  <w:abstractNum w:abstractNumId="145">
    <w:nsid w:val="1DD6D6F4"/>
    <w:multiLevelType w:val="hybridMultilevel"/>
    <w:lvl w:ilvl="0">
      <w:lvlJc w:val="left"/>
      <w:lvlText w:val="(%1)"/>
      <w:numFmt w:val="lowerLetter"/>
      <w:start w:val="1"/>
    </w:lvl>
  </w:abstractNum>
  <w:abstractNum w:abstractNumId="146">
    <w:nsid w:val="769A091F"/>
    <w:multiLevelType w:val="hybridMultilevel"/>
    <w:lvl w:ilvl="0">
      <w:lvlJc w:val="left"/>
      <w:lvlText w:val="%1"/>
      <w:numFmt w:val="lowerLetter"/>
      <w:start w:val="1"/>
    </w:lvl>
    <w:lvl w:ilvl="1">
      <w:lvlJc w:val="left"/>
      <w:lvlText w:val="(%2)"/>
      <w:numFmt w:val="lowerLetter"/>
      <w:start w:val="1"/>
    </w:lvl>
  </w:abstractNum>
  <w:abstractNum w:abstractNumId="147">
    <w:nsid w:val="4695AE95"/>
    <w:multiLevelType w:val="hybridMultilevel"/>
    <w:lvl w:ilvl="0">
      <w:lvlJc w:val="left"/>
      <w:lvlText w:val="(%1)"/>
      <w:numFmt w:val="lowerLetter"/>
      <w:start w:val="35"/>
    </w:lvl>
    <w:lvl w:ilvl="1">
      <w:lvlJc w:val="left"/>
      <w:lvlText w:val="(%2)"/>
      <w:numFmt w:val="lowerLetter"/>
      <w:start w:val="3"/>
    </w:lvl>
  </w:abstractNum>
  <w:abstractNum w:abstractNumId="148">
    <w:nsid w:val="777A4EAA"/>
    <w:multiLevelType w:val="hybridMultilevel"/>
    <w:lvl w:ilvl="0">
      <w:lvlJc w:val="left"/>
      <w:lvlText w:val="(%1)"/>
      <w:numFmt w:val="lowerLetter"/>
      <w:start w:val="1"/>
    </w:lvl>
  </w:abstractNum>
  <w:abstractNum w:abstractNumId="149">
    <w:nsid w:val="3F48B982"/>
    <w:multiLevelType w:val="hybridMultilevel"/>
    <w:lvl w:ilvl="0">
      <w:lvlJc w:val="left"/>
      <w:lvlText w:val="(%1)"/>
      <w:numFmt w:val="lowerLetter"/>
      <w:start w:val="1"/>
    </w:lvl>
    <w:lvl w:ilvl="1">
      <w:lvlJc w:val="left"/>
      <w:lvlText w:val="(%2)"/>
      <w:numFmt w:val="lowerRoman"/>
      <w:start w:val="1"/>
    </w:lvl>
  </w:abstractNum>
  <w:abstractNum w:abstractNumId="150">
    <w:nsid w:val="46BA8FCA"/>
    <w:multiLevelType w:val="hybridMultilevel"/>
    <w:lvl w:ilvl="0">
      <w:lvlJc w:val="left"/>
      <w:lvlText w:val="(%1)"/>
      <w:numFmt w:val="lowerLetter"/>
      <w:start w:val="3"/>
    </w:lvl>
    <w:lvl w:ilvl="1">
      <w:lvlJc w:val="left"/>
      <w:lvlText w:val="(%2)"/>
      <w:numFmt w:val="lowerRoman"/>
      <w:start w:val="1"/>
    </w:lvl>
  </w:abstractNum>
  <w:abstractNum w:abstractNumId="151">
    <w:nsid w:val="7835626C"/>
    <w:multiLevelType w:val="hybridMultilevel"/>
    <w:lvl w:ilvl="0">
      <w:lvlJc w:val="left"/>
      <w:lvlText w:val="(%1)"/>
      <w:numFmt w:val="lowerLetter"/>
      <w:start w:val="4"/>
    </w:lvl>
    <w:lvl w:ilvl="1">
      <w:lvlJc w:val="left"/>
      <w:lvlText w:val="(%2)"/>
      <w:numFmt w:val="lowerRoman"/>
      <w:start w:val="1"/>
    </w:lvl>
  </w:abstractNum>
  <w:abstractNum w:abstractNumId="152">
    <w:nsid w:val="665ACA49"/>
    <w:multiLevelType w:val="hybridMultilevel"/>
    <w:lvl w:ilvl="0">
      <w:lvlJc w:val="left"/>
      <w:lvlText w:val="(%1)"/>
      <w:numFmt w:val="lowerLetter"/>
      <w:start w:val="1"/>
    </w:lvl>
  </w:abstractNum>
  <w:abstractNum w:abstractNumId="153">
    <w:nsid w:val="6835B2AE"/>
    <w:multiLevelType w:val="hybridMultilevel"/>
    <w:lvl w:ilvl="0">
      <w:lvlJc w:val="left"/>
      <w:lvlText w:val="(%1)"/>
      <w:numFmt w:val="lowerLetter"/>
      <w:start w:val="2"/>
    </w:lvl>
  </w:abstractNum>
  <w:abstractNum w:abstractNumId="154">
    <w:nsid w:val="4C187C90"/>
    <w:multiLevelType w:val="hybridMultilevel"/>
    <w:lvl w:ilvl="0">
      <w:lvlJc w:val="left"/>
      <w:lvlText w:val="(%1)"/>
      <w:numFmt w:val="lowerLetter"/>
      <w:start w:val="7"/>
    </w:lvl>
  </w:abstractNum>
  <w:abstractNum w:abstractNumId="155">
    <w:nsid w:val="541F28CD"/>
    <w:multiLevelType w:val="hybridMultilevel"/>
    <w:lvl w:ilvl="0">
      <w:lvlJc w:val="left"/>
      <w:lvlText w:val="(%1)"/>
      <w:numFmt w:val="lowerLetter"/>
      <w:start w:val="1"/>
    </w:lvl>
  </w:abstractNum>
  <w:abstractNum w:abstractNumId="156">
    <w:nsid w:val="7F65FD16"/>
    <w:multiLevelType w:val="hybridMultilevel"/>
    <w:lvl w:ilvl="0">
      <w:lvlJc w:val="left"/>
      <w:lvlText w:val="(%1)"/>
      <w:numFmt w:val="lowerLetter"/>
      <w:start w:val="1"/>
    </w:lvl>
  </w:abstractNum>
  <w:abstractNum w:abstractNumId="157">
    <w:nsid w:val="77C9FD68"/>
    <w:multiLevelType w:val="hybridMultilevel"/>
    <w:lvl w:ilvl="0">
      <w:lvlJc w:val="left"/>
      <w:lvlText w:val="(%1)"/>
      <w:numFmt w:val="decimal"/>
      <w:start w:val="4"/>
    </w:lvl>
    <w:lvl w:ilvl="1">
      <w:lvlJc w:val="left"/>
      <w:lvlText w:val="(%2)"/>
      <w:numFmt w:val="lowerLetter"/>
      <w:start w:val="3"/>
    </w:lvl>
  </w:abstractNum>
  <w:abstractNum w:abstractNumId="158">
    <w:nsid w:val="298A92BA"/>
    <w:multiLevelType w:val="hybridMultilevel"/>
    <w:lvl w:ilvl="0">
      <w:lvlJc w:val="left"/>
      <w:lvlText w:val="(%1)"/>
      <w:numFmt w:val="lowerLetter"/>
      <w:start w:val="6"/>
    </w:lvl>
  </w:abstractNum>
  <w:abstractNum w:abstractNumId="159">
    <w:nsid w:val="6FE95EAC"/>
    <w:multiLevelType w:val="hybridMultilevel"/>
    <w:lvl w:ilvl="0">
      <w:lvlJc w:val="left"/>
      <w:lvlText w:val="(%1)"/>
      <w:numFmt w:val="lowerLetter"/>
      <w:start w:val="1"/>
    </w:lvl>
  </w:abstractNum>
  <w:abstractNum w:abstractNumId="160">
    <w:nsid w:val="4B697C7A"/>
    <w:multiLevelType w:val="hybridMultilevel"/>
    <w:lvl w:ilvl="0">
      <w:lvlJc w:val="left"/>
      <w:lvlText w:val="(%1)"/>
      <w:numFmt w:val="lowerLetter"/>
      <w:start w:val="4"/>
    </w:lvl>
  </w:abstractNum>
  <w:abstractNum w:abstractNumId="161">
    <w:nsid w:val="51A27AA6"/>
    <w:multiLevelType w:val="hybridMultilevel"/>
    <w:lvl w:ilvl="0">
      <w:lvlJc w:val="left"/>
      <w:lvlText w:val="(%1)"/>
      <w:numFmt w:val="lowerLetter"/>
      <w:start w:val="1"/>
    </w:lvl>
  </w:abstractNum>
  <w:abstractNum w:abstractNumId="162">
    <w:nsid w:val="613183F2"/>
    <w:multiLevelType w:val="hybridMultilevel"/>
    <w:lvl w:ilvl="0">
      <w:lvlJc w:val="left"/>
      <w:lvlText w:val="(%1)"/>
      <w:numFmt w:val="lowerLetter"/>
      <w:start w:val="1"/>
    </w:lvl>
  </w:abstractNum>
  <w:abstractNum w:abstractNumId="163">
    <w:nsid w:val="634102B4"/>
    <w:multiLevelType w:val="hybridMultilevel"/>
    <w:lvl w:ilvl="0">
      <w:lvlJc w:val="left"/>
      <w:lvlText w:val="(%1)"/>
      <w:numFmt w:val="lowerLetter"/>
      <w:start w:val="14"/>
    </w:lvl>
  </w:abstractNum>
  <w:abstractNum w:abstractNumId="164">
    <w:nsid w:val="65BF9DA8"/>
    <w:multiLevelType w:val="hybridMultilevel"/>
    <w:lvl w:ilvl="0">
      <w:lvlJc w:val="left"/>
      <w:lvlText w:val="(%1)"/>
      <w:numFmt w:val="lowerLetter"/>
      <w:start w:val="28"/>
    </w:lvl>
  </w:abstractNum>
  <w:abstractNum w:abstractNumId="165">
    <w:nsid w:val="21A2ECCA"/>
    <w:multiLevelType w:val="hybridMultilevel"/>
    <w:lvl w:ilvl="0">
      <w:lvlJc w:val="left"/>
      <w:lvlText w:val="1"/>
      <w:numFmt w:val="bullet"/>
      <w:start w:val="1"/>
    </w:lvl>
  </w:abstractNum>
  <w:abstractNum w:abstractNumId="166">
    <w:nsid w:val="4D5C4899"/>
    <w:multiLevelType w:val="hybridMultilevel"/>
    <w:lvl w:ilvl="0">
      <w:lvlJc w:val="left"/>
      <w:lvlText w:val="(%1)"/>
      <w:numFmt w:val="lowerLetter"/>
      <w:start w:val="1"/>
    </w:lvl>
  </w:abstractNum>
  <w:abstractNum w:abstractNumId="167">
    <w:nsid w:val="3C3B72B2"/>
    <w:multiLevelType w:val="hybridMultilevel"/>
    <w:lvl w:ilvl="0">
      <w:lvlJc w:val="left"/>
      <w:lvlText w:val="(%1)"/>
      <w:numFmt w:val="lowerLetter"/>
      <w:start w:val="1"/>
    </w:lvl>
  </w:abstractNum>
  <w:abstractNum w:abstractNumId="168">
    <w:nsid w:val="155EC4C2"/>
    <w:multiLevelType w:val="hybridMultilevel"/>
    <w:lvl w:ilvl="0">
      <w:lvlJc w:val="left"/>
      <w:lvlText w:val="(%1)"/>
      <w:numFmt w:val="lowerLetter"/>
      <w:start w:val="2"/>
    </w:lvl>
  </w:abstractNum>
  <w:abstractNum w:abstractNumId="169">
    <w:nsid w:val="65D2A137"/>
    <w:multiLevelType w:val="hybridMultilevel"/>
    <w:lvl w:ilvl="0">
      <w:lvlJc w:val="left"/>
      <w:lvlText w:val="(%1)"/>
      <w:numFmt w:val="lowerLetter"/>
      <w:start w:val="1"/>
    </w:lvl>
  </w:abstractNum>
  <w:abstractNum w:abstractNumId="170">
    <w:nsid w:val="6EBB1F2A"/>
    <w:multiLevelType w:val="hybridMultilevel"/>
    <w:lvl w:ilvl="0">
      <w:lvlJc w:val="left"/>
      <w:lvlText w:val="(%1)"/>
      <w:numFmt w:val="lowerLetter"/>
      <w:start w:val="2"/>
    </w:lvl>
  </w:abstractNum>
  <w:abstractNum w:abstractNumId="171">
    <w:nsid w:val="6FBF29CB"/>
    <w:multiLevelType w:val="hybridMultilevel"/>
    <w:lvl w:ilvl="0">
      <w:lvlJc w:val="left"/>
      <w:lvlText w:val="(%1)"/>
      <w:numFmt w:val="lowerLetter"/>
      <w:start w:val="1"/>
    </w:lvl>
  </w:abstractNum>
  <w:abstractNum w:abstractNumId="172">
    <w:nsid w:val="550B8808"/>
    <w:multiLevelType w:val="hybridMultilevel"/>
    <w:lvl w:ilvl="0">
      <w:lvlJc w:val="left"/>
      <w:lvlText w:val="(%1)"/>
      <w:numFmt w:val="lowerLetter"/>
      <w:start w:val="1"/>
    </w:lvl>
  </w:abstractNum>
  <w:abstractNum w:abstractNumId="173">
    <w:nsid w:val="34CC3ACF"/>
    <w:multiLevelType w:val="hybridMultilevel"/>
    <w:lvl w:ilvl="0">
      <w:lvlJc w:val="left"/>
      <w:lvlText w:val="(%1)"/>
      <w:numFmt w:val="lowerLetter"/>
      <w:start w:val="4"/>
    </w:lvl>
  </w:abstractNum>
  <w:abstractNum w:abstractNumId="174">
    <w:nsid w:val="4E556261"/>
    <w:multiLevelType w:val="hybridMultilevel"/>
    <w:lvl w:ilvl="0">
      <w:lvlJc w:val="left"/>
      <w:lvlText w:val="(%1)"/>
      <w:numFmt w:val="lowerLetter"/>
      <w:start w:val="8"/>
    </w:lvl>
  </w:abstractNum>
  <w:abstractNum w:abstractNumId="175">
    <w:nsid w:val="4C672FC9"/>
    <w:multiLevelType w:val="hybridMultilevel"/>
    <w:lvl w:ilvl="0">
      <w:lvlJc w:val="left"/>
      <w:lvlText w:val="(%1)"/>
      <w:numFmt w:val="lowerLetter"/>
      <w:start w:val="1"/>
    </w:lvl>
  </w:abstractNum>
  <w:abstractNum w:abstractNumId="176">
    <w:nsid w:val="52A311C3"/>
    <w:multiLevelType w:val="hybridMultilevel"/>
    <w:lvl w:ilvl="0">
      <w:lvlJc w:val="left"/>
      <w:lvlText w:val="(%1)"/>
      <w:numFmt w:val="lowerLetter"/>
      <w:start w:val="3"/>
    </w:lvl>
  </w:abstractNum>
  <w:abstractNum w:abstractNumId="177">
    <w:nsid w:val="44EF6B80"/>
    <w:multiLevelType w:val="hybridMultilevel"/>
    <w:lvl w:ilvl="0">
      <w:lvlJc w:val="left"/>
      <w:lvlText w:val="(%1)"/>
      <w:numFmt w:val="lowerLetter"/>
      <w:start w:val="1"/>
    </w:lvl>
  </w:abstractNum>
  <w:abstractNum w:abstractNumId="178">
    <w:nsid w:val="12FCDE5E"/>
    <w:multiLevelType w:val="hybridMultilevel"/>
    <w:lvl w:ilvl="0">
      <w:lvlJc w:val="left"/>
      <w:lvlText w:val="(%1)"/>
      <w:numFmt w:val="lowerLetter"/>
      <w:start w:val="2"/>
    </w:lvl>
  </w:abstractNum>
  <w:abstractNum w:abstractNumId="179">
    <w:nsid w:val="4A1D606E"/>
    <w:multiLevelType w:val="hybridMultilevel"/>
    <w:lvl w:ilvl="0">
      <w:lvlJc w:val="left"/>
      <w:lvlText w:val="(%1)"/>
      <w:numFmt w:val="lowerLetter"/>
      <w:start w:val="7"/>
    </w:lvl>
  </w:abstractNum>
  <w:abstractNum w:abstractNumId="180">
    <w:nsid w:val="4382503"/>
    <w:multiLevelType w:val="hybridMultilevel"/>
    <w:lvl w:ilvl="0">
      <w:lvlJc w:val="left"/>
      <w:lvlText w:val="(%1)"/>
      <w:numFmt w:val="lowerLetter"/>
      <w:start w:val="1"/>
    </w:lvl>
  </w:abstractNum>
  <w:abstractNum w:abstractNumId="181">
    <w:nsid w:val="59B76E28"/>
    <w:multiLevelType w:val="hybridMultilevel"/>
    <w:lvl w:ilvl="0">
      <w:lvlJc w:val="left"/>
      <w:lvlText w:val="(%1)"/>
      <w:numFmt w:val="lowerRoman"/>
      <w:start w:val="1"/>
    </w:lvl>
  </w:abstractNum>
  <w:abstractNum w:abstractNumId="182">
    <w:nsid w:val="4252C2DA"/>
    <w:multiLevelType w:val="hybridMultilevel"/>
    <w:lvl w:ilvl="0">
      <w:lvlJc w:val="left"/>
      <w:lvlText w:val="(%1)"/>
      <w:numFmt w:val="lowerLetter"/>
      <w:start w:val="10"/>
    </w:lvl>
  </w:abstractNum>
  <w:abstractNum w:abstractNumId="183">
    <w:nsid w:val="6A92EF4C"/>
    <w:multiLevelType w:val="hybridMultilevel"/>
    <w:lvl w:ilvl="0">
      <w:lvlJc w:val="left"/>
      <w:lvlText w:val="(%1)"/>
      <w:numFmt w:val="lowerLetter"/>
      <w:start w:val="17"/>
    </w:lvl>
  </w:abstractNum>
  <w:abstractNum w:abstractNumId="184">
    <w:nsid w:val="41ED20D7"/>
    <w:multiLevelType w:val="hybridMultilevel"/>
    <w:lvl w:ilvl="0">
      <w:lvlJc w:val="left"/>
      <w:lvlText w:val="(%1)"/>
      <w:numFmt w:val="lowerRoman"/>
      <w:start w:val="1"/>
    </w:lvl>
  </w:abstractNum>
  <w:abstractNum w:abstractNumId="185">
    <w:nsid w:val="E6B3F6A"/>
    <w:multiLevelType w:val="hybridMultilevel"/>
    <w:lvl w:ilvl="0">
      <w:lvlJc w:val="left"/>
      <w:lvlText w:val="(%1)"/>
      <w:numFmt w:val="lowerRoman"/>
      <w:start w:val="2"/>
    </w:lvl>
  </w:abstractNum>
  <w:abstractNum w:abstractNumId="186">
    <w:nsid w:val="3EB21819"/>
    <w:multiLevelType w:val="hybridMultilevel"/>
    <w:lvl w:ilvl="0">
      <w:lvlJc w:val="left"/>
      <w:lvlText w:val="(%1)"/>
      <w:numFmt w:val="upperLetter"/>
      <w:start w:val="1"/>
    </w:lvl>
  </w:abstractNum>
  <w:abstractNum w:abstractNumId="187">
    <w:nsid w:val="41531DED"/>
    <w:multiLevelType w:val="hybridMultilevel"/>
    <w:lvl w:ilvl="0">
      <w:lvlJc w:val="left"/>
      <w:lvlText w:val="(%1)"/>
      <w:numFmt w:val="lowerLetter"/>
      <w:start w:val="9"/>
    </w:lvl>
    <w:lvl w:ilvl="1">
      <w:lvlJc w:val="left"/>
      <w:lvlText w:val="(%2)"/>
      <w:numFmt w:val="lowerLetter"/>
      <w:start w:val="1"/>
    </w:lvl>
  </w:abstractNum>
  <w:abstractNum w:abstractNumId="188">
    <w:nsid w:val="6353CD2"/>
    <w:multiLevelType w:val="hybridMultilevel"/>
    <w:lvl w:ilvl="0">
      <w:lvlJc w:val="left"/>
      <w:lvlText w:val="%1"/>
      <w:numFmt w:val="upperLetter"/>
      <w:start w:val="1"/>
    </w:lvl>
    <w:lvl w:ilvl="1">
      <w:lvlJc w:val="left"/>
      <w:lvlText w:val="(%2)"/>
      <w:numFmt w:val="lowerLetter"/>
      <w:start w:val="2"/>
    </w:lvl>
  </w:abstractNum>
  <w:abstractNum w:abstractNumId="189">
    <w:nsid w:val="683CAAD3"/>
    <w:multiLevelType w:val="hybridMultilevel"/>
    <w:lvl w:ilvl="0">
      <w:lvlJc w:val="left"/>
      <w:lvlText w:val="(%1)"/>
      <w:numFmt w:val="upperLetter"/>
      <w:start w:val="3"/>
    </w:lvl>
    <w:lvl w:ilvl="1">
      <w:lvlJc w:val="left"/>
      <w:lvlText w:val="(%2)"/>
      <w:numFmt w:val="lowerLetter"/>
      <w:start w:val="3"/>
    </w:lvl>
  </w:abstractNum>
  <w:abstractNum w:abstractNumId="190">
    <w:nsid w:val="313C7C99"/>
    <w:multiLevelType w:val="hybridMultilevel"/>
    <w:lvl w:ilvl="0">
      <w:lvlJc w:val="left"/>
      <w:lvlText w:val="(%1)"/>
      <w:numFmt w:val="decimal"/>
      <w:start w:val="12"/>
    </w:lvl>
  </w:abstractNum>
  <w:abstractNum w:abstractNumId="191">
    <w:nsid w:val="519EB94C"/>
    <w:multiLevelType w:val="hybridMultilevel"/>
    <w:lvl w:ilvl="0">
      <w:lvlJc w:val="left"/>
      <w:lvlText w:val="(%1)"/>
      <w:numFmt w:val="lowerLetter"/>
      <w:start w:val="3"/>
    </w:lvl>
  </w:abstractNum>
  <w:abstractNum w:abstractNumId="192">
    <w:nsid w:val="39DF2579"/>
    <w:multiLevelType w:val="hybridMultilevel"/>
    <w:lvl w:ilvl="0">
      <w:lvlJc w:val="left"/>
      <w:lvlText w:val="•"/>
      <w:numFmt w:val="bullet"/>
      <w:start w:val="1"/>
    </w:lvl>
  </w:abstractNum>
  <w:abstractNum w:abstractNumId="193">
    <w:nsid w:val="126E008B"/>
    <w:multiLevelType w:val="hybridMultilevel"/>
    <w:lvl w:ilvl="0">
      <w:lvlJc w:val="left"/>
      <w:lvlText w:val="•"/>
      <w:numFmt w:val="bullet"/>
      <w:start w:val="1"/>
    </w:lvl>
  </w:abstractNum>
  <w:abstractNum w:abstractNumId="194">
    <w:nsid w:val="34DFBC00"/>
    <w:multiLevelType w:val="hybridMultilevel"/>
    <w:lvl w:ilvl="0">
      <w:lvlJc w:val="left"/>
      <w:lvlText w:val="%1."/>
      <w:numFmt w:val="decimal"/>
      <w:start w:val="1"/>
    </w:lvl>
    <w:lvl w:ilvl="1">
      <w:lvlJc w:val="left"/>
      <w:lvlText w:val="(%2)"/>
      <w:numFmt w:val="lowerRoman"/>
      <w:start w:val="1"/>
    </w:lvl>
  </w:abstractNum>
  <w:abstractNum w:abstractNumId="195">
    <w:nsid w:val="1F9EC322"/>
    <w:multiLevelType w:val="hybridMultilevel"/>
    <w:lvl w:ilvl="0">
      <w:lvlJc w:val="left"/>
      <w:lvlText w:val="(%1)"/>
      <w:numFmt w:val="lowerRoman"/>
      <w:start w:val="2"/>
    </w:lvl>
  </w:abstractNum>
  <w:abstractNum w:abstractNumId="196">
    <w:nsid w:val="3410ED56"/>
    <w:multiLevelType w:val="hybridMultilevel"/>
    <w:lvl w:ilvl="0">
      <w:lvlJc w:val="left"/>
      <w:lvlText w:val="(%1)"/>
      <w:numFmt w:val="lowerRoman"/>
      <w:start w:val="11"/>
    </w:lvl>
  </w:abstractNum>
  <w:abstractNum w:abstractNumId="197">
    <w:nsid w:val="23C049A"/>
    <w:multiLevelType w:val="hybridMultilevel"/>
    <w:lvl w:ilvl="0">
      <w:lvlJc w:val="left"/>
      <w:lvlText w:val="%1."/>
      <w:numFmt w:val="decimal"/>
      <w:start w:val="3"/>
    </w:lvl>
  </w:abstractNum>
  <w:abstractNum w:abstractNumId="198">
    <w:nsid w:val="5BDA35D4"/>
    <w:multiLevelType w:val="hybridMultilevel"/>
    <w:lvl w:ilvl="0">
      <w:lvlJc w:val="left"/>
      <w:lvlText w:val="%1."/>
      <w:numFmt w:val="decimal"/>
      <w:start w:val="4"/>
    </w:lvl>
    <w:lvl w:ilvl="1">
      <w:lvlJc w:val="left"/>
      <w:lvlText w:val="%2."/>
      <w:numFmt w:val="lowerLetter"/>
      <w:start w:val="1"/>
    </w:lvl>
  </w:abstractNum>
  <w:abstractNum w:abstractNumId="199">
    <w:nsid w:val="496FB218"/>
    <w:multiLevelType w:val="hybridMultilevel"/>
    <w:lvl w:ilvl="0">
      <w:lvlJc w:val="left"/>
      <w:lvlText w:val="%1"/>
      <w:numFmt w:val="decimal"/>
      <w:start w:val="1"/>
    </w:lvl>
    <w:lvl w:ilvl="1">
      <w:lvlJc w:val="left"/>
      <w:lvlText w:val="%2."/>
      <w:numFmt w:val="lowerLetter"/>
      <w:start w:val="4"/>
    </w:lvl>
  </w:abstractNum>
  <w:abstractNum w:abstractNumId="200">
    <w:nsid w:val="680EA5D1"/>
    <w:multiLevelType w:val="hybridMultilevel"/>
    <w:lvl w:ilvl="0">
      <w:lvlJc w:val="left"/>
      <w:lvlText w:val="%1."/>
      <w:numFmt w:val="decimal"/>
      <w:start w:val="5"/>
    </w:lvl>
    <w:lvl w:ilvl="1">
      <w:lvlJc w:val="left"/>
      <w:lvlText w:val="%2"/>
      <w:numFmt w:val="lowerLetter"/>
      <w:start w:val="1"/>
    </w:lvl>
  </w:abstractNum>
  <w:abstractNum w:abstractNumId="201">
    <w:nsid w:val="4A9554FE"/>
    <w:multiLevelType w:val="hybridMultilevel"/>
    <w:lvl w:ilvl="0">
      <w:lvlJc w:val="left"/>
      <w:lvlText w:val="%1."/>
      <w:numFmt w:val="decimal"/>
      <w:start w:val="11"/>
    </w:lvl>
  </w:abstractNum>
  <w:abstractNum w:abstractNumId="202">
    <w:nsid w:val="392EDBE4"/>
    <w:multiLevelType w:val="hybridMultilevel"/>
    <w:lvl w:ilvl="0">
      <w:lvlJc w:val="left"/>
      <w:lvlText w:val="%1."/>
      <w:numFmt w:val="decimal"/>
      <w:start w:val="1"/>
    </w:lvl>
  </w:abstractNum>
  <w:abstractNum w:abstractNumId="203">
    <w:nsid w:val="3D1A2DD9"/>
    <w:multiLevelType w:val="hybridMultilevel"/>
    <w:lvl w:ilvl="0">
      <w:lvlJc w:val="left"/>
      <w:lvlText w:val="%1."/>
      <w:numFmt w:val="decimal"/>
      <w:start w:val="2"/>
    </w:lvl>
    <w:lvl w:ilvl="1">
      <w:lvlJc w:val="left"/>
      <w:lvlText w:val="(%2)"/>
      <w:numFmt w:val="lowerRoman"/>
      <w:start w:val="1"/>
    </w:lvl>
  </w:abstractNum>
  <w:abstractNum w:abstractNumId="204">
    <w:nsid w:val="7F618FCD"/>
    <w:multiLevelType w:val="hybridMultilevel"/>
    <w:lvl w:ilvl="0">
      <w:lvlJc w:val="left"/>
      <w:lvlText w:val="(%1)"/>
      <w:numFmt w:val="lowerRoman"/>
      <w:start w:val="11"/>
    </w:lvl>
  </w:abstractNum>
  <w:abstractNum w:abstractNumId="205">
    <w:nsid w:val="7843E45"/>
    <w:multiLevelType w:val="hybridMultilevel"/>
    <w:lvl w:ilvl="0">
      <w:lvlJc w:val="left"/>
      <w:lvlText w:val="%1."/>
      <w:numFmt w:val="decimal"/>
      <w:start w:val="3"/>
    </w:lvl>
  </w:abstractNum>
  <w:abstractNum w:abstractNumId="206">
    <w:nsid w:val="9815DA3"/>
    <w:multiLevelType w:val="hybridMultilevel"/>
    <w:lvl w:ilvl="0">
      <w:lvlJc w:val="left"/>
      <w:lvlText w:val="%1."/>
      <w:numFmt w:val="decimal"/>
      <w:start w:val="4"/>
    </w:lvl>
    <w:lvl w:ilvl="1">
      <w:lvlJc w:val="left"/>
      <w:lvlText w:val="%2."/>
      <w:numFmt w:val="lowerLetter"/>
      <w:start w:val="1"/>
    </w:lvl>
  </w:abstractNum>
  <w:abstractNum w:abstractNumId="207">
    <w:nsid w:val="5204A191"/>
    <w:multiLevelType w:val="hybridMultilevel"/>
    <w:lvl w:ilvl="0">
      <w:lvlJc w:val="left"/>
      <w:lvlText w:val="%1"/>
      <w:numFmt w:val="decimal"/>
      <w:start w:val="1"/>
    </w:lvl>
    <w:lvl w:ilvl="1">
      <w:lvlJc w:val="left"/>
      <w:lvlText w:val="%2."/>
      <w:numFmt w:val="lowerLetter"/>
      <w:start w:val="4"/>
    </w:lvl>
  </w:abstractNum>
  <w:abstractNum w:abstractNumId="208">
    <w:nsid w:val="4C73A9C6"/>
    <w:multiLevelType w:val="hybridMultilevel"/>
    <w:lvl w:ilvl="0">
      <w:lvlJc w:val="left"/>
      <w:lvlText w:val="%1."/>
      <w:numFmt w:val="decimal"/>
      <w:start w:val="5"/>
    </w:lvl>
    <w:lvl w:ilvl="1">
      <w:lvlJc w:val="left"/>
      <w:lvlText w:val="%2"/>
      <w:numFmt w:val="lowerLetter"/>
      <w:start w:val="1"/>
    </w:lvl>
  </w:abstractNum>
  <w:abstractNum w:abstractNumId="209">
    <w:nsid w:val="1C7E3C01"/>
    <w:multiLevelType w:val="hybridMultilevel"/>
    <w:lvl w:ilvl="0">
      <w:lvlJc w:val="left"/>
      <w:lvlText w:val="%1."/>
      <w:numFmt w:val="decimal"/>
      <w:start w:val="11"/>
    </w:lvl>
  </w:abstractNum>
  <w:abstractNum w:abstractNumId="210">
    <w:nsid w:val="1C2201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1">
    <w:nsid w:val="50ABCE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12">
    <w:nsid w:val="7635AA2A"/>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4"/>
    </w:lvl>
  </w:abstractNum>
  <w:abstractNum w:abstractNumId="213">
    <w:nsid w:val="5E74C4D9"/>
    <w:multiLevelType w:val="hybridMultilevel"/>
    <w:lvl w:ilvl="0">
      <w:lvlJc w:val="left"/>
      <w:lvlText w:val="%1."/>
      <w:numFmt w:val="decimal"/>
      <w:start w:val="2"/>
    </w:lvl>
    <w:lvl w:ilvl="1">
      <w:lvlJc w:val="left"/>
      <w:lvlText w:val="%2."/>
      <w:numFmt w:val="lowerLetter"/>
      <w:start w:val="1"/>
    </w:lvl>
  </w:abstractNum>
  <w:abstractNum w:abstractNumId="214">
    <w:nsid w:val="3B3EBE15"/>
    <w:multiLevelType w:val="hybridMultilevel"/>
    <w:lvl w:ilvl="0">
      <w:lvlJc w:val="left"/>
      <w:lvlText w:val="%1."/>
      <w:numFmt w:val="decimal"/>
      <w:start w:val="1"/>
    </w:lvl>
  </w:abstractNum>
  <w:abstractNum w:abstractNumId="215">
    <w:nsid w:val="3822CB01"/>
    <w:multiLevelType w:val="hybridMultilevel"/>
    <w:lvl w:ilvl="0">
      <w:lvlJc w:val="left"/>
      <w:lvlText w:val="%1."/>
      <w:numFmt w:val="decimal"/>
      <w:start w:val="8"/>
    </w:lvl>
  </w:abstractNum>
  <w:abstractNum w:abstractNumId="216">
    <w:nsid w:val="6CE00443"/>
    <w:multiLevelType w:val="hybridMultilevel"/>
    <w:lvl w:ilvl="0">
      <w:lvlJc w:val="left"/>
      <w:lvlText w:val="%1."/>
      <w:numFmt w:val="decimal"/>
      <w:start w:val="10"/>
    </w:lvl>
  </w:abstractNum>
  <w:abstractNum w:abstractNumId="217">
    <w:nsid w:val="79F0D62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Roman"/>
      <w:start w:val="1"/>
    </w:lvl>
  </w:abstractNum>
  <w:abstractNum w:abstractNumId="218">
    <w:nsid w:val="7975E8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Roman"/>
      <w:start w:val="1"/>
    </w:lvl>
  </w:abstractNum>
  <w:abstractNum w:abstractNumId="219">
    <w:nsid w:val="731541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4"/>
    </w:lvl>
    <w:lvl w:ilvl="4">
      <w:lvlJc w:val="left"/>
      <w:lvlText w:val="%5"/>
      <w:numFmt w:val="lowerRoman"/>
      <w:start w:val="1"/>
    </w:lvl>
  </w:abstractNum>
  <w:abstractNum w:abstractNumId="220">
    <w:nsid w:val="622D81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Roman"/>
      <w:start w:val="1"/>
    </w:lvl>
  </w:abstractNum>
  <w:abstractNum w:abstractNumId="221">
    <w:nsid w:val="2AB26587"/>
    <w:multiLevelType w:val="hybridMultilevel"/>
    <w:lvl w:ilvl="0">
      <w:lvlJc w:val="left"/>
      <w:lvlText w:val="(%1)"/>
      <w:numFmt w:val="lowerRoman"/>
      <w:start w:val="2"/>
    </w:lvl>
  </w:abstractNum>
  <w:abstractNum w:abstractNumId="222">
    <w:nsid w:val="44B3FA61"/>
    <w:multiLevelType w:val="hybridMultilevel"/>
    <w:lvl w:ilvl="0">
      <w:lvlJc w:val="left"/>
      <w:lvlText w:val="%1."/>
      <w:numFmt w:val="decimal"/>
      <w:start w:val="4"/>
    </w:lvl>
  </w:abstractNum>
  <w:abstractNum w:abstractNumId="223">
    <w:nsid w:val="1C0CA67C"/>
    <w:multiLevelType w:val="hybridMultilevel"/>
    <w:lvl w:ilvl="0">
      <w:lvlJc w:val="left"/>
      <w:lvlText w:val="%1."/>
      <w:numFmt w:val="decimal"/>
      <w:start w:val="5"/>
    </w:lvl>
  </w:abstractNum>
  <w:abstractNum w:abstractNumId="224">
    <w:nsid w:val="3D206613"/>
    <w:multiLevelType w:val="hybridMultilevel"/>
    <w:lvl w:ilvl="0">
      <w:lvlJc w:val="left"/>
      <w:lvlText w:val="%1."/>
      <w:numFmt w:val="decimal"/>
      <w:start w:val="6"/>
    </w:lvl>
  </w:abstractNum>
  <w:abstractNum w:abstractNumId="225">
    <w:nsid w:val="7993B662"/>
    <w:multiLevelType w:val="hybridMultilevel"/>
    <w:lvl w:ilvl="0">
      <w:lvlJc w:val="left"/>
      <w:lvlText w:val="%1."/>
      <w:numFmt w:val="decimal"/>
      <w:start w:val="7"/>
    </w:lvl>
  </w:abstractNum>
  <w:abstractNum w:abstractNumId="226">
    <w:nsid w:val="3BAB699E"/>
    <w:multiLevelType w:val="hybridMultilevel"/>
    <w:lvl w:ilvl="0">
      <w:lvlJc w:val="left"/>
      <w:lvlText w:val="%1."/>
      <w:numFmt w:val="decimal"/>
      <w:start w:val="8"/>
    </w:lvl>
  </w:abstractNum>
  <w:abstractNum w:abstractNumId="227">
    <w:nsid w:val="71315369"/>
    <w:multiLevelType w:val="hybridMultilevel"/>
    <w:lvl w:ilvl="0">
      <w:lvlJc w:val="left"/>
      <w:lvlText w:val="%1."/>
      <w:numFmt w:val="decimal"/>
      <w:start w:val="9"/>
    </w:lvl>
  </w:abstractNum>
  <w:abstractNum w:abstractNumId="228">
    <w:nsid w:val="7BCFBAFC"/>
    <w:multiLevelType w:val="hybridMultilevel"/>
    <w:lvl w:ilvl="0">
      <w:lvlJc w:val="left"/>
      <w:lvlText w:val="%1."/>
      <w:numFmt w:val="decimal"/>
      <w:start w:val="10"/>
    </w:lvl>
  </w:abstractNum>
  <w:abstractNum w:abstractNumId="229">
    <w:nsid w:val="17859F72"/>
    <w:multiLevelType w:val="hybridMultilevel"/>
    <w:lvl w:ilvl="0">
      <w:lvlJc w:val="left"/>
      <w:lvlText w:val="%1."/>
      <w:numFmt w:val="decimal"/>
      <w:start w:val="11"/>
    </w:lvl>
  </w:abstractNum>
  <w:abstractNum w:abstractNumId="230">
    <w:nsid w:val="3AA10581"/>
    <w:multiLevelType w:val="hybridMultilevel"/>
    <w:lvl w:ilvl="0">
      <w:lvlJc w:val="left"/>
      <w:lvlText w:val="%1."/>
      <w:numFmt w:val="decimal"/>
      <w:start w:val="12"/>
    </w:lvl>
  </w:abstractNum>
  <w:abstractNum w:abstractNumId="231">
    <w:nsid w:val="63DE60CD"/>
    <w:multiLevelType w:val="hybridMultilevel"/>
    <w:lvl w:ilvl="0">
      <w:lvlJc w:val="left"/>
      <w:lvlText w:val="%1."/>
      <w:numFmt w:val="decimal"/>
      <w:start w:val="13"/>
    </w:lvl>
  </w:abstractNum>
  <w:abstractNum w:abstractNumId="232">
    <w:nsid w:val="621AF471"/>
    <w:multiLevelType w:val="hybridMultilevel"/>
    <w:lvl w:ilvl="0">
      <w:lvlJc w:val="left"/>
      <w:lvlText w:val="%1."/>
      <w:numFmt w:val="decimal"/>
      <w:start w:val="14"/>
    </w:lvl>
  </w:abstractNum>
  <w:abstractNum w:abstractNumId="233">
    <w:nsid w:val="73CFE165"/>
    <w:multiLevelType w:val="hybridMultilevel"/>
    <w:lvl w:ilvl="0">
      <w:lvlJc w:val="left"/>
      <w:lvlText w:val="%1."/>
      <w:numFmt w:val="decimal"/>
      <w:start w:val="15"/>
    </w:lvl>
  </w:abstractNum>
  <w:abstractNum w:abstractNumId="234">
    <w:nsid w:val="20F88EA6"/>
    <w:multiLevelType w:val="hybridMultilevel"/>
    <w:lvl w:ilvl="0">
      <w:lvlJc w:val="left"/>
      <w:lvlText w:val="%1."/>
      <w:numFmt w:val="decimal"/>
      <w:start w:val="16"/>
    </w:lvl>
  </w:abstractNum>
  <w:abstractNum w:abstractNumId="235">
    <w:nsid w:val="617C843E"/>
    <w:multiLevelType w:val="hybridMultilevel"/>
    <w:lvl w:ilvl="0">
      <w:lvlJc w:val="left"/>
      <w:lvlText w:val="%1."/>
      <w:numFmt w:val="decimal"/>
      <w:start w:val="17"/>
    </w:lvl>
  </w:abstractNum>
  <w:abstractNum w:abstractNumId="236">
    <w:nsid w:val="7B541FAB"/>
    <w:multiLevelType w:val="hybridMultilevel"/>
    <w:lvl w:ilvl="0">
      <w:lvlJc w:val="left"/>
      <w:lvlText w:val="%1."/>
      <w:numFmt w:val="decimal"/>
      <w:start w:val="1"/>
    </w:lvl>
    <w:lvl w:ilvl="1">
      <w:lvlJc w:val="left"/>
      <w:lvlText w:val="(%2)"/>
      <w:numFmt w:val="lowerLetter"/>
      <w:start w:val="1"/>
    </w:lvl>
  </w:abstractNum>
  <w:abstractNum w:abstractNumId="237">
    <w:nsid w:val="2A79EC49"/>
    <w:multiLevelType w:val="hybridMultilevel"/>
    <w:lvl w:ilvl="0">
      <w:lvlJc w:val="left"/>
      <w:lvlText w:val="%1"/>
      <w:numFmt w:val="decimal"/>
      <w:start w:val="1"/>
    </w:lvl>
    <w:lvl w:ilvl="1">
      <w:lvlJc w:val="left"/>
      <w:lvlText w:val="(%2)"/>
      <w:numFmt w:val="lowerLetter"/>
      <w:start w:val="2"/>
    </w:lvl>
  </w:abstractNum>
  <w:abstractNum w:abstractNumId="238">
    <w:nsid w:val="338125CF"/>
    <w:multiLevelType w:val="hybridMultilevel"/>
    <w:lvl w:ilvl="0">
      <w:lvlJc w:val="left"/>
      <w:lvlText w:val="%1."/>
      <w:numFmt w:val="decimal"/>
      <w:start w:val="3"/>
    </w:lvl>
    <w:lvl w:ilvl="1">
      <w:lvlJc w:val="left"/>
      <w:lvlText w:val="%2"/>
      <w:numFmt w:val="lowerLetter"/>
      <w:start w:val="1"/>
    </w:lvl>
  </w:abstractNum>
  <w:abstractNum w:abstractNumId="239">
    <w:nsid w:val="47C7C971"/>
    <w:multiLevelType w:val="hybridMultilevel"/>
    <w:lvl w:ilvl="0">
      <w:lvlJc w:val="left"/>
      <w:lvlText w:val="%1."/>
      <w:numFmt w:val="decimal"/>
      <w:start w:val="1"/>
    </w:lvl>
  </w:abstractNum>
  <w:abstractNum w:abstractNumId="240">
    <w:nsid w:val="46F8284B"/>
    <w:multiLevelType w:val="hybridMultilevel"/>
    <w:lvl w:ilvl="0">
      <w:lvlJc w:val="left"/>
      <w:lvlText w:val="(%1)"/>
      <w:numFmt w:val="lowerLetter"/>
      <w:start w:val="1"/>
    </w:lvl>
  </w:abstractNum>
  <w:abstractNum w:abstractNumId="241">
    <w:nsid w:val="4FA327CE"/>
    <w:multiLevelType w:val="hybridMultilevel"/>
    <w:lvl w:ilvl="0">
      <w:lvlJc w:val="left"/>
      <w:lvlText w:val="(%1)"/>
      <w:numFmt w:val="lowerLetter"/>
      <w:start w:val="2"/>
    </w:lvl>
  </w:abstractNum>
  <w:abstractNum w:abstractNumId="242">
    <w:nsid w:val="1873983A"/>
    <w:multiLevelType w:val="hybridMultilevel"/>
    <w:lvl w:ilvl="0">
      <w:lvlJc w:val="left"/>
      <w:lvlText w:val="%1."/>
      <w:numFmt w:val="decimal"/>
      <w:start w:val="5"/>
    </w:lvl>
  </w:abstractNum>
  <w:abstractNum w:abstractNumId="243">
    <w:nsid w:val="3D2DD275"/>
    <w:multiLevelType w:val="hybridMultilevel"/>
    <w:lvl w:ilvl="0">
      <w:lvlJc w:val="left"/>
      <w:lvlText w:val="(%1)"/>
      <w:numFmt w:val="lowerLetter"/>
      <w:start w:val="1"/>
    </w:lvl>
    <w:lvl w:ilvl="1">
      <w:lvlJc w:val="left"/>
      <w:lvlText w:val="(%2)"/>
      <w:numFmt w:val="lowerRoman"/>
      <w:start w:val="1"/>
    </w:lvl>
  </w:abstractNum>
  <w:abstractNum w:abstractNumId="244">
    <w:nsid w:val="2E17ECA7"/>
    <w:multiLevelType w:val="hybridMultilevel"/>
    <w:lvl w:ilvl="0">
      <w:lvlJc w:val="left"/>
      <w:lvlText w:val="%1"/>
      <w:numFmt w:val="lowerRoman"/>
      <w:start w:val="1"/>
    </w:lvl>
    <w:lvl w:ilvl="1">
      <w:lvlJc w:val="left"/>
      <w:lvlText w:val="(%2)"/>
      <w:numFmt w:val="lowerRoman"/>
      <w:start w:val="3"/>
    </w:lvl>
  </w:abstractNum>
  <w:abstractNum w:abstractNumId="245">
    <w:nsid w:val="53B2564F"/>
    <w:multiLevelType w:val="hybridMultilevel"/>
    <w:lvl w:ilvl="0">
      <w:lvlJc w:val="left"/>
      <w:lvlText w:val="(%1)"/>
      <w:numFmt w:val="lowerRoman"/>
      <w:start w:val="3"/>
    </w:lvl>
    <w:lvl w:ilvl="1">
      <w:lvlJc w:val="left"/>
      <w:lvlText w:val="%2"/>
      <w:numFmt w:val="lowerRoman"/>
      <w:start w:val="1"/>
    </w:lvl>
  </w:abstractNum>
  <w:abstractNum w:abstractNumId="246">
    <w:nsid w:val="75509D7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47">
    <w:nsid w:val="1AF7F0E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48">
    <w:nsid w:val="4DA32C7E"/>
    <w:multiLevelType w:val="hybridMultilevel"/>
    <w:lvl w:ilvl="0">
      <w:lvlJc w:val="left"/>
      <w:lvlText w:val="%1."/>
      <w:numFmt w:val="decimal"/>
      <w:start w:val="6"/>
    </w:lvl>
  </w:abstractNum>
  <w:abstractNum w:abstractNumId="249">
    <w:nsid w:val="6EC68664"/>
    <w:multiLevelType w:val="hybridMultilevel"/>
    <w:lvl w:ilvl="0">
      <w:lvlJc w:val="left"/>
      <w:lvlText w:val="%1."/>
      <w:numFmt w:val="decimal"/>
      <w:start w:val="8"/>
    </w:lvl>
  </w:abstractNum>
  <w:abstractNum w:abstractNumId="250">
    <w:nsid w:val="E0D31FF"/>
    <w:multiLevelType w:val="hybridMultilevel"/>
    <w:lvl w:ilvl="0">
      <w:lvlJc w:val="left"/>
      <w:lvlText w:val="(%1)"/>
      <w:numFmt w:val="lowerLetter"/>
      <w:start w:val="1"/>
    </w:lvl>
  </w:abstractNum>
  <w:abstractNum w:abstractNumId="251">
    <w:nsid w:val="2FD0AD81"/>
    <w:multiLevelType w:val="hybridMultilevel"/>
    <w:lvl w:ilvl="0">
      <w:lvlJc w:val="left"/>
      <w:lvlText w:val="%1."/>
      <w:numFmt w:val="decimal"/>
      <w:start w:val="9"/>
    </w:lvl>
  </w:abstractNum>
  <w:abstractNum w:abstractNumId="252">
    <w:nsid w:val="1978EBEB"/>
    <w:multiLevelType w:val="hybridMultilevel"/>
    <w:lvl w:ilvl="0">
      <w:lvlJc w:val="left"/>
      <w:lvlText w:val="%1."/>
      <w:numFmt w:val="decimal"/>
      <w:start w:val="10"/>
    </w:lvl>
  </w:abstractNum>
  <w:abstractNum w:abstractNumId="253">
    <w:nsid w:val="52C12C61"/>
    <w:multiLevelType w:val="hybridMultilevel"/>
    <w:lvl w:ilvl="0">
      <w:lvlJc w:val="left"/>
      <w:lvlText w:val="(%1)"/>
      <w:numFmt w:val="lowerLetter"/>
      <w:start w:val="1"/>
    </w:lvl>
  </w:abstractNum>
  <w:abstractNum w:abstractNumId="254">
    <w:nsid w:val="4BDD53FD"/>
    <w:multiLevelType w:val="hybridMultilevel"/>
    <w:lvl w:ilvl="0">
      <w:lvlJc w:val="left"/>
      <w:lvlText w:val="(%1)"/>
      <w:numFmt w:val="lowerRoman"/>
      <w:start w:val="1"/>
    </w:lvl>
  </w:abstractNum>
  <w:abstractNum w:abstractNumId="255">
    <w:nsid w:val="569951FE"/>
    <w:multiLevelType w:val="hybridMultilevel"/>
    <w:lvl w:ilvl="0">
      <w:lvlJc w:val="left"/>
      <w:lvlText w:val="%1."/>
      <w:numFmt w:val="decimal"/>
      <w:start w:val="1"/>
    </w:lvl>
  </w:abstractNum>
  <w:abstractNum w:abstractNumId="256">
    <w:nsid w:val="4C54E2C3"/>
    <w:multiLevelType w:val="hybridMultilevel"/>
    <w:lvl w:ilvl="0">
      <w:lvlJc w:val="left"/>
      <w:lvlText w:val="%1."/>
      <w:numFmt w:val="decimal"/>
      <w:start w:val="3"/>
    </w:lvl>
  </w:abstractNum>
  <w:abstractNum w:abstractNumId="257">
    <w:nsid w:val="788BD9B"/>
    <w:multiLevelType w:val="hybridMultilevel"/>
    <w:lvl w:ilvl="0">
      <w:lvlJc w:val="left"/>
      <w:lvlText w:val="%1."/>
      <w:numFmt w:val="decimal"/>
      <w:start w:val="4"/>
    </w:lvl>
  </w:abstractNum>
  <w:abstractNum w:abstractNumId="258">
    <w:nsid w:val="47CAA567"/>
    <w:multiLevelType w:val="hybridMultilevel"/>
    <w:lvl w:ilvl="0">
      <w:lvlJc w:val="left"/>
      <w:lvlText w:val="(%1)"/>
      <w:numFmt w:val="lowerLetter"/>
      <w:start w:val="1"/>
    </w:lvl>
  </w:abstractNum>
  <w:abstractNum w:abstractNumId="259">
    <w:nsid w:val="48249DBF"/>
    <w:multiLevelType w:val="hybridMultilevel"/>
    <w:lvl w:ilvl="0">
      <w:lvlJc w:val="left"/>
      <w:lvlText w:val="%1."/>
      <w:numFmt w:val="decimal"/>
      <w:start w:val="5"/>
    </w:lvl>
  </w:abstractNum>
  <w:abstractNum w:abstractNumId="260">
    <w:nsid w:val="1F0E5D0D"/>
    <w:multiLevelType w:val="hybridMultilevel"/>
    <w:lvl w:ilvl="0">
      <w:lvlJc w:val="left"/>
      <w:lvlText w:val="(%1)"/>
      <w:numFmt w:val="lowerLetter"/>
      <w:start w:val="1"/>
    </w:lvl>
    <w:lvl w:ilvl="1">
      <w:lvlJc w:val="left"/>
      <w:lvlText w:val="(%2)"/>
      <w:numFmt w:val="lowerRoman"/>
      <w:start w:val="1"/>
    </w:lvl>
  </w:abstractNum>
  <w:abstractNum w:abstractNumId="261">
    <w:nsid w:val="26BAA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62">
    <w:nsid w:val="2C02FE8C"/>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263">
    <w:nsid w:val="129517E"/>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264">
    <w:nsid w:val="763B8C4E"/>
    <w:multiLevelType w:val="hybridMultilevel"/>
    <w:lvl w:ilvl="0">
      <w:lvlJc w:val="left"/>
      <w:lvlText w:val="(%1)"/>
      <w:numFmt w:val="lowerRoman"/>
      <w:start w:val="3"/>
    </w:lvl>
    <w:lvl w:ilvl="1">
      <w:lvlJc w:val="left"/>
      <w:lvlText w:val="%2."/>
      <w:numFmt w:val="decimal"/>
      <w:start w:val="6"/>
    </w:lvl>
    <w:lvl w:ilvl="2">
      <w:lvlJc w:val="left"/>
      <w:lvlText w:val="%3"/>
      <w:numFmt w:val="lowerRoman"/>
      <w:start w:val="1"/>
    </w:lvl>
  </w:abstractNum>
  <w:abstractNum w:abstractNumId="265">
    <w:nsid w:val="4CFB8D32"/>
    <w:multiLevelType w:val="hybridMultilevel"/>
    <w:lvl w:ilvl="0">
      <w:lvlJc w:val="left"/>
      <w:lvlText w:val="%1."/>
      <w:numFmt w:val="decimal"/>
      <w:start w:val="8"/>
    </w:lvl>
  </w:abstractNum>
  <w:abstractNum w:abstractNumId="266">
    <w:nsid w:val="62A5D5BD"/>
    <w:multiLevelType w:val="hybridMultilevel"/>
    <w:lvl w:ilvl="0">
      <w:lvlJc w:val="left"/>
      <w:lvlText w:val="(%1)"/>
      <w:numFmt w:val="lowerLetter"/>
      <w:start w:val="1"/>
    </w:lvl>
  </w:abstractNum>
  <w:abstractNum w:abstractNumId="267">
    <w:nsid w:val="718FABF9"/>
    <w:multiLevelType w:val="hybridMultilevel"/>
    <w:lvl w:ilvl="0">
      <w:lvlJc w:val="left"/>
      <w:lvlText w:val="%1."/>
      <w:numFmt w:val="decimal"/>
      <w:start w:val="9"/>
    </w:lvl>
  </w:abstractNum>
  <w:abstractNum w:abstractNumId="268">
    <w:nsid w:val="7775797C"/>
    <w:multiLevelType w:val="hybridMultilevel"/>
    <w:lvl w:ilvl="0">
      <w:lvlJc w:val="left"/>
      <w:lvlText w:val="%1."/>
      <w:numFmt w:val="decimal"/>
      <w:start w:val="10"/>
    </w:lvl>
  </w:abstractNum>
  <w:abstractNum w:abstractNumId="269">
    <w:nsid w:val="1626FB8C"/>
    <w:multiLevelType w:val="hybridMultilevel"/>
    <w:lvl w:ilvl="0">
      <w:lvlJc w:val="left"/>
      <w:lvlText w:val="(%1)"/>
      <w:numFmt w:val="lowerLetter"/>
      <w:start w:val="1"/>
    </w:lvl>
  </w:abstractNum>
  <w:abstractNum w:abstractNumId="270">
    <w:nsid w:val="3957756A"/>
    <w:multiLevelType w:val="hybridMultilevel"/>
    <w:lvl w:ilvl="0">
      <w:lvlJc w:val="left"/>
      <w:lvlText w:val="(%1)"/>
      <w:numFmt w:val="lowerLetter"/>
      <w:start w:val="1"/>
    </w:lvl>
  </w:abstractNum>
  <w:abstractNum w:abstractNumId="271">
    <w:nsid w:val="3E6DA1C7"/>
    <w:multiLevelType w:val="hybridMultilevel"/>
    <w:lvl w:ilvl="0">
      <w:lvlJc w:val="left"/>
      <w:lvlText w:val="(%1)"/>
      <w:numFmt w:val="lowerRoman"/>
      <w:start w:val="3"/>
    </w:lvl>
  </w:abstractNum>
  <w:abstractNum w:abstractNumId="272">
    <w:nsid w:val="65CA235B"/>
    <w:multiLevelType w:val="hybridMultilevel"/>
    <w:lvl w:ilvl="0">
      <w:lvlJc w:val="left"/>
      <w:lvlText w:val="•"/>
      <w:numFmt w:val="bullet"/>
      <w:start w:val="1"/>
    </w:lvl>
  </w:abstractNum>
  <w:abstractNum w:abstractNumId="273">
    <w:nsid w:val="51CB0DA4"/>
    <w:multiLevelType w:val="hybridMultilevel"/>
    <w:lvl w:ilvl="0">
      <w:lvlJc w:val="left"/>
      <w:lvlText w:val="%1."/>
      <w:numFmt w:val="decimal"/>
      <w:start w:val="1"/>
    </w:lvl>
  </w:abstractNum>
  <w:abstractNum w:abstractNumId="274">
    <w:nsid w:val="7B9B743C"/>
    <w:multiLevelType w:val="hybridMultilevel"/>
    <w:lvl w:ilvl="0">
      <w:lvlJc w:val="left"/>
      <w:lvlText w:val="%1."/>
      <w:numFmt w:val="decimal"/>
      <w:start w:val="6"/>
    </w:lvl>
  </w:abstractNum>
  <w:abstractNum w:abstractNumId="275">
    <w:nsid w:val="13E21002"/>
    <w:multiLevelType w:val="hybridMultilevel"/>
    <w:lvl w:ilvl="0">
      <w:lvlJc w:val="left"/>
      <w:lvlText w:val="%1."/>
      <w:numFmt w:val="decimal"/>
      <w:start w:val="9"/>
    </w:lvl>
  </w:abstractNum>
  <w:abstractNum w:abstractNumId="276">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7">
    <w:nsid w:val="70EC11B2"/>
    <w:multiLevelType w:val="hybridMultilevel"/>
    <w:lvl w:ilvl="0">
      <w:lvlJc w:val="left"/>
      <w:lvlText w:val="%1."/>
      <w:numFmt w:val="decimal"/>
      <w:start w:val="2"/>
    </w:lvl>
    <w:lvl w:ilvl="1">
      <w:lvlJc w:val="left"/>
      <w:lvlText w:val="%2."/>
      <w:numFmt w:val="lowerLetter"/>
      <w:start w:val="1"/>
    </w:lvl>
  </w:abstractNum>
  <w:abstractNum w:abstractNumId="278">
    <w:nsid w:val="2EDA00ED"/>
    <w:multiLevelType w:val="hybridMultilevel"/>
    <w:lvl w:ilvl="0">
      <w:lvlJc w:val="left"/>
      <w:lvlText w:val="%1."/>
      <w:numFmt w:val="decimal"/>
      <w:start w:val="3"/>
    </w:lvl>
  </w:abstractNum>
  <w:abstractNum w:abstractNumId="279">
    <w:nsid w:val="73209072"/>
    <w:multiLevelType w:val="hybridMultilevel"/>
    <w:lvl w:ilvl="0">
      <w:lvlJc w:val="left"/>
      <w:lvlText w:val="(%1)"/>
      <w:numFmt w:val="lowerLetter"/>
      <w:start w:val="1"/>
    </w:lvl>
  </w:abstractNum>
  <w:abstractNum w:abstractNumId="280">
    <w:nsid w:val="5FB29816"/>
    <w:multiLevelType w:val="hybridMultilevel"/>
    <w:lvl w:ilvl="0">
      <w:lvlJc w:val="left"/>
      <w:lvlText w:val="(%1)"/>
      <w:numFmt w:val="lowerLetter"/>
      <w:start w:val="1"/>
    </w:lvl>
  </w:abstractNum>
  <w:abstractNum w:abstractNumId="281">
    <w:nsid w:val="3CE732EC"/>
    <w:multiLevelType w:val="hybridMultilevel"/>
    <w:lvl w:ilvl="0">
      <w:lvlJc w:val="left"/>
      <w:lvlText w:val="%1"/>
      <w:numFmt w:val="lowerLetter"/>
      <w:start w:val="1"/>
    </w:lvl>
    <w:lvl w:ilvl="1">
      <w:lvlJc w:val="left"/>
      <w:lvlText w:val="(%2)"/>
      <w:numFmt w:val="lowerLetter"/>
      <w:start w:val="1"/>
    </w:lvl>
  </w:abstractNum>
  <w:abstractNum w:abstractNumId="282">
    <w:nsid w:val="22F13DF3"/>
    <w:multiLevelType w:val="hybridMultilevel"/>
    <w:lvl w:ilvl="0">
      <w:lvlJc w:val="left"/>
      <w:lvlText w:val="(%1)"/>
      <w:numFmt w:val="lowerLetter"/>
      <w:start w:val="35"/>
    </w:lvl>
    <w:lvl w:ilvl="1">
      <w:lvlJc w:val="left"/>
      <w:lvlText w:val="(%2)"/>
      <w:numFmt w:val="lowerLetter"/>
      <w:start w:val="3"/>
    </w:lvl>
  </w:abstractNum>
  <w:abstractNum w:abstractNumId="283">
    <w:nsid w:val="792B8401"/>
    <w:multiLevelType w:val="hybridMultilevel"/>
    <w:lvl w:ilvl="0">
      <w:lvlJc w:val="left"/>
      <w:lvlText w:val="(%1)"/>
      <w:numFmt w:val="lowerLetter"/>
      <w:start w:val="1"/>
    </w:lvl>
  </w:abstractNum>
  <w:abstractNum w:abstractNumId="284">
    <w:nsid w:val="FA85F4D"/>
    <w:multiLevelType w:val="hybridMultilevel"/>
    <w:lvl w:ilvl="0">
      <w:lvlJc w:val="left"/>
      <w:lvlText w:val="(%1)"/>
      <w:numFmt w:val="lowerLetter"/>
      <w:start w:val="2"/>
    </w:lvl>
  </w:abstractNum>
  <w:abstractNum w:abstractNumId="285">
    <w:nsid w:val="6ECE91F0"/>
    <w:multiLevelType w:val="hybridMultilevel"/>
    <w:lvl w:ilvl="0">
      <w:lvlJc w:val="left"/>
      <w:lvlText w:val="(%1)"/>
      <w:numFmt w:val="lowerLetter"/>
      <w:start w:val="1"/>
    </w:lvl>
    <w:lvl w:ilvl="1">
      <w:lvlJc w:val="left"/>
      <w:lvlText w:val="(%2)"/>
      <w:numFmt w:val="lowerRoman"/>
      <w:start w:val="1"/>
    </w:lvl>
  </w:abstractNum>
  <w:abstractNum w:abstractNumId="286">
    <w:nsid w:val="4FC4D600"/>
    <w:multiLevelType w:val="hybridMultilevel"/>
    <w:lvl w:ilvl="0">
      <w:lvlJc w:val="left"/>
      <w:lvlText w:val="(%1)"/>
      <w:numFmt w:val="lowerLetter"/>
      <w:start w:val="3"/>
    </w:lvl>
    <w:lvl w:ilvl="1">
      <w:lvlJc w:val="left"/>
      <w:lvlText w:val="(%2)"/>
      <w:numFmt w:val="lowerLetter"/>
      <w:start w:val="9"/>
    </w:lvl>
  </w:abstractNum>
  <w:abstractNum w:abstractNumId="287">
    <w:nsid w:val="5BFD4210"/>
    <w:multiLevelType w:val="hybridMultilevel"/>
    <w:lvl w:ilvl="0">
      <w:lvlJc w:val="left"/>
      <w:lvlText w:val="(%1)"/>
      <w:numFmt w:val="lowerLetter"/>
      <w:start w:val="4"/>
    </w:lvl>
    <w:lvl w:ilvl="1">
      <w:lvlJc w:val="left"/>
      <w:lvlText w:val="(%2)"/>
      <w:numFmt w:val="lowerRoman"/>
      <w:start w:val="1"/>
    </w:lvl>
  </w:abstractNum>
  <w:abstractNum w:abstractNumId="288">
    <w:nsid w:val="76574F8B"/>
    <w:multiLevelType w:val="hybridMultilevel"/>
    <w:lvl w:ilvl="0">
      <w:lvlJc w:val="left"/>
      <w:lvlText w:val="(%1)"/>
      <w:numFmt w:val="lowerLetter"/>
      <w:start w:val="1"/>
    </w:lvl>
  </w:abstractNum>
  <w:abstractNum w:abstractNumId="289">
    <w:nsid w:val="178F7B67"/>
    <w:multiLevelType w:val="hybridMultilevel"/>
    <w:lvl w:ilvl="0">
      <w:lvlJc w:val="left"/>
      <w:lvlText w:val="(%1)"/>
      <w:numFmt w:val="lowerLetter"/>
      <w:start w:val="2"/>
    </w:lvl>
  </w:abstractNum>
  <w:abstractNum w:abstractNumId="290">
    <w:nsid w:val="2421DFCF"/>
    <w:multiLevelType w:val="hybridMultilevel"/>
    <w:lvl w:ilvl="0">
      <w:lvlJc w:val="left"/>
      <w:lvlText w:val="(%1)"/>
      <w:numFmt w:val="lowerLetter"/>
      <w:start w:val="6"/>
    </w:lvl>
  </w:abstractNum>
  <w:abstractNum w:abstractNumId="291">
    <w:nsid w:val="1565AC99"/>
    <w:multiLevelType w:val="hybridMultilevel"/>
    <w:lvl w:ilvl="0">
      <w:lvlJc w:val="left"/>
      <w:lvlText w:val="(%1)"/>
      <w:numFmt w:val="lowerLetter"/>
      <w:start w:val="1"/>
    </w:lvl>
  </w:abstractNum>
  <w:abstractNum w:abstractNumId="292">
    <w:nsid w:val="19FB2650"/>
    <w:multiLevelType w:val="hybridMultilevel"/>
    <w:lvl w:ilvl="0">
      <w:lvlJc w:val="left"/>
      <w:lvlText w:val="(%1)"/>
      <w:numFmt w:val="lowerLetter"/>
      <w:start w:val="1"/>
    </w:lvl>
  </w:abstractNum>
  <w:abstractNum w:abstractNumId="293">
    <w:nsid w:val="5024DE5B"/>
    <w:multiLevelType w:val="hybridMultilevel"/>
    <w:lvl w:ilvl="0">
      <w:lvlJc w:val="left"/>
      <w:lvlText w:val="(%1)"/>
      <w:numFmt w:val="lowerLetter"/>
      <w:start w:val="2"/>
    </w:lvl>
  </w:abstractNum>
  <w:abstractNum w:abstractNumId="294">
    <w:nsid w:val="168EFE17"/>
    <w:multiLevelType w:val="hybridMultilevel"/>
    <w:lvl w:ilvl="0">
      <w:lvlJc w:val="left"/>
      <w:lvlText w:val="(%1)"/>
      <w:numFmt w:val="lowerLetter"/>
      <w:start w:val="6"/>
    </w:lvl>
  </w:abstractNum>
  <w:abstractNum w:abstractNumId="295">
    <w:nsid w:val="1036B29F"/>
    <w:multiLevelType w:val="hybridMultilevel"/>
    <w:lvl w:ilvl="0">
      <w:lvlJc w:val="left"/>
      <w:lvlText w:val="(%1)"/>
      <w:numFmt w:val="lowerLetter"/>
      <w:start w:val="1"/>
    </w:lvl>
  </w:abstractNum>
  <w:abstractNum w:abstractNumId="296">
    <w:nsid w:val="1D206B8E"/>
    <w:multiLevelType w:val="hybridMultilevel"/>
    <w:lvl w:ilvl="0">
      <w:lvlJc w:val="left"/>
      <w:lvlText w:val="(%1)"/>
      <w:numFmt w:val="lowerLetter"/>
      <w:start w:val="3"/>
    </w:lvl>
  </w:abstractNum>
  <w:abstractNum w:abstractNumId="297">
    <w:nsid w:val="7934D3D4"/>
    <w:multiLevelType w:val="hybridMultilevel"/>
    <w:lvl w:ilvl="0">
      <w:lvlJc w:val="left"/>
      <w:lvlText w:val="(%1)"/>
      <w:numFmt w:val="lowerLetter"/>
      <w:start w:val="1"/>
    </w:lvl>
  </w:abstractNum>
  <w:abstractNum w:abstractNumId="298">
    <w:nsid w:val="1C65E98"/>
    <w:multiLevelType w:val="hybridMultilevel"/>
    <w:lvl w:ilvl="0">
      <w:lvlJc w:val="left"/>
      <w:lvlText w:val="(%1)"/>
      <w:numFmt w:val="lowerLetter"/>
      <w:start w:val="3"/>
    </w:lvl>
  </w:abstractNum>
  <w:abstractNum w:abstractNumId="299">
    <w:nsid w:val="1495E50A"/>
    <w:multiLevelType w:val="hybridMultilevel"/>
    <w:lvl w:ilvl="0">
      <w:lvlJc w:val="left"/>
      <w:lvlText w:val="(%1)"/>
      <w:numFmt w:val="lowerLetter"/>
      <w:start w:val="1"/>
    </w:lvl>
  </w:abstractNum>
  <w:abstractNum w:abstractNumId="300">
    <w:nsid w:val="F5BCF61"/>
    <w:multiLevelType w:val="hybridMultilevel"/>
    <w:lvl w:ilvl="0">
      <w:lvlJc w:val="left"/>
      <w:lvlText w:val="(%1)"/>
      <w:numFmt w:val="lowerLetter"/>
      <w:start w:val="11"/>
    </w:lvl>
  </w:abstractNum>
  <w:abstractNum w:abstractNumId="301">
    <w:nsid w:val="3B1DD403"/>
    <w:multiLevelType w:val="hybridMultilevel"/>
    <w:lvl w:ilvl="0">
      <w:lvlJc w:val="left"/>
      <w:lvlText w:val="(%1)"/>
      <w:numFmt w:val="lowerLetter"/>
      <w:start w:val="26"/>
    </w:lvl>
  </w:abstractNum>
  <w:abstractNum w:abstractNumId="302">
    <w:nsid w:val="530386D1"/>
    <w:multiLevelType w:val="hybridMultilevel"/>
    <w:lvl w:ilvl="0">
      <w:lvlJc w:val="left"/>
      <w:lvlText w:val="(%1)"/>
      <w:numFmt w:val="lowerLetter"/>
      <w:start w:val="28"/>
    </w:lvl>
  </w:abstractNum>
  <w:abstractNum w:abstractNumId="303">
    <w:nsid w:val="7525F2BC"/>
    <w:multiLevelType w:val="hybridMultilevel"/>
    <w:lvl w:ilvl="0">
      <w:lvlJc w:val="left"/>
      <w:lvlText w:val="•"/>
      <w:numFmt w:val="bullet"/>
      <w:start w:val="1"/>
    </w:lvl>
  </w:abstractNum>
  <w:abstractNum w:abstractNumId="304">
    <w:nsid w:val="CE8E1A7"/>
    <w:multiLevelType w:val="hybridMultilevel"/>
    <w:lvl w:ilvl="0">
      <w:lvlJc w:val="left"/>
      <w:lvlText w:val="%1."/>
      <w:numFmt w:val="upperLetter"/>
      <w:start w:val="9"/>
    </w:lvl>
  </w:abstractNum>
  <w:abstractNum w:abstractNumId="305">
    <w:nsid w:val="4E9EFB0D"/>
    <w:multiLevelType w:val="hybridMultilevel"/>
    <w:lvl w:ilvl="0">
      <w:lvlJc w:val="left"/>
      <w:lvlText w:val="1"/>
      <w:numFmt w:val="bullet"/>
      <w:start w:val="1"/>
    </w:lvl>
  </w:abstractNum>
  <w:abstractNum w:abstractNumId="306">
    <w:nsid w:val="90802BE"/>
    <w:multiLevelType w:val="hybridMultilevel"/>
    <w:lvl w:ilvl="0">
      <w:lvlJc w:val="left"/>
      <w:lvlText w:val="•"/>
      <w:numFmt w:val="bullet"/>
      <w:start w:val="1"/>
    </w:lvl>
  </w:abstractNum>
  <w:abstractNum w:abstractNumId="307">
    <w:nsid w:val="3266459B"/>
    <w:multiLevelType w:val="hybridMultilevel"/>
    <w:lvl w:ilvl="0">
      <w:lvlJc w:val="left"/>
      <w:lvlText w:val="%1."/>
      <w:numFmt w:val="upperLetter"/>
      <w:start w:val="35"/>
    </w:lvl>
  </w:abstractNum>
  <w:abstractNum w:abstractNumId="308">
    <w:nsid w:val="3F8B0CBF"/>
    <w:multiLevelType w:val="hybridMultilevel"/>
    <w:lvl w:ilvl="0">
      <w:lvlJc w:val="left"/>
      <w:lvlText w:val="%1."/>
      <w:numFmt w:val="upperLetter"/>
      <w:start w:val="61"/>
    </w:lvl>
  </w:abstractNum>
  <w:abstractNum w:abstractNumId="309">
    <w:nsid w:val="37E203AB"/>
    <w:multiLevelType w:val="hybridMultilevel"/>
    <w:lvl w:ilvl="0">
      <w:lvlJc w:val="left"/>
      <w:lvlText w:val="%1."/>
      <w:numFmt w:val="upperLetter"/>
      <w:start w:val="22"/>
    </w:lvl>
  </w:abstractNum>
  <w:abstractNum w:abstractNumId="310">
    <w:nsid w:val="2586D60E"/>
    <w:multiLevelType w:val="hybridMultilevel"/>
    <w:lvl w:ilvl="0">
      <w:lvlJc w:val="left"/>
      <w:lvlText w:val="•"/>
      <w:numFmt w:val="bullet"/>
      <w:start w:val="1"/>
    </w:lvl>
  </w:abstractNum>
  <w:abstractNum w:abstractNumId="311">
    <w:nsid w:val="1F3DA4D5"/>
    <w:multiLevelType w:val="hybridMultilevel"/>
    <w:lvl w:ilvl="0">
      <w:lvlJc w:val="left"/>
      <w:lvlText w:val="•"/>
      <w:numFmt w:val="bullet"/>
      <w:start w:val="1"/>
    </w:lvl>
  </w:abstractNum>
  <w:abstractNum w:abstractNumId="312">
    <w:nsid w:val="74C93698"/>
    <w:multiLevelType w:val="hybridMultilevel"/>
    <w:lvl w:ilvl="0">
      <w:lvlJc w:val="left"/>
      <w:lvlText w:val="•"/>
      <w:numFmt w:val="bullet"/>
      <w:start w:val="1"/>
    </w:lvl>
    <w:lvl w:ilvl="1">
      <w:lvlJc w:val="left"/>
      <w:lvlText w:val="•"/>
      <w:numFmt w:val="bullet"/>
      <w:start w:val="1"/>
    </w:lvl>
  </w:abstractNum>
  <w:abstractNum w:abstractNumId="313">
    <w:nsid w:val="48781401"/>
    <w:multiLevelType w:val="hybridMultilevel"/>
    <w:lvl w:ilvl="0">
      <w:lvlJc w:val="left"/>
      <w:lvlText w:val="(%1)"/>
      <w:numFmt w:val="lowerRoman"/>
      <w:start w:val="1"/>
    </w:lvl>
    <w:lvl w:ilvl="1">
      <w:lvlJc w:val="left"/>
      <w:lvlText w:val="•"/>
      <w:numFmt w:val="bullet"/>
      <w:start w:val="1"/>
    </w:lvl>
  </w:abstractNum>
  <w:abstractNum w:abstractNumId="314">
    <w:nsid w:val="186928D6"/>
    <w:multiLevelType w:val="hybridMultilevel"/>
    <w:lvl w:ilvl="0">
      <w:lvlJc w:val="left"/>
      <w:lvlText w:val="(%1)"/>
      <w:numFmt w:val="lowerLetter"/>
      <w:start w:val="1"/>
    </w:lvl>
  </w:abstractNum>
  <w:abstractNum w:abstractNumId="315">
    <w:nsid w:val="47195E5"/>
    <w:multiLevelType w:val="hybridMultilevel"/>
    <w:lvl w:ilvl="0">
      <w:lvlJc w:val="left"/>
      <w:lvlText w:val="(%1)"/>
      <w:numFmt w:val="lowerLetter"/>
      <w:start w:val="2"/>
    </w:lvl>
  </w:abstractNum>
  <w:abstractNum w:abstractNumId="316">
    <w:nsid w:val="3746A5F2"/>
    <w:multiLevelType w:val="hybridMultilevel"/>
    <w:lvl w:ilvl="0">
      <w:lvlJc w:val="left"/>
      <w:lvlText w:val="(%1)"/>
      <w:numFmt w:val="lowerLetter"/>
      <w:start w:val="1"/>
    </w:lvl>
  </w:abstractNum>
  <w:abstractNum w:abstractNumId="317">
    <w:nsid w:val="682DFED6"/>
    <w:multiLevelType w:val="hybridMultilevel"/>
    <w:lvl w:ilvl="0">
      <w:lvlJc w:val="left"/>
      <w:lvlText w:val="(%1)"/>
      <w:numFmt w:val="lowerRoman"/>
      <w:start w:val="1"/>
    </w:lvl>
  </w:abstractNum>
  <w:abstractNum w:abstractNumId="318">
    <w:nsid w:val="606ED7F6"/>
    <w:multiLevelType w:val="hybridMultilevel"/>
    <w:lvl w:ilvl="0">
      <w:lvlJc w:val="left"/>
      <w:lvlText w:val="(%1)"/>
      <w:numFmt w:val="lowerLetter"/>
      <w:start w:val="1"/>
    </w:lvl>
  </w:abstractNum>
  <w:abstractNum w:abstractNumId="319">
    <w:nsid w:val="2D9DF57D"/>
    <w:multiLevelType w:val="hybridMultilevel"/>
    <w:lvl w:ilvl="0">
      <w:lvlJc w:val="left"/>
      <w:lvlText w:val="%1."/>
      <w:numFmt w:val="lowerLetter"/>
      <w:start w:val="1"/>
    </w:lvl>
  </w:abstractNum>
  <w:abstractNum w:abstractNumId="320">
    <w:nsid w:val="7FBD7A3E"/>
    <w:multiLevelType w:val="hybridMultilevel"/>
    <w:lvl w:ilvl="0">
      <w:lvlJc w:val="left"/>
      <w:lvlText w:val="%1."/>
      <w:numFmt w:val="lowerLetter"/>
      <w:start w:val="2"/>
    </w:lvl>
  </w:abstractNum>
  <w:abstractNum w:abstractNumId="321">
    <w:nsid w:val="490B7C5"/>
    <w:multiLevelType w:val="hybridMultilevel"/>
    <w:lvl w:ilvl="0">
      <w:lvlJc w:val="left"/>
      <w:lvlText w:val="%1."/>
      <w:numFmt w:val="lowerRoman"/>
      <w:start w:val="1"/>
    </w:lvl>
  </w:abstractNum>
  <w:abstractNum w:abstractNumId="322">
    <w:nsid w:val="4303A216"/>
    <w:multiLevelType w:val="hybridMultilevel"/>
    <w:lvl w:ilvl="0">
      <w:lvlJc w:val="left"/>
      <w:lvlText w:val="%1."/>
      <w:numFmt w:val="lowerRoman"/>
      <w:start w:val="2"/>
    </w:lvl>
  </w:abstractNum>
  <w:abstractNum w:abstractNumId="323">
    <w:nsid w:val="19B8A08E"/>
    <w:multiLevelType w:val="hybridMultilevel"/>
    <w:lvl w:ilvl="0">
      <w:lvlJc w:val="left"/>
      <w:lvlText w:val="%1."/>
      <w:numFmt w:val="lowerRoman"/>
      <w:start w:val="9"/>
    </w:lvl>
  </w:abstractNum>
  <w:abstractNum w:abstractNumId="324">
    <w:nsid w:val="54B59621"/>
    <w:multiLevelType w:val="hybridMultilevel"/>
    <w:lvl w:ilvl="0">
      <w:lvlJc w:val="left"/>
      <w:lvlText w:val="%1."/>
      <w:numFmt w:val="lowerLetter"/>
      <w:start w:val="3"/>
    </w:lvl>
  </w:abstractNum>
  <w:abstractNum w:abstractNumId="325">
    <w:nsid w:val="5992A02E"/>
    <w:multiLevelType w:val="hybridMultilevel"/>
    <w:lvl w:ilvl="0">
      <w:lvlJc w:val="left"/>
      <w:lvlText w:val="%1."/>
      <w:numFmt w:val="lowerRoman"/>
      <w:start w:val="1"/>
    </w:lvl>
  </w:abstractNum>
  <w:abstractNum w:abstractNumId="326">
    <w:nsid w:val="29EF532D"/>
    <w:multiLevelType w:val="hybridMultilevel"/>
    <w:lvl w:ilvl="0">
      <w:lvlJc w:val="left"/>
      <w:lvlText w:val="%1."/>
      <w:numFmt w:val="lowerLetter"/>
      <w:start w:val="4"/>
    </w:lvl>
  </w:abstractNum>
  <w:abstractNum w:abstractNumId="327">
    <w:nsid w:val="71D601AF"/>
    <w:multiLevelType w:val="hybridMultilevel"/>
    <w:lvl w:ilvl="0">
      <w:lvlJc w:val="left"/>
      <w:lvlText w:val="•"/>
      <w:numFmt w:val="bullet"/>
      <w:start w:val="1"/>
    </w:lvl>
  </w:abstractNum>
  <w:abstractNum w:abstractNumId="328">
    <w:nsid w:val="52C77402"/>
    <w:multiLevelType w:val="hybridMultilevel"/>
    <w:lvl w:ilvl="0">
      <w:lvlJc w:val="left"/>
      <w:lvlText w:val="%1."/>
      <w:numFmt w:val="lowerLetter"/>
      <w:start w:val="5"/>
    </w:lvl>
  </w:abstractNum>
  <w:abstractNum w:abstractNumId="329">
    <w:nsid w:val="2BB5B1C6"/>
    <w:multiLevelType w:val="hybridMultilevel"/>
    <w:lvl w:ilvl="0">
      <w:lvlJc w:val="left"/>
      <w:lvlText w:val="(%1)"/>
      <w:numFmt w:val="decimal"/>
      <w:start w:val="1"/>
    </w:lvl>
  </w:abstractNum>
  <w:abstractNum w:abstractNumId="330">
    <w:nsid w:val="66BE6B9"/>
    <w:multiLevelType w:val="hybridMultilevel"/>
    <w:lvl w:ilvl="0">
      <w:lvlJc w:val="left"/>
      <w:lvlText w:val="(%1)"/>
      <w:numFmt w:val="decimal"/>
      <w:start w:val="2"/>
    </w:lvl>
  </w:abstractNum>
  <w:abstractNum w:abstractNumId="331">
    <w:nsid w:val="62234363"/>
    <w:multiLevelType w:val="hybridMultilevel"/>
    <w:lvl w:ilvl="0">
      <w:lvlJc w:val="left"/>
      <w:lvlText w:val="•"/>
      <w:numFmt w:val="bullet"/>
      <w:start w:val="1"/>
    </w:lvl>
  </w:abstractNum>
  <w:abstractNum w:abstractNumId="332">
    <w:nsid w:val="66D385C9"/>
    <w:multiLevelType w:val="hybridMultilevel"/>
    <w:lvl w:ilvl="0">
      <w:lvlJc w:val="left"/>
      <w:lvlText w:val="•"/>
      <w:numFmt w:val="bullet"/>
      <w:start w:val="1"/>
    </w:lvl>
  </w:abstractNum>
  <w:abstractNum w:abstractNumId="333">
    <w:nsid w:val="596F6D8A"/>
    <w:multiLevelType w:val="hybridMultilevel"/>
    <w:lvl w:ilvl="0">
      <w:lvlJc w:val="left"/>
      <w:lvlText w:val="•"/>
      <w:numFmt w:val="bullet"/>
      <w:start w:val="1"/>
    </w:lvl>
  </w:abstractNum>
  <w:abstractNum w:abstractNumId="334">
    <w:nsid w:val="5749361F"/>
    <w:multiLevelType w:val="hybridMultilevel"/>
    <w:lvl w:ilvl="0">
      <w:lvlJc w:val="left"/>
      <w:lvlText w:val="(%1)"/>
      <w:numFmt w:val="upperLetter"/>
      <w:start w:val="1"/>
    </w:lvl>
  </w:abstractNum>
  <w:abstractNum w:abstractNumId="335">
    <w:nsid w:val="73BC6770"/>
    <w:multiLevelType w:val="hybridMultilevel"/>
    <w:lvl w:ilvl="0">
      <w:lvlJc w:val="left"/>
      <w:lvlText w:val="(%1)"/>
      <w:numFmt w:val="upperLetter"/>
      <w:start w:val="1"/>
    </w:lvl>
  </w:abstractNum>
  <w:abstractNum w:abstractNumId="336">
    <w:nsid w:val="280E6897"/>
    <w:multiLevelType w:val="hybridMultilevel"/>
    <w:lvl w:ilvl="0">
      <w:lvlJc w:val="left"/>
      <w:lvlText w:val="(%1)"/>
      <w:numFmt w:val="lowerRoman"/>
      <w:start w:val="1"/>
    </w:lvl>
  </w:abstractNum>
  <w:abstractNum w:abstractNumId="337">
    <w:nsid w:val="605138DE"/>
    <w:multiLevelType w:val="hybridMultilevel"/>
    <w:lvl w:ilvl="0">
      <w:lvlJc w:val="left"/>
      <w:lvlText w:val="%1"/>
      <w:numFmt w:val="upperLetter"/>
      <w:start w:val="1"/>
    </w:lvl>
    <w:lvl w:ilvl="1">
      <w:lvlJc w:val="left"/>
      <w:lvlText w:val="(%2)"/>
      <w:numFmt w:val="lowerRoman"/>
      <w:start w:val="3"/>
    </w:lvl>
  </w:abstractNum>
  <w:abstractNum w:abstractNumId="338">
    <w:nsid w:val="2622AD0C"/>
    <w:multiLevelType w:val="hybridMultilevel"/>
    <w:lvl w:ilvl="0">
      <w:lvlJc w:val="left"/>
      <w:lvlText w:val="(%1)"/>
      <w:numFmt w:val="upperLetter"/>
      <w:start w:val="2"/>
    </w:lvl>
    <w:lvl w:ilvl="1">
      <w:lvlJc w:val="left"/>
      <w:lvlText w:val="%2"/>
      <w:numFmt w:val="lowerRoman"/>
      <w:start w:val="1"/>
    </w:lvl>
  </w:abstractNum>
  <w:abstractNum w:abstractNumId="339">
    <w:nsid w:val="67997556"/>
    <w:multiLevelType w:val="hybridMultilevel"/>
    <w:lvl w:ilvl="0">
      <w:lvlJc w:val="left"/>
      <w:lvlText w:val="(%1)"/>
      <w:numFmt w:val="upperLetter"/>
      <w:start w:val="6"/>
    </w:lvl>
  </w:abstractNum>
  <w:abstractNum w:abstractNumId="340">
    <w:nsid w:val="18333C89"/>
    <w:multiLevelType w:val="hybridMultilevel"/>
    <w:lvl w:ilvl="0">
      <w:lvlJc w:val="left"/>
      <w:lvlText w:val="(%1)"/>
      <w:numFmt w:val="upperLetter"/>
      <w:start w:val="15"/>
    </w:lvl>
  </w:abstractNum>
  <w:abstractNum w:abstractNumId="341">
    <w:nsid w:val="4BA9831A"/>
    <w:multiLevelType w:val="hybridMultilevel"/>
    <w:lvl w:ilvl="0">
      <w:lvlJc w:val="left"/>
      <w:lvlText w:val="(%1)"/>
      <w:numFmt w:val="lowerRoman"/>
      <w:start w:val="1"/>
    </w:lvl>
  </w:abstractNum>
  <w:abstractNum w:abstractNumId="342">
    <w:nsid w:val="6D71A2B"/>
    <w:multiLevelType w:val="hybridMultilevel"/>
    <w:lvl w:ilvl="0">
      <w:lvlJc w:val="left"/>
      <w:lvlText w:val="%1"/>
      <w:numFmt w:val="upperLetter"/>
      <w:start w:val="1"/>
    </w:lvl>
    <w:lvl w:ilvl="1">
      <w:lvlJc w:val="left"/>
      <w:lvlText w:val="(%2)"/>
      <w:numFmt w:val="lowerRoman"/>
      <w:start w:val="7"/>
    </w:lvl>
  </w:abstractNum>
  <w:abstractNum w:abstractNumId="343">
    <w:nsid w:val="CFC7321"/>
    <w:multiLevelType w:val="hybridMultilevel"/>
    <w:lvl w:ilvl="0">
      <w:lvlJc w:val="left"/>
      <w:lvlText w:val="(%1)"/>
      <w:numFmt w:val="upperLetter"/>
      <w:start w:val="16"/>
    </w:lvl>
    <w:lvl w:ilvl="1">
      <w:lvlJc w:val="left"/>
      <w:lvlText w:val="%2"/>
      <w:numFmt w:val="lowerRoman"/>
      <w:start w:val="1"/>
    </w:lvl>
  </w:abstractNum>
  <w:abstractNum w:abstractNumId="344">
    <w:nsid w:val="1421971B"/>
    <w:multiLevelType w:val="hybridMultilevel"/>
    <w:lvl w:ilvl="0">
      <w:lvlJc w:val="left"/>
      <w:lvlText w:val="(%1)"/>
      <w:numFmt w:val="lowerRoman"/>
      <w:start w:val="1"/>
    </w:lvl>
  </w:abstractNum>
  <w:abstractNum w:abstractNumId="345">
    <w:nsid w:val="1F404301"/>
    <w:multiLevelType w:val="hybridMultilevel"/>
    <w:lvl w:ilvl="0">
      <w:lvlJc w:val="left"/>
      <w:lvlText w:val="%1"/>
      <w:numFmt w:val="upperLetter"/>
      <w:start w:val="1"/>
    </w:lvl>
    <w:lvl w:ilvl="1">
      <w:lvlJc w:val="left"/>
      <w:lvlText w:val="(%2)"/>
      <w:numFmt w:val="lowerRoman"/>
      <w:start w:val="3"/>
    </w:lvl>
  </w:abstractNum>
  <w:abstractNum w:abstractNumId="346">
    <w:nsid w:val="116E0907"/>
    <w:multiLevelType w:val="hybridMultilevel"/>
    <w:lvl w:ilvl="0">
      <w:lvlJc w:val="left"/>
      <w:lvlText w:val="(%1)"/>
      <w:numFmt w:val="upperLetter"/>
      <w:start w:val="17"/>
    </w:lvl>
    <w:lvl w:ilvl="1">
      <w:lvlJc w:val="left"/>
      <w:lvlText w:val="%2"/>
      <w:numFmt w:val="lowerRoman"/>
      <w:start w:val="1"/>
    </w:lvl>
  </w:abstractNum>
  <w:abstractNum w:abstractNumId="347">
    <w:nsid w:val="4B683D0D"/>
    <w:multiLevelType w:val="hybridMultilevel"/>
    <w:lvl w:ilvl="0">
      <w:lvlJc w:val="left"/>
      <w:lvlText w:val="(%1)"/>
      <w:numFmt w:val="upperLetter"/>
      <w:start w:val="1"/>
    </w:lvl>
  </w:abstractNum>
  <w:abstractNum w:abstractNumId="348">
    <w:nsid w:val="76E41D8"/>
    <w:multiLevelType w:val="hybridMultilevel"/>
    <w:lvl w:ilvl="0">
      <w:lvlJc w:val="left"/>
      <w:lvlText w:val="%1"/>
      <w:numFmt w:val="upperLetter"/>
      <w:start w:val="1"/>
    </w:lvl>
    <w:lvl w:ilvl="1">
      <w:lvlJc w:val="left"/>
      <w:lvlText w:val="%2."/>
      <w:numFmt w:val="lowerRoman"/>
      <w:start w:val="1"/>
    </w:lvl>
  </w:abstractNum>
  <w:abstractNum w:abstractNumId="349">
    <w:nsid w:val="71DCE0FD"/>
    <w:multiLevelType w:val="hybridMultilevel"/>
    <w:lvl w:ilvl="0">
      <w:lvlJc w:val="left"/>
      <w:lvlText w:val="(%1)"/>
      <w:numFmt w:val="upperLetter"/>
      <w:start w:val="2"/>
    </w:lvl>
    <w:lvl w:ilvl="1">
      <w:lvlJc w:val="left"/>
      <w:lvlText w:val="%2"/>
      <w:numFmt w:val="lowerRoman"/>
      <w:start w:val="1"/>
    </w:lvl>
  </w:abstractNum>
  <w:abstractNum w:abstractNumId="350">
    <w:nsid w:val="7906328B"/>
    <w:multiLevelType w:val="hybridMultilevel"/>
    <w:lvl w:ilvl="0">
      <w:lvlJc w:val="left"/>
      <w:lvlText w:val="(%1)"/>
      <w:numFmt w:val="upperLetter"/>
      <w:start w:val="4"/>
    </w:lvl>
  </w:abstractNum>
  <w:abstractNum w:abstractNumId="351">
    <w:nsid w:val="72BBC16"/>
    <w:multiLevelType w:val="hybridMultilevel"/>
    <w:lvl w:ilvl="0">
      <w:lvlJc w:val="left"/>
      <w:lvlText w:val="%1"/>
      <w:numFmt w:val="upperLetter"/>
      <w:start w:val="1"/>
    </w:lvl>
    <w:lvl w:ilvl="1">
      <w:lvlJc w:val="left"/>
      <w:lvlText w:val="%2."/>
      <w:numFmt w:val="lowerRoman"/>
      <w:start w:val="1"/>
    </w:lvl>
  </w:abstractNum>
  <w:abstractNum w:abstractNumId="352">
    <w:nsid w:val="766D98C2"/>
    <w:multiLevelType w:val="hybridMultilevel"/>
    <w:lvl w:ilvl="0">
      <w:lvlJc w:val="left"/>
      <w:lvlText w:val="(%1)"/>
      <w:numFmt w:val="upperLetter"/>
      <w:start w:val="5"/>
    </w:lvl>
    <w:lvl w:ilvl="1">
      <w:lvlJc w:val="left"/>
      <w:lvlText w:val="%2"/>
      <w:numFmt w:val="lowerRoman"/>
      <w:start w:val="1"/>
    </w:lvl>
  </w:abstractNum>
  <w:abstractNum w:abstractNumId="353">
    <w:nsid w:val="3C09D4A1"/>
    <w:multiLevelType w:val="hybridMultilevel"/>
    <w:lvl w:ilvl="0">
      <w:lvlJc w:val="left"/>
      <w:lvlText w:val="(%1)"/>
      <w:numFmt w:val="upperLetter"/>
      <w:start w:val="1"/>
    </w:lvl>
  </w:abstractNum>
  <w:abstractNum w:abstractNumId="354">
    <w:nsid w:val="20E45CA4"/>
    <w:multiLevelType w:val="hybridMultilevel"/>
    <w:lvl w:ilvl="0">
      <w:lvlJc w:val="left"/>
      <w:lvlText w:val="%1"/>
      <w:numFmt w:val="upperLetter"/>
      <w:start w:val="1"/>
    </w:lvl>
    <w:lvl w:ilvl="1">
      <w:lvlJc w:val="left"/>
      <w:lvlText w:val="(%2)"/>
      <w:numFmt w:val="lowerRoman"/>
      <w:start w:val="1"/>
    </w:lvl>
  </w:abstractNum>
  <w:abstractNum w:abstractNumId="355">
    <w:nsid w:val="4B232EE3"/>
    <w:multiLevelType w:val="hybridMultilevel"/>
    <w:lvl w:ilvl="0">
      <w:lvlJc w:val="left"/>
      <w:lvlText w:val="(%1)"/>
      <w:numFmt w:val="upperLetter"/>
      <w:start w:val="2"/>
    </w:lvl>
    <w:lvl w:ilvl="1">
      <w:lvlJc w:val="left"/>
      <w:lvlText w:val="%2"/>
      <w:numFmt w:val="lowerRoman"/>
      <w:start w:val="1"/>
    </w:lvl>
  </w:abstractNum>
  <w:abstractNum w:abstractNumId="356">
    <w:nsid w:val="159C74CF"/>
    <w:multiLevelType w:val="hybridMultilevel"/>
    <w:lvl w:ilvl="0">
      <w:lvlJc w:val="left"/>
      <w:lvlText w:val="(%1)"/>
      <w:numFmt w:val="upperLetter"/>
      <w:start w:val="3"/>
    </w:lvl>
  </w:abstractNum>
  <w:abstractNum w:abstractNumId="357">
    <w:nsid w:val="4AD3AFD2"/>
    <w:multiLevelType w:val="hybridMultilevel"/>
    <w:lvl w:ilvl="0">
      <w:lvlJc w:val="left"/>
      <w:lvlText w:val="•"/>
      <w:numFmt w:val="bullet"/>
      <w:start w:val="1"/>
    </w:lvl>
  </w:abstractNum>
  <w:abstractNum w:abstractNumId="358">
    <w:nsid w:val="3CF93092"/>
    <w:multiLevelType w:val="hybridMultilevel"/>
    <w:lvl w:ilvl="0">
      <w:lvlJc w:val="left"/>
      <w:lvlText w:val="%1."/>
      <w:numFmt w:val="decimal"/>
      <w:start w:val="1"/>
    </w:lvl>
  </w:abstractNum>
  <w:abstractNum w:abstractNumId="359">
    <w:nsid w:val="6863E8D2"/>
    <w:multiLevelType w:val="hybridMultilevel"/>
    <w:lvl w:ilvl="0">
      <w:lvlJc w:val="left"/>
      <w:lvlText w:val="%1."/>
      <w:numFmt w:val="decimal"/>
      <w:start w:val="2"/>
    </w:lvl>
  </w:abstractNum>
  <w:abstractNum w:abstractNumId="360">
    <w:nsid w:val="76896198"/>
    <w:multiLevelType w:val="hybridMultilevel"/>
    <w:lvl w:ilvl="0">
      <w:lvlJc w:val="left"/>
      <w:lvlText w:val="%1."/>
      <w:numFmt w:val="decimal"/>
      <w:start w:val="3"/>
    </w:lvl>
  </w:abstractNum>
  <w:abstractNum w:abstractNumId="361">
    <w:nsid w:val="4365174B"/>
    <w:multiLevelType w:val="hybridMultilevel"/>
    <w:lvl w:ilvl="0">
      <w:lvlJc w:val="left"/>
      <w:lvlText w:val="(%1)"/>
      <w:numFmt w:val="decimal"/>
      <w:start w:val="1"/>
    </w:lvl>
  </w:abstractNum>
  <w:abstractNum w:abstractNumId="362">
    <w:nsid w:val="4A872C35"/>
    <w:multiLevelType w:val="hybridMultilevel"/>
    <w:lvl w:ilvl="0">
      <w:lvlJc w:val="left"/>
      <w:lvlText w:val="(%1)"/>
      <w:numFmt w:val="lowerRoman"/>
      <w:start w:val="1"/>
    </w:lvl>
  </w:abstractNum>
  <w:abstractNum w:abstractNumId="363">
    <w:nsid w:val="5D5CE761"/>
    <w:multiLevelType w:val="hybridMultilevel"/>
    <w:lvl w:ilvl="0">
      <w:lvlJc w:val="left"/>
      <w:lvlText w:val="(%1)"/>
      <w:numFmt w:val="lowerRoman"/>
      <w:start w:val="1"/>
    </w:lvl>
  </w:abstractNum>
  <w:abstractNum w:abstractNumId="364">
    <w:nsid w:val="1CD484D5"/>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8"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jpe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08" Type="http://schemas.openxmlformats.org/officeDocument/2006/relationships/image" Target="media/image491.png"/><Relationship Id="rId509" Type="http://schemas.openxmlformats.org/officeDocument/2006/relationships/image" Target="media/image492.png"/><Relationship Id="rId510" Type="http://schemas.openxmlformats.org/officeDocument/2006/relationships/image" Target="media/image493.png"/><Relationship Id="rId511" Type="http://schemas.openxmlformats.org/officeDocument/2006/relationships/image" Target="media/image494.png"/><Relationship Id="rId512" Type="http://schemas.openxmlformats.org/officeDocument/2006/relationships/image" Target="media/image495.png"/><Relationship Id="rId513" Type="http://schemas.openxmlformats.org/officeDocument/2006/relationships/image" Target="media/image496.png"/><Relationship Id="rId514" Type="http://schemas.openxmlformats.org/officeDocument/2006/relationships/image" Target="media/image497.png"/><Relationship Id="rId515" Type="http://schemas.openxmlformats.org/officeDocument/2006/relationships/image" Target="media/image498.png"/><Relationship Id="rId516" Type="http://schemas.openxmlformats.org/officeDocument/2006/relationships/image" Target="media/image499.png"/><Relationship Id="rId517" Type="http://schemas.openxmlformats.org/officeDocument/2006/relationships/image" Target="media/image500.png"/><Relationship Id="rId518" Type="http://schemas.openxmlformats.org/officeDocument/2006/relationships/image" Target="media/image501.png"/><Relationship Id="rId519" Type="http://schemas.openxmlformats.org/officeDocument/2006/relationships/image" Target="media/image502.png"/><Relationship Id="rId40" Type="http://schemas.openxmlformats.org/officeDocument/2006/relationships/hyperlink" Target="http://www.sec.gov/ix?doc=/Archives/edgar/data/1871638/000110465924080933/brkh-20240331xs4.htm#AnnexA1_147733" TargetMode="External"/><Relationship Id="rId41" Type="http://schemas.openxmlformats.org/officeDocument/2006/relationships/hyperlink" Target="http://www.sec.gov/ix?doc=/Archives/edgar/data/1871638/000110465924080933/brkh-20240331xs4.htm#AnnexA2_936998" TargetMode="External"/><Relationship Id="rId42" Type="http://schemas.openxmlformats.org/officeDocument/2006/relationships/hyperlink" Target="http://www.sec.gov/Archives/edgar/data/1871638/000110465924112666/tm2418197-13_s4a.htm#tANNEXA3" TargetMode="External"/><Relationship Id="rId43" Type="http://schemas.openxmlformats.org/officeDocument/2006/relationships/hyperlink" Target="http://www.sec.gov/Archives/edgar/data/1871638/000110465924122026/tm2418197-20_s4a.htm#tANNEXA4" TargetMode="External"/><Relationship Id="rId44" Type="http://schemas.openxmlformats.org/officeDocument/2006/relationships/hyperlink" Target="http://www.sec.gov/Archives/edgar/data/1871638/000110465921141949/tm2124406d5_ex4-2.htm" TargetMode="External"/><Relationship Id="rId45" Type="http://schemas.openxmlformats.org/officeDocument/2006/relationships/hyperlink" Target="http://www.sec.gov/Archives/edgar/data/1871638/000110465921141949/tm2124406d5_ex4-3.htm" TargetMode="External"/><Relationship Id="rId46" Type="http://schemas.openxmlformats.org/officeDocument/2006/relationships/hyperlink" Target="http://www.sec.gov/Archives/edgar/data/1871638/000110465921150569/tm2135631d1_ex4-1.htm" TargetMode="External"/><Relationship Id="rId47" Type="http://schemas.openxmlformats.org/officeDocument/2006/relationships/hyperlink" Target="http://www.sec.gov/Archives/edgar/data/1871638/000110465921150569/tm2135631d1_ex10-2.htm" TargetMode="External"/><Relationship Id="rId49" Type="http://schemas.openxmlformats.org/officeDocument/2006/relationships/hyperlink" Target="http://www.sec.gov/Archives/edgar/data/1871638/000110465924132802/tm2431152d1_ex10-1.htm" TargetMode="External"/><Relationship Id="rId50" Type="http://schemas.openxmlformats.org/officeDocument/2006/relationships/hyperlink" Target="http://www.sec.gov/Archives/edgar/data/1871638/000110465925001763/tm25217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2025-01-17T16:54:40Z</dcterms:created>
  <dcterms:modified xsi:type="dcterms:W3CDTF">2025-01-17T16:54:40Z</dcterms:modified>
</cp:coreProperties>
</file>