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ectPr>
          <w:pgSz w:w="11900" w:h="16838" w:orient="portrait"/>
          <w:cols w:equalWidth="0" w:num="1">
            <w:col w:w="10780"/>
          </w:cols>
          <w:pgMar w:left="440" w:top="376" w:right="679" w:bottom="1440" w:gutter="0" w:footer="0" w:header="0"/>
        </w:sectPr>
      </w:pPr>
    </w:p>
    <w:p>
      <w:pPr>
        <w:spacing w:after="0" w:line="244"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(Check one):</w:t>
      </w:r>
      <w:r>
        <w:rPr>
          <w:rFonts w:ascii="Times New Roman" w:cs="Times New Roman" w:eastAsia="Times New Roman" w:hAnsi="Times New Roman"/>
          <w:sz w:val="18"/>
          <w:szCs w:val="18"/>
          <w:i w:val="1"/>
          <w:iCs w:val="1"/>
          <w:color w:val="auto"/>
        </w:rPr>
        <w:t xml:space="preserve"> </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both"/>
        <w:spacing w:after="0" w:line="260"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10-K 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10-D </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right="2620"/>
        <w:spacing w:after="0" w:line="25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76" w:lineRule="exact"/>
        <w:rPr>
          <w:sz w:val="24"/>
          <w:szCs w:val="24"/>
          <w:color w:val="auto"/>
        </w:rPr>
      </w:pPr>
    </w:p>
    <w:p>
      <w:pPr>
        <w:sectPr>
          <w:pgSz w:w="11900" w:h="16838" w:orient="portrait"/>
          <w:cols w:equalWidth="0" w:num="3">
            <w:col w:w="3060" w:space="240"/>
            <w:col w:w="1100" w:space="180"/>
            <w:col w:w="6200"/>
          </w:cols>
          <w:pgMar w:left="440" w:top="376" w:right="67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18"/>
          <w:szCs w:val="18"/>
          <w:color w:val="auto"/>
        </w:rPr>
        <w:t>For Period Ended: December 31, 2024</w:t>
      </w:r>
    </w:p>
    <w:p>
      <w:pPr>
        <w:spacing w:after="0" w:line="7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9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98" w:lineRule="exact"/>
        <w:rPr>
          <w:sz w:val="24"/>
          <w:szCs w:val="24"/>
          <w:color w:val="auto"/>
        </w:rPr>
      </w:pPr>
    </w:p>
    <w:p>
      <w:pPr>
        <w:ind w:left="3300"/>
        <w:spacing w:after="0"/>
        <w:tabs>
          <w:tab w:leader="none" w:pos="5880" w:val="left"/>
          <w:tab w:leader="none" w:pos="6060" w:val="left"/>
          <w:tab w:leader="none" w:pos="6240" w:val="left"/>
          <w:tab w:leader="none" w:pos="6420" w:val="left"/>
        </w:tabs>
        <w:rPr>
          <w:sz w:val="20"/>
          <w:szCs w:val="20"/>
          <w:color w:val="auto"/>
        </w:rPr>
      </w:pPr>
      <w:r>
        <w:rPr>
          <w:rFonts w:ascii="Times New Roman" w:cs="Times New Roman" w:eastAsia="Times New Roman" w:hAnsi="Times New Roman"/>
          <w:sz w:val="18"/>
          <w:szCs w:val="18"/>
          <w:color w:val="auto"/>
        </w:rPr>
        <w:t>For the Transition Period Ended:  </w:t>
        <w:tab/>
        <w:t> </w:t>
        <w:tab/>
        <w:t> </w:t>
        <w:tab/>
        <w:t> </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36893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-7620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8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19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0"/>
          <w:szCs w:val="40"/>
          <w:b w:val="1"/>
          <w:bCs w:val="1"/>
          <w:color w:val="auto"/>
        </w:rPr>
        <w:t>Blaize Holdings, Inc.</w:t>
      </w:r>
    </w:p>
    <w:p>
      <w:pPr>
        <w:spacing w:after="0" w:line="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Former Name if Applicable</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(Street and Number)</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El Dorado Hills, California 95762</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City, State and Zip Code</w:t>
      </w:r>
    </w:p>
    <w:p>
      <w:pPr>
        <w:spacing w:after="0" w:line="29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9" w:lineRule="exact"/>
        <w:rPr>
          <w:sz w:val="24"/>
          <w:szCs w:val="24"/>
          <w:color w:val="auto"/>
        </w:rPr>
      </w:pPr>
    </w:p>
    <w:p>
      <w:pPr>
        <w:ind w:left="840" w:hanging="318"/>
        <w:spacing w:after="0"/>
        <w:tabs>
          <w:tab w:leader="none" w:pos="8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ind w:left="840" w:hanging="700"/>
        <w:spacing w:after="0" w:line="185" w:lineRule="auto"/>
        <w:tabs>
          <w:tab w:leader="none" w:pos="840" w:val="left"/>
        </w:tabs>
        <w:numPr>
          <w:ilvl w:val="0"/>
          <w:numId w:val="1"/>
        </w:numPr>
        <w:rPr>
          <w:rFonts w:ascii="MS PGothic" w:cs="MS PGothic" w:eastAsia="MS PGothic" w:hAnsi="MS PGothic"/>
          <w:sz w:val="14"/>
          <w:szCs w:val="14"/>
          <w:color w:val="auto"/>
          <w:vertAlign w:val="subscript"/>
        </w:rPr>
      </w:pPr>
      <w:r>
        <w:rPr>
          <w:rFonts w:ascii="Times New Roman" w:cs="Times New Roman" w:eastAsia="Times New Roman" w:hAnsi="Times New Roman"/>
          <w:sz w:val="10"/>
          <w:szCs w:val="10"/>
          <w:color w:val="auto"/>
        </w:rPr>
        <w:t>portion thereof, will be filed on or before the fifteenth calendar day following the prescribed due date; or the subject quarterly report or</w:t>
      </w:r>
    </w:p>
    <w:p>
      <w:pPr>
        <w:ind w:left="400" w:hanging="98"/>
        <w:spacing w:after="0" w:line="185" w:lineRule="auto"/>
        <w:tabs>
          <w:tab w:leader="none" w:pos="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wp:posOffset>
            </wp:positionH>
            <wp:positionV relativeFrom="paragraph">
              <wp:posOffset>-444500</wp:posOffset>
            </wp:positionV>
            <wp:extent cx="889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22960"/>
                    </a:xfrm>
                    <a:prstGeom prst="rect">
                      <a:avLst/>
                    </a:prstGeom>
                    <a:noFill/>
                  </pic:spPr>
                </pic:pic>
              </a:graphicData>
            </a:graphic>
          </wp:anchor>
        </w:drawing>
      </w:r>
    </w:p>
    <w:p>
      <w:pPr>
        <w:ind w:left="840" w:right="20"/>
        <w:spacing w:after="0" w:line="219" w:lineRule="auto"/>
        <w:rPr>
          <w:sz w:val="20"/>
          <w:szCs w:val="20"/>
          <w:color w:val="auto"/>
        </w:rPr>
      </w:pPr>
      <w:r>
        <w:rPr>
          <w:rFonts w:ascii="Times New Roman" w:cs="Times New Roman" w:eastAsia="Times New Roman" w:hAnsi="Times New Roman"/>
          <w:sz w:val="18"/>
          <w:szCs w:val="18"/>
          <w:color w:val="auto"/>
        </w:rPr>
        <w:t>transition report on Form 10-Q or subject distribution report on Form 10-D, or portion thereof, will be filed on or before the fifth calendar day following the prescribed due date; and</w:t>
      </w:r>
    </w:p>
    <w:p>
      <w:pPr>
        <w:ind w:left="520"/>
        <w:spacing w:after="0"/>
        <w:rPr>
          <w:sz w:val="20"/>
          <w:szCs w:val="20"/>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ectPr>
          <w:pgSz w:w="11900" w:h="16838" w:orient="portrait"/>
          <w:cols w:equalWidth="0" w:num="1">
            <w:col w:w="10780"/>
          </w:cols>
          <w:pgMar w:left="440" w:top="376" w:right="67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Blaize Holdings Inc., a Delaware corporation (the “Company”), is unable to file, without unreasonable effort and expense, its Annual Report on Form 10-K for the fiscal year ended December 31, 2024 (the “2024 Annual Report”) by the April 1, 2025 filing date applicable to smaller reporting companies. On January 13, 2025, the Company consummated a business combination (the “Business Combination”) between BurTech Acquisition Corp. (“BurTech”), BurTech Merger Sub, Inc. and Blaize, Inc. (“Blaize”). The high level of complexities in integrating Blaize and accounting for the Business Combination resulted in a delay in the Company’s financial reporting and closing processes for the year ended December 31, 2024. As a result, the Company is still in the process of compiling required information to complete the 2024 Annual Report. Specifically, the former management of BurTech prior to closing of the Business Combination requires additional time to compile and verify the data required to complete the audited financial statements of BurTech for the year ended December 31, 2024. The Company anticipates that it will file the Annual Report no later than the fifteenth calendar day following the prescribed filing date.</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3420" w:type="dxa"/>
            <w:vAlign w:val="bottom"/>
          </w:tcPr>
          <w:p>
            <w:pPr>
              <w:spacing w:after="0"/>
              <w:rPr>
                <w:sz w:val="20"/>
                <w:szCs w:val="20"/>
                <w:color w:val="auto"/>
              </w:rPr>
            </w:pPr>
          </w:p>
        </w:tc>
      </w:tr>
      <w:tr>
        <w:trPr>
          <w:trHeight w:val="459"/>
        </w:trPr>
        <w:tc>
          <w:tcPr>
            <w:tcW w:w="6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32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Harminder Sehmi</w:t>
            </w:r>
          </w:p>
        </w:tc>
        <w:tc>
          <w:tcPr>
            <w:tcW w:w="120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916</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342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347-0050</w:t>
            </w:r>
          </w:p>
        </w:tc>
      </w:tr>
      <w:tr>
        <w:trPr>
          <w:trHeight w:val="184"/>
        </w:trPr>
        <w:tc>
          <w:tcPr>
            <w:tcW w:w="580" w:type="dxa"/>
            <w:vAlign w:val="bottom"/>
          </w:tcPr>
          <w:p>
            <w:pPr>
              <w:spacing w:after="0"/>
              <w:rPr>
                <w:sz w:val="15"/>
                <w:szCs w:val="15"/>
                <w:color w:val="auto"/>
              </w:rPr>
            </w:pPr>
          </w:p>
        </w:tc>
        <w:tc>
          <w:tcPr>
            <w:tcW w:w="3200" w:type="dxa"/>
            <w:vAlign w:val="bottom"/>
            <w:tcBorders>
              <w:top w:val="single" w:sz="8" w:color="auto"/>
            </w:tcBorders>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top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3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799"/>
              <w:spacing w:after="0"/>
              <w:rPr>
                <w:sz w:val="20"/>
                <w:szCs w:val="20"/>
                <w:color w:val="auto"/>
              </w:rPr>
            </w:pPr>
            <w:r>
              <w:rPr>
                <w:rFonts w:ascii="Times New Roman" w:cs="Times New Roman" w:eastAsia="Times New Roman" w:hAnsi="Times New Roman"/>
                <w:sz w:val="14"/>
                <w:szCs w:val="14"/>
                <w:b w:val="1"/>
                <w:bCs w:val="1"/>
                <w:color w:val="auto"/>
              </w:rPr>
              <w:t>(Telephone Number)</w:t>
            </w:r>
          </w:p>
        </w:tc>
      </w:tr>
    </w:tbl>
    <w:p>
      <w:pPr>
        <w:spacing w:after="0" w:line="48" w:lineRule="exact"/>
        <w:rPr>
          <w:sz w:val="20"/>
          <w:szCs w:val="20"/>
          <w:color w:val="auto"/>
        </w:rPr>
      </w:pPr>
    </w:p>
    <w:p>
      <w:pPr>
        <w:ind w:left="684" w:right="360" w:hanging="684"/>
        <w:spacing w:after="0" w:line="273" w:lineRule="auto"/>
        <w:tabs>
          <w:tab w:leader="none" w:pos="68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84"/>
        <w:spacing w:after="0" w:line="207" w:lineRule="exact"/>
        <w:tabs>
          <w:tab w:leader="none" w:pos="3724" w:val="left"/>
          <w:tab w:leader="none" w:pos="4404" w:val="left"/>
        </w:tabs>
        <w:rPr>
          <w:sz w:val="20"/>
          <w:szCs w:val="20"/>
          <w:color w:val="auto"/>
        </w:rPr>
      </w:pPr>
      <w:r>
        <w:rPr>
          <w:rFonts w:ascii="Times New Roman" w:cs="Times New Roman" w:eastAsia="Times New Roman" w:hAnsi="Times New Roman"/>
          <w:sz w:val="18"/>
          <w:szCs w:val="18"/>
          <w:color w:val="auto"/>
        </w:rPr>
        <w:t>filed? If answer is no, identify report(s). </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4" w:lineRule="exact"/>
        <w:rPr>
          <w:sz w:val="20"/>
          <w:szCs w:val="20"/>
          <w:color w:val="auto"/>
        </w:rPr>
      </w:pPr>
    </w:p>
    <w:p>
      <w:pPr>
        <w:ind w:left="684" w:hanging="684"/>
        <w:spacing w:after="0"/>
        <w:tabs>
          <w:tab w:leader="none" w:pos="6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2" w:lineRule="exact"/>
        <w:rPr>
          <w:sz w:val="20"/>
          <w:szCs w:val="20"/>
          <w:color w:val="auto"/>
        </w:rPr>
      </w:pPr>
    </w:p>
    <w:p>
      <w:pPr>
        <w:ind w:left="684"/>
        <w:spacing w:after="0" w:line="207" w:lineRule="exact"/>
        <w:tabs>
          <w:tab w:leader="none" w:pos="6184" w:val="left"/>
          <w:tab w:leader="none" w:pos="6884"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thereof? </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of Registrant as Specified in Charter)</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Harminder Sehmi</w:t>
            </w:r>
          </w:p>
        </w:tc>
      </w:tr>
      <w:tr>
        <w:trPr>
          <w:trHeight w:val="205"/>
        </w:trPr>
        <w:tc>
          <w:tcPr>
            <w:tcW w:w="3600" w:type="dxa"/>
            <w:vAlign w:val="bottom"/>
          </w:tcPr>
          <w:p>
            <w:pPr>
              <w:spacing w:after="0"/>
              <w:rPr>
                <w:sz w:val="17"/>
                <w:szCs w:val="17"/>
                <w:color w:val="auto"/>
              </w:rPr>
            </w:pPr>
          </w:p>
        </w:tc>
        <w:tc>
          <w:tcPr>
            <w:tcW w:w="290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Harminder Sehmi</w:t>
            </w:r>
          </w:p>
        </w:tc>
      </w:tr>
      <w:tr>
        <w:trPr>
          <w:trHeight w:val="234"/>
        </w:trPr>
        <w:tc>
          <w:tcPr>
            <w:tcW w:w="3600" w:type="dxa"/>
            <w:vAlign w:val="bottom"/>
          </w:tcPr>
          <w:p>
            <w:pPr>
              <w:spacing w:after="0"/>
              <w:rPr>
                <w:sz w:val="20"/>
                <w:szCs w:val="20"/>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6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r>
      <w:tr>
        <w:trPr>
          <w:trHeight w:val="48"/>
        </w:trPr>
        <w:tc>
          <w:tcPr>
            <w:tcW w:w="3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
      <w:numFmt w:val="bullet"/>
      <w:start w:val="1"/>
    </w:lvl>
    <w:lvl w:ilvl="2">
      <w:lvlJc w:val="left"/>
      <w:lvlText w:val="(%3)"/>
      <w:numFmt w:val="lowerLetter"/>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2025-04-01T16:17:33Z</dcterms:created>
  <dcterms:modified xsi:type="dcterms:W3CDTF">2025-04-01T16:17:33Z</dcterms:modified>
</cp:coreProperties>
</file>