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34548dposam.htm"/>
        <w:bookmarkStart w:id="1" w:name="ksd934548dposam"/>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April 29, 2025 </w:t>
      </w:r>
    </w:p>
    <w:p>
      <w:pPr>
        <w:pStyle w:val="TextBody"/>
        <w:bidi w:val="0"/>
        <w:spacing w:before="0" w:after="0"/>
        <w:jc w:val="right"/>
        <w:rPr>
          <w:rFonts w:ascii="Times New Roman" w:hAnsi="Times New Roman"/>
          <w:b/>
          <w:spacing w:val="0"/>
          <w:sz w:val="20"/>
        </w:rPr>
      </w:pPr>
      <w:r>
        <w:rPr>
          <w:rFonts w:ascii="Times New Roman" w:hAnsi="Times New Roman"/>
          <w:b/>
          <w:spacing w:val="0"/>
          <w:sz w:val="20"/>
        </w:rPr>
        <w:t xml:space="preserve">Registration No. 333-284365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p>
    <w:p>
      <w:pPr>
        <w:pStyle w:val="TextBody"/>
        <w:bidi w:val="0"/>
        <w:spacing w:before="80" w:after="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 xml:space="preserve">POST-EFFECTIVE AMENDMENT NO. 2 </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TO </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FORM S-1 </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REGISTRATION STATEMENT </w:t>
      </w:r>
    </w:p>
    <w:p>
      <w:pPr>
        <w:pStyle w:val="TextBody"/>
        <w:bidi w:val="0"/>
        <w:spacing w:before="0" w:after="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UNDER </w:t>
      </w:r>
    </w:p>
    <w:p>
      <w:pPr>
        <w:pStyle w:val="TextBody"/>
        <w:bidi w:val="0"/>
        <w:spacing w:before="0" w:after="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THE SECURITIES ACT OF 1933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48"/>
        </w:rPr>
      </w:pPr>
      <w:r>
        <w:rPr>
          <w:rFonts w:ascii="Times New Roman" w:hAnsi="Times New Roman"/>
          <w:b/>
          <w:spacing w:val="0"/>
          <w:sz w:val="48"/>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0" w:after="0"/>
        <w:jc w:val="left"/>
        <w:rPr>
          <w:spacing w:val="0"/>
        </w:rPr>
      </w:pPr>
      <w:r>
        <w:rPr>
          <w:spacing w:val="0"/>
        </w:rPr>
        <w:t> </w:t>
      </w:r>
    </w:p>
    <w:tbl>
      <w:tblPr>
        <w:tblW w:w="5940" w:type="dxa"/>
        <w:jc w:val="left"/>
        <w:tblInd w:w="0" w:type="dxa"/>
        <w:tblLayout w:type="fixed"/>
        <w:tblCellMar>
          <w:top w:w="0" w:type="dxa"/>
          <w:left w:w="0" w:type="dxa"/>
          <w:bottom w:w="0" w:type="dxa"/>
          <w:right w:w="0" w:type="dxa"/>
        </w:tblCellMar>
      </w:tblPr>
      <w:tblGrid>
        <w:gridCol w:w="2285"/>
        <w:gridCol w:w="60"/>
        <w:gridCol w:w="216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b/>
                <w:spacing w:val="0"/>
              </w:rPr>
            </w:pPr>
            <w:r>
              <w:rPr>
                <w:b/>
                <w:spacing w:val="0"/>
              </w:rPr>
              <w:t>3674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86-2708752</w:t>
            </w:r>
          </w:p>
        </w:tc>
      </w:tr>
      <w:tr>
        <w:trPr/>
        <w:tc>
          <w:tcPr>
            <w:tcW w:w="228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(Primary Standard Industrial</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Classification Code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Identification No.)</w:t>
            </w:r>
          </w:p>
        </w:tc>
      </w:tr>
    </w:tbl>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4659 Golden Foothill Parkway, Suite 206El Dorado Hills,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CA</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95762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(916) 347-0050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(Address, including zip code, and telephone number, including area code, of registrant’s principal executive offices)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Harminder Sehmi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Chief Financial Officer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4659 Golden Foothill Parkway, Suite 206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El Dorado Hills,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CA</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95762 (916) 347-0050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(Name, address, including zip code, and telephone number, including area code, of agent for service)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Copies to: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Ryan J. Maierson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Ryan J. Lynch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Latham &amp; Watkins LLP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811 Main Street, Suite 3700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Houston, TX 77002 (713) 546-5400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Approximate date of commencement of proposed sale to the public: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As soon as practicable after the effective date of this Registration Statement.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any of the securities being registered on this Form are to be offered on a delayed or continuous basis pursuant to Rule 415 under the Securities Act of 1933, check the following box. ☒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240" w:after="0"/>
        <w:jc w:val="left"/>
        <w:rPr/>
      </w:pPr>
      <w:r>
        <w:rPr/>
        <w:t xml:space="preserv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sz w:val="20"/>
        </w:rPr>
      </w:pPr>
      <w:r>
        <w:rPr>
          <w:sz w:val="20"/>
        </w:rPr>
      </w:r>
    </w:p>
    <w:p>
      <w:pPr>
        <w:pStyle w:val="TextBody"/>
        <w:bidi w:val="0"/>
        <w:spacing w:lineRule="atLeast" w:line="142" w:before="0" w:after="0"/>
        <w:jc w:val="left"/>
        <w:rPr/>
      </w:pPr>
      <w:r>
        <w:rPr/>
        <w:t> </w:t>
      </w:r>
    </w:p>
    <w:p>
      <w:pPr>
        <w:pStyle w:val="TextBody"/>
        <w:bidi w:val="0"/>
        <w:spacing w:lineRule="atLeast" w:line="142" w:before="0" w:after="40"/>
        <w:jc w:val="left"/>
        <w:rPr/>
      </w:pPr>
      <w:r>
        <w:rPr/>
        <w:t> </w:t>
      </w:r>
    </w:p>
    <w:p>
      <w:pPr>
        <w:pStyle w:val="HorizontalLine"/>
        <w:pBdr>
          <w:bottom w:val="double" w:sz="2" w:space="0" w:color="808080"/>
        </w:pBdr>
        <w:bidi w:val="0"/>
        <w:spacing w:before="0" w:after="283"/>
        <w:jc w:val="left"/>
        <w:rPr/>
      </w:pPr>
      <w:r>
        <w:rPr/>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January 21, 2025, the registrant filed a Registration Statement on Form S-1 (Registration No. 333-284365), as amended by Amendment No. 1 filed on February 10, 2025 and subsequently declared effective by the U.S. Securities and Exchange Commission (the “SEC”) on February 13, 2025 (as amended,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is being filed to update the Registration Statement to include information contained in the registrant’s Annual Report on Form 10-K and certain other information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No additional securities are being registered under this post-effective amendment. All applicable registration fees were paid at the time of the original filing of the Registration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Prospectus dated April 29,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734945" cy="988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34945" cy="98806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Blaize Holdings, Inc.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89,550,141 Shares of 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898,250 Warrants to Purchase Shares of 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29,698,250 Shares of Common Stock Issuable Upon Exercise of Warrants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(i) the resale of 54,536,826 shares of our common stock, $0.0001 par value per share (“Common Stock”), issued in connection with the Business Combination (as defined below), by certain of the selling securityholders named in this prospectus (each a “Selling Shareholder” and, collectively, the “Selling Securityholders”), (ii) the resale of 1,540,300 shares of Common Stock issued in the PIPE Investment (as defined below) by certain of the Selling Securityholders, (iii) the resale of 750,000 shares of Common Stock issued in connection with the Sponsor Note (as defined below) by certain of the Selling Securityholders, (iv) the issuance by us and resale of 28,049,416 shares of common stock reserved for issuance upon the exercise of options to purchase common stock, (v) the issuance by us and resale of 3,630,400 shares of common stock reserved for issuance upon the settlement of restricted stock units, (vi) the resale of up to 898,250 shares of Common Stock that are issuable upon the exercise of the Private Placement Warrants (as defined below) (which were originally issued at a price of $1.00 per Warrant) at an exercise price of $11.50 per share by certain of the selling securityholders named in this prospectus, (vii) the resale of 94,949 shares of Common Stock issued to certain capital markets advisors as deferred compensation in satisfaction of transaction fees for acting as a financial advisor by certain of the Selling Securityholders and (viii) the resale of up to 50,000 shares of Common Stock that are issuable upon the exercise of the CH Warrant (as defined below) at an exercise price of $11.50 per share by a certain selling securityholder named in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also relates to the issuance by us of an aggregate of up to 29,698,250 shares of our Common Stock, which consists of (i) up to 898,250 shares of Common Stock that are issuable upon the exercise of 898,250 warrants (the “Private Placement Warrants”) originally issued in a private placement in connection with the initial public offering of BurTech Acquisition Corp., a Delaware corporation (“BurTech”), by the holders thereof, (ii) up to 28,750,000 shares of Common Stock that are issuable upon the exercise of 28,750,000 warrants (the “Public Warrants” and, together with the Private Placement Warrants, the “Warrants”) originally issued in the initial public offering of BurTech (the “BurTech IPO”), by the holders thereof and (iii) up to 50,000 shares of Common Stock that are issuable upon the exercise of the CH Warrant at an exercise price of $11.50 per share by the holder thereof.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On January 13, 2025, we consummated the transactions contemplated by that certain Agreement and Plan of Merger, dated as of December 22, 2023 (as amended on April 22, 2024, October 24, 2024 and November 21, 2024), with BurTech Merger Sub, Inc., a direct, wholly owned subsidiary of BurTech (“Merger Sub”), Blaize, Inc. (“Legacy Blaize”), and for the limited purposes set forth therein, Burkhan Capital LLC, a Delaware limited liability company and affiliate of BurTech (“Burkhan”). As contemplated by the Merger Agreement, Merger Sub merged with and into Legacy Blaize (the “Merger”), the separate corporate existence of Merger Sub ceased and Legacy Blaize survived as a wholly owned subsidiary of BurTech (collectively, the “Business Combination”). Following the closing of the Business Combination, BurTech changed its name from BurTech Acquisition Corp. to Blaize Holdings, Inc. (“Blaize”).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Securityholders can sell, under this prospectus, up to (a) 89,550,141 shares of Common Stock constituting approximately 88.12% of our issued and outstanding shares of Common Stock and approximately 170.55% of our issued and outstanding shares of Common Stock held by non-affiliates and (b) 898,250 Warrants constituting approximately 3.03% of our issued and outstanding Warrants. Sales of a substantial number of our shares of Common Stock and/or Warrants in the public market by the Selling Securityholders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sale of all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differences in the purchase prices described above. Based on the closing price of our Common Stock of $5.30 on February 6, 2025, the Sponsor may experience potential profit of up to $5.297 per share (or approximately $39,661,287.50 in the aggregate based on the Sponsor holding 7,487,500 founder shares) based on the Sponsor’s initial purchase price of approximately $0.003 per share. Public securityholders may not be able to experience the same positive rates of return on securities they purchase due to the low price at which the Sponsor purchased the founder shares and Private Placement Warrants.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resale of shares of common stock and warrants as required by (i) an amended and restated registration rights agreement, dated as of January 13, 2025 (the “Registration Rights Agreement”), entered into by and among BurTech, BurTech LP LLC (the “Sponsor” and together with Burkhan, the “Sponsor Group”), certain stockholders of Legacy Blaize and certain stockholders of BurTech, (ii) a registration rights agreement, dated as of January 13, 2025 (the “Ava Registration Rights Agreement”), entered into by and among Blaize and certain stockholders of Legacy Blaize, (iii) the PIPE subscription agreements entered into by and between BurTech, Blaize and certain accredited investors relating to the purchase of shares of common stock in private placements consummated in connection with the Business Combination and (iv) that certain secured promissory note, dated January 13, 2025, issued by Sponsor to BurTech pursuant to which Blaize issued 750,000 shares of Common Stock to the Sponsor in a private placement consummated in connection with the Business Combination.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also registering the (i) resale of other shares of Common Stock held by certain of our stockholders and (ii) the issuance and resale of shares of Common Stock reserved for issuance upon the exercise of options to purchase shares of Common Stock and the settlement of restricted stock units, in each case, held by certain of our current and former employees and other service providers.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receive any proceeds from the sale of shares of Common Stock or Warrants by the Selling Securityholders pursuant to this prospectus. We will receive proceeds from the exercise of the Warrants for cash, but not from the sale of the shares of Common Stock issuable upon such exercise.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Common Stock or Warrants. The Selling Securityholders may offer, sell or distribute all or a portion of their shares of Common Stock or Warrants publicly or through private transactions at prevailing market prices or at negotiated prices. The Selling Securityholders will bear all commissions and discounts, if any, attributable to their sales of the shares of Common Stock. We provide more information about how the Selling Securityholders may sell the shares of Common Stock or Warrants in the section entitled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an “emerging growth company” as defined in Section 2(a) of the Securities Act of 1933, as amended (the “Securities Act”), and are subject to reduced public company reporting requirements. This prospectus complies with the requirements that apply to an issuer that is an emerging growth company.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and Warrants are listed on the Nasdaq Stock Market LLC (“Nasdaq”) under the symbols “BZAI” and “BZAIW,” respectively. On April 28, 2025, the closing price of our Common Stock was $2.45 per share and the closing price for our Warrants was $0.28 per warrant. </w:t>
      </w:r>
    </w:p>
    <w:p>
      <w:pPr>
        <w:pStyle w:val="TextBody"/>
        <w:bidi w:val="0"/>
        <w:spacing w:before="240" w:after="0"/>
        <w:ind w:left="960" w:right="960" w:hanging="0"/>
        <w:jc w:val="left"/>
        <w:rPr/>
      </w:pPr>
      <w:r>
        <w:rPr>
          <w:rFonts w:ascii="Times New Roman" w:hAnsi="Times New Roman"/>
          <w:sz w:val="24"/>
        </w:rPr>
        <w:t xml:space="preserve">Our business and investment in our securities involves significant risks. </w:t>
      </w:r>
      <w:r>
        <w:rPr>
          <w:rFonts w:ascii="Times New Roman" w:hAnsi="Times New Roman"/>
          <w:b/>
          <w:sz w:val="24"/>
        </w:rPr>
        <w:t>These risks are described in the section titled “</w:t>
      </w:r>
      <w:hyperlink w:anchor="tx934548_5">
        <w:r>
          <w:rPr>
            <w:rStyle w:val="InternetLink"/>
            <w:rFonts w:ascii="Times New Roman" w:hAnsi="Times New Roman"/>
            <w:b/>
            <w:sz w:val="24"/>
          </w:rPr>
          <w:t>Risk Factors</w:t>
        </w:r>
      </w:hyperlink>
      <w:r>
        <w:rPr>
          <w:rFonts w:ascii="Times New Roman" w:hAnsi="Times New Roman"/>
          <w:b/>
          <w:sz w:val="24"/>
        </w:rPr>
        <w:t>”</w:t>
      </w:r>
      <w:r>
        <w:rPr>
          <w:rFonts w:ascii="Times New Roman" w:hAnsi="Times New Roman"/>
          <w:sz w:val="24"/>
        </w:rPr>
        <w:t xml:space="preserve"> </w:t>
      </w:r>
      <w:r>
        <w:rPr>
          <w:rFonts w:ascii="Times New Roman" w:hAnsi="Times New Roman"/>
          <w:b/>
          <w:sz w:val="24"/>
        </w:rPr>
        <w:t>beginning on page 8 of this prospectus</w:t>
      </w:r>
      <w:r>
        <w:rPr>
          <w:rFonts w:ascii="Times New Roman" w:hAnsi="Times New Roman"/>
          <w:sz w:val="24"/>
        </w:rPr>
        <w:t xml:space="preserv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6"/>
        </w:rPr>
      </w:pPr>
      <w:bookmarkStart w:id="2" w:name="toc"/>
      <w:bookmarkEnd w:id="2"/>
      <w:r>
        <w:rPr>
          <w:rFonts w:ascii="Times New Roman" w:hAnsi="Times New Roman"/>
          <w:b/>
          <w:sz w:val="16"/>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70"/>
        <w:gridCol w:w="120"/>
        <w:gridCol w:w="60"/>
        <w:gridCol w:w="380"/>
        <w:gridCol w:w="75"/>
      </w:tblGrid>
      <w:tr>
        <w:trPr/>
        <w:tc>
          <w:tcPr>
            <w:tcW w:w="9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ii</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2">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iii</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3">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4">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7">
              <w:r>
                <w:rPr>
                  <w:rStyle w:val="InternetLink"/>
                  <w:rFonts w:ascii="Times New Roman" w:hAnsi="Times New Roman"/>
                  <w:sz w:val="20"/>
                </w:rPr>
                <w:t>DETERMINATION OF OFFERING PRICE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8">
              <w:r>
                <w:rPr>
                  <w:rStyle w:val="InternetLink"/>
                  <w:rFonts w:ascii="Times New Roman" w:hAnsi="Times New Roman"/>
                  <w:sz w:val="20"/>
                </w:rPr>
                <w:t>DIVIDEND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9">
              <w:r>
                <w:rPr>
                  <w:rStyle w:val="InternetLink"/>
                  <w:rFonts w:ascii="Times New Roman" w:hAnsi="Times New Roman"/>
                  <w:sz w:val="20"/>
                </w:rPr>
                <w:t>MARKET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0">
              <w:r>
                <w:rPr>
                  <w:rStyle w:val="InternetLink"/>
                  <w:rFonts w:ascii="Times New Roman" w:hAnsi="Times New Roman"/>
                  <w:sz w:val="20"/>
                </w:rPr>
                <w:t>UNAUDITED PRO FORMA CONDENSED COMBINED FINANCIAL INFORMATION FOR BURTECH AND LEGACY BLAIZE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1">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2">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3">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4">
              <w:r>
                <w:rPr>
                  <w:rStyle w:val="InternetLink"/>
                  <w:rFonts w:ascii="Times New Roman" w:hAnsi="Times New Roman"/>
                  <w:sz w:val="20"/>
                </w:rPr>
                <w:t>BLAIZE’S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5">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125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6">
              <w:r>
                <w:rPr>
                  <w:rStyle w:val="InternetLink"/>
                  <w:rFonts w:ascii="Times New Roman" w:hAnsi="Times New Roman"/>
                  <w:sz w:val="20"/>
                </w:rPr>
                <w:t>PRINCIPAL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7">
              <w:r>
                <w:rPr>
                  <w:rStyle w:val="InternetLink"/>
                  <w:rFonts w:ascii="Times New Roman" w:hAnsi="Times New Roman"/>
                  <w:sz w:val="20"/>
                </w:rPr>
                <w:t>SELLING SECURITYHOLDERS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8">
              <w:r>
                <w:rPr>
                  <w:rStyle w:val="InternetLink"/>
                  <w:rFonts w:ascii="Times New Roman" w:hAnsi="Times New Roman"/>
                  <w:sz w:val="20"/>
                </w:rPr>
                <w:t>DESCRIPTION OF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19">
              <w:r>
                <w:rPr>
                  <w:rStyle w:val="InternetLink"/>
                  <w:rFonts w:ascii="Times New Roman" w:hAnsi="Times New Roman"/>
                  <w:sz w:val="20"/>
                </w:rPr>
                <w:t>SECURITIES ACT RESTRICTIONS ON RESALE OF OUR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20">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2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22">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23">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934548_24">
              <w:r>
                <w:rPr>
                  <w:rStyle w:val="InternetLink"/>
                  <w:rFonts w:ascii="Times New Roman" w:hAnsi="Times New Roman"/>
                  <w:sz w:val="20"/>
                </w:rPr>
                <w:t>FINANCIAL STATEMENTS AND SUPPLEMENTARY DATA INDEX TO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93454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using a “shelf” registration process. By using a shelf registration statement, the Selling Securityholders may sell up to 89,550,141 shares of Common Stock and up to 898,250 Warrants from time to time in one or more offerings as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 </w:t>
      </w:r>
    </w:p>
    <w:p>
      <w:pPr>
        <w:pStyle w:val="TextBody"/>
        <w:bidi w:val="0"/>
        <w:spacing w:before="240" w:after="0"/>
        <w:jc w:val="left"/>
        <w:rPr>
          <w:rFonts w:ascii="Times New Roman" w:hAnsi="Times New Roman"/>
          <w:sz w:val="20"/>
        </w:rPr>
      </w:pPr>
      <w:r>
        <w:rPr>
          <w:rFonts w:ascii="Times New Roman" w:hAnsi="Times New Roman"/>
          <w:sz w:val="20"/>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Neither we, nor the Selling Securityholders,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 w:hAnsi="Times New Roman"/>
          <w:i/>
          <w:sz w:val="20"/>
        </w:rPr>
        <w:t>Risk Factors</w:t>
      </w:r>
      <w:r>
        <w:rPr>
          <w:rFonts w:ascii="Times New Roman" w:hAnsi="Times New Roman"/>
          <w:sz w:val="20"/>
        </w:rPr>
        <w:t xml:space="preserve">” contained in this prospectus, any post-effective amendment and the applicable prospectus supplement.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to trademarks, trade names and service marks that we use in connection with the operation of our business. In addition, our name, logos and website name and address are our trademarks or service marks. Solely for convenience, in some cases, the trademarks, trade names and service marks referred to in this prospectus are listed without the applicable ®, ™ and SM symbols, but we will assert, to the fullest extent under applicable law, our rights to these trademarks, trade names and service marks. Other trademarks, trade names and service marks appearing in this prospectus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otherwise indicated or the context otherwise requires, references to “we,” “us,” “our,” the “Company,” “Registrant,” and “Blaize” refer to the consolidated operations of Blaize Holdings, Inc. and its subsidiaries. References to “BurTech” refer to the Company prior to the consummation of the Business Combination and references to “Legacy Blaize” refer to Blaize, Inc. prior to the consummation of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934548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w:t>
      </w:r>
    </w:p>
    <w:p>
      <w:pPr>
        <w:pStyle w:val="TextBody"/>
        <w:bidi w:val="0"/>
        <w:spacing w:before="0" w:after="0"/>
        <w:jc w:val="left"/>
        <w:rPr>
          <w:rFonts w:ascii="Times New Roman" w:hAnsi="Times New Roman"/>
          <w:sz w:val="20"/>
        </w:rPr>
      </w:pPr>
      <w:r>
        <w:rPr>
          <w:rFonts w:ascii="Times New Roman" w:hAnsi="Times New Roman"/>
          <w:sz w:val="20"/>
        </w:rPr>
        <w:t>described under the section in this prospectus titled “</w:t>
      </w:r>
      <w:r>
        <w:rPr>
          <w:rFonts w:ascii="Times New Roman" w:hAnsi="Times New Roman"/>
          <w:i/>
          <w:sz w:val="20"/>
        </w:rPr>
        <w:t>Risk Factors</w:t>
      </w:r>
      <w:r>
        <w:rPr>
          <w:rFonts w:ascii="Times New Roman" w:hAnsi="Times New Roman"/>
          <w:sz w:val="20"/>
        </w:rPr>
        <w:t xml:space="preserve">.” These forward-looking statements are subject to numerous risks, including, without limitation, the following: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achieve or sustain profitability;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Business Combination;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the listing of the shares of Common Stock and Warrants on Nasdaq;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loss of one or more key employees or failure to attract and retain highly skilled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Company’s software or hardware containing serious errors or defects, which may result in lost revenue and market acceptance and costs to defend or settle claims with customers;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 interruptions in service, latency or poor service from third-party data center providers;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failure to acquire new customer, retain existing customers, terminate existing customer or partnership contracts or expand sales to existing customers;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risks and uncertainties described in this registration statement, including those under the section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this prospectus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934548_3"/>
      <w:bookmarkEnd w:id="5"/>
      <w:r>
        <w:rPr>
          <w:rFonts w:ascii="Times New Roman" w:hAnsi="Times New Roman"/>
          <w:b/>
          <w:sz w:val="20"/>
        </w:rPr>
        <w:t xml:space="preserve">PROSPECTUS 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section beginning on page 8 and our consolidated financial statements and the related notes appearing at the end of this prospectus, before deciding to invest in our Common Stock 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Blaize is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low-code/no-code software platform that enables AI processing solutions for high-performance computing at the edge and the core. Our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sz w:val="20"/>
        </w:rPr>
      </w:pPr>
      <w:r>
        <w:rPr>
          <w:rFonts w:ascii="Times New Roman" w:hAnsi="Times New Roman"/>
          <w:b/>
          <w:sz w:val="20"/>
        </w:rPr>
        <w:t xml:space="preserve">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the Company entered into an Agreement and Plan of Merger (as amended on April 22, 2024, October 24, 2024 and November 21, 2024, the “Merger Agreement”), with BurTech Merger Sub, Inc., a direct, wholly owned subsidiary of BurTech (“Merger Sub”), Legacy Blaize and solely for the limited purposes of the transaction, Burkhan, pursuant to which Merger Sub would merge with and into Legacy Blaize, with Legacy Blaize surviving the merger as a wholly owned subsidiary of the Company (the “Business Combination” and, together with the other transactions contemplated by the Merger Agreement,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and around December 31, 2024, the Company and certain unaffiliated stockholders of the Company named therein (each, a “Investor” and collectively, the “Investors”), entered into agreements (each, a “Non-Redemption Agreement” and collectively, the “Non-Redemption Agreements”) pursuant to which the Investors agreed not to redeem (or validly rescind any redemption requests on) their shares of Class A common stock, par value $0.0001 per share of the Company (“Non-Redeemed Shares”) and, in exchange, Blaize and BurTech LP, LLC, a Delaware limited liability company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From December 31, 2024 through January 13,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Merger, collectively, 1,540,300 shares of Class A Stock (as defined below) (the “PIPE Shares”) at a price per PIPE Share equal to $10.00 (the “PIPE” and, together with the transactions described in clauses (i) and (ii) above, the “PIPE Investment”).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(the “Closing Date”), pursuant to the Merger Agreement, Merger Sub merged with and into Legacy Blaize, with Legacy Blaize surviving the merger as a wholly owned subsidiary of the Company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Closing, we changed our name to Blaize Holdings, Inc. While we are the legal acquirer of Legacy Blaize in the Business Combination, Legacy Blaize is deemed to be the accounting acquirer, and the historical financial statements of Legacy Blaize became the historical financial statements of the Company upon the Closing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rights of holders of our Common Stock and Warrants are governed by our third amended and restated certificate of incorporation (the “certificate of incorporation”), our amended and restated bylaws (the “bylaws”), and the Delaware General Corporation Law (the “DGCL”). See the section entitled “</w:t>
      </w:r>
      <w:r>
        <w:rPr>
          <w:rFonts w:ascii="Times New Roman" w:hAnsi="Times New Roman"/>
          <w:i/>
          <w:sz w:val="20"/>
        </w:rPr>
        <w:t>Description of Capital Stock</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Non-Redemption and Put Option Financing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and around December 31, 2024, the Company and the Investors entered into the Non-Redemption Agreements, pursuant to which the Investors agreed not to redeem (or validly rescind any redemption requests on) their Non-Redeemed Shares and, in exchange,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NRA Financing, at Closing, the Investors deposited an aggregate of 2,854,242 Non- Redeemed Shares (such shares, the “Reserved Blaize Shares”) into a share escrow account with Continental Stock Transfer &amp; Trust Company (“Continental”), as escrow agent, and Continental transferred an aggregate of $33.1 million from BurTech’s trust account into a newly established funds escrow account, which is the aggregate amount received by BurTech from the Investors in connection with the Non-Redemption Agreements. Following the Closing, the Company is required to pay to an Investor in cash, at any time such Investor sells Reserved Blaize Shares in the market, and the Company and Sponsor, as applicable, are required to pay to the Investor in cash at any time the Investor exercises the Put Option, a guaranteed return of $1.50 per Reserved Blaize Share subject to such sale or exercise (the “Guaranteed Return Per Share”), so long as the price per share of Common Stock on the date of such sale or exercise is less than $13.57 per share (the “Put Price Per Share”). Following any sale by an Investor of a Reserved Blaize Share into the open market, Blaize is entitled to receive (i) $11.57 from the funds escrow account if the sales price in the open market (the “Sales Price”) equals or exceeds the Put Price Per Share or (ii) an amount equal to the difference between $11.57 and the Sales Price if the Sales Price is less than the Put Price Per Share, provided that no cash will be released to the Company from the funds escrow account in an amount that would cause the cash remaining in the funds escrow account to be less than the product of the Put Price Per Share and the number of Reserved Blaize Shares reamining in the share escrow account. If the shares of Common Stock trade at or above $13.00 per share for twenty (20) trading days within any thirty (30) consecutive trading day period, the Put Option shall automatically terminate and the Reserved Blaize Shares held in the Share Escrow Account shall be distributed back to the Investor in accordance with the share escrow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PIPE Investment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from December 31, 2024 through January 13, 2025, BurTech, Blaize and the Subscribers entered into the PIPE Subscription Agreements pursuant to which BurTech issued and sold to the Subscribers, immediately prior to the closing of the Merger, collectively, 1,540,300, shares of Class A Stock at a price per share equal to $10.00.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Shares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Private Placement Issuances </w:t>
      </w:r>
    </w:p>
    <w:p>
      <w:pPr>
        <w:pStyle w:val="TextBody"/>
        <w:bidi w:val="0"/>
        <w:spacing w:before="120" w:after="0"/>
        <w:jc w:val="left"/>
        <w:rPr>
          <w:rFonts w:ascii="Times New Roman" w:hAnsi="Times New Roman"/>
          <w:sz w:val="20"/>
        </w:rPr>
      </w:pPr>
      <w:r>
        <w:rPr>
          <w:rFonts w:ascii="Times New Roman" w:hAnsi="Times New Roman"/>
          <w:sz w:val="20"/>
        </w:rPr>
        <w:t xml:space="preserve">On February 10, 2025, in connection with that certain Letter Agreement, dated December 23, 2024, by and between the Company and Roth Capital Partners, LLC (“Roth”), we issued approximately 63,157 shares of common stock to Roth in a private placement under the Securities Act. Further, on February 10, 2025, in connection with that certain Letter Agreement, dated January 13, 2025, by and between Legacy Blaize and Craig-Hallum Capital Group LLC and its affiliates (“Craig-Hallum”), we issued (i) 31,792 shares of common stock to Craig-Hallum and (ii) warrants exercisable for up to 50,000 shares of common stock at a price of $11.50 per share (the “CMA Warrants”), in each case, in a private placement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i/>
          <w:sz w:val="20"/>
        </w:rPr>
      </w:pPr>
      <w:r>
        <w:rPr>
          <w:rFonts w:ascii="Times New Roman" w:hAnsi="Times New Roman"/>
          <w:i/>
          <w:sz w:val="20"/>
        </w:rPr>
        <w:t xml:space="preserve">Jefferies LLC v. Blaize Holdings, Inc. (formerly known as BurTech Acquisition Corp.)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transaction involving Legacy Blaize (i.e. the Business Combination) (the “Jefferies Engagement Letter”).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Risk Factors </w:t>
      </w:r>
    </w:p>
    <w:p>
      <w:pPr>
        <w:pStyle w:val="TextBody"/>
        <w:bidi w:val="0"/>
        <w:spacing w:before="120" w:after="0"/>
        <w:jc w:val="left"/>
        <w:rPr>
          <w:rFonts w:ascii="Times New Roman" w:hAnsi="Times New Roman"/>
          <w:sz w:val="20"/>
        </w:rPr>
      </w:pPr>
      <w:r>
        <w:rPr>
          <w:rFonts w:ascii="Times New Roman" w:hAnsi="Times New Roman"/>
          <w:sz w:val="20"/>
        </w:rPr>
        <w:t>Our business is subject to a number of risks of which you should be aware before making an investment decision. These risks are discussed more fully in the “</w:t>
      </w:r>
      <w:r>
        <w:rPr>
          <w:rFonts w:ascii="Times New Roman" w:hAnsi="Times New Roman"/>
          <w:i/>
          <w:sz w:val="20"/>
        </w:rPr>
        <w:t>Risk Factors</w:t>
      </w:r>
      <w:r>
        <w:rPr>
          <w:rFonts w:ascii="Times New Roman" w:hAnsi="Times New Roman"/>
          <w:sz w:val="20"/>
        </w:rPr>
        <w:t xml:space="preserve">” section of this prospectus immediately following this prospectus summary. These risks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operating losses, and we may not be able to generate sufficient revenue to achieve and sustain profitability.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automotive OEMs (as defined below) and Tier-1 suppliers are long-term in nature and we will not receive legally binding purchase order commitments until we deliver our auto- grade chip.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revenue and operating results will be harmed if we are unable to acquire new customers, retain existing customers, terminate existing customer or partnership contracts or expand sales to our existing customers.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implement our growth strategy on a timely basis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effectively develop and expand our marketing and sales capabilities could harm our ability to increase our customer base and achieve broader market acceptance of our platform and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timely supply of materials sourced from a limited number of suppliers, and are directly impacted by unexpected delays or problems from our third-party manufacturers.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improve and enhance the functionality, performance, reliability, design, security and scalability of our platform and products and innovate and introduce new solutions in a manner that responds to our customers’ evolving needs, our business may be adversely affected.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growth effectively, we may be unable to execute our business plan, maintain high levels of service and customer satisfaction or adequately address competitive challenges.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reduce or change our pricing model to remain competitive.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adapt and respond effectively to rapidly changing technology, evolving industry standards, and changing customer needs or preferences, our platform and products may become less competitive.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our senior management team and the loss of one or more key employees or an inability to attract and retain highly skilled employees may adversely affect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software or hardware contains serious errors or defects, we may lose revenue and market acceptance and may incur costs to defend or settle claims with our customers.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growth depends in part on the success of our strategic relationships with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under the laws of the state of Delaware on January 5, 2021 under the name BurTech Acquisition Corp. Upon the closing of the Business Combination, we changed our name to Blaize Holdings, Inc. Our principal executive offices are located at 4659 Golden Foothill Parkway, Suite 206, El Dorado Hills, 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95762, and our telephone number is (916) 347-0050. Our website address is </w:t>
      </w:r>
      <w:r>
        <w:rPr>
          <w:rFonts w:ascii="Times New Roman" w:hAnsi="Times New Roman"/>
          <w:i/>
          <w:sz w:val="20"/>
        </w:rPr>
        <w:t>www.blaize.com</w:t>
      </w:r>
      <w:r>
        <w:rPr>
          <w:rFonts w:ascii="Times New Roman" w:hAnsi="Times New Roman"/>
          <w:sz w:val="20"/>
        </w:rPr>
        <w:t xml:space="preserve">. The information contained in, or accessible through, our website does not constitute a part of this prospectus. We have included our website address in this prospectus solely as an inactive textual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option to present only two years of audited financial statements and only two years of related “</w:t>
            </w:r>
            <w:r>
              <w:rPr>
                <w:rFonts w:ascii="Times New Roman" w:hAnsi="Times New Roman"/>
                <w:i/>
                <w:sz w:val="20"/>
              </w:rPr>
              <w:t>Management’s Discussion and Analysis of Financial Condition and Results of Operations</w:t>
            </w:r>
            <w:r>
              <w:rPr>
                <w:rFonts w:ascii="Times New Roman" w:hAnsi="Times New Roman"/>
                <w:sz w:val="20"/>
              </w:rPr>
              <w:t xml:space="preserve">” in this 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(the “Sarbanes-Oxley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934548_4"/>
      <w:bookmarkEnd w:id="6"/>
      <w:r>
        <w:rPr>
          <w:rFonts w:ascii="Times New Roman" w:hAnsi="Times New Roman"/>
          <w:b/>
          <w:sz w:val="20"/>
        </w:rPr>
        <w:t xml:space="preserve">THE OFFERING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5"/>
        <w:gridCol w:w="120"/>
        <w:gridCol w:w="7540"/>
      </w:tblGrid>
      <w:tr>
        <w:trPr/>
        <w:tc>
          <w:tcPr>
            <w:tcW w:w="2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40" w:type="dxa"/>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Shares of Common Stock offered by us</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29,698,250 shares of Common Stock issuable upon exercise of Warrants.</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Shares of Common Stock offered by the Selling Securityholders</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89,550,141 shares of Common Stock.</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Warrants offered by the Selling Securityholders</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898,250 Warrants.</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Shares of Common Stock outstanding prior to this offering</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101,683,916 shares of Common Stock (as of April 29, 2025).</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Warrants outstanding prior to this Offering</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29,698,250 Warrants (as of April 29, 2025).</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Exercise price per Warrant</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$11.50.</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Use of proceeds</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We will not receive any proceeds from the sale of shares of Common Stock or Warrants by the Selling Securityholders pursuant to this prospectus. We will receive proceeds from the exercise of the Warrants for cash, but not from the sale of the shares of Common Stock issuable upon such exercise.</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Risk factors</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You should carefully read the “</w:t>
            </w:r>
            <w:r>
              <w:rPr>
                <w:i/>
              </w:rPr>
              <w:t>Risk Factors</w:t>
            </w:r>
            <w:r>
              <w:rPr/>
              <w:t>” beginning on page 8 and the other information included in this prospectus for a discussion of factors you should consider carefully before deciding to invest in our Common Stock or Warrants.</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Nasdaq symbol for our Common Stock</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w:t>
            </w:r>
            <w:r>
              <w:rPr/>
              <w:t>BZAI.”</w:t>
            </w:r>
          </w:p>
        </w:tc>
      </w:tr>
      <w:tr>
        <w:trPr/>
        <w:tc>
          <w:tcPr>
            <w:tcW w:w="2545" w:type="dxa"/>
            <w:tcBorders/>
            <w:vAlign w:val="center"/>
          </w:tcPr>
          <w:p>
            <w:pPr>
              <w:pStyle w:val="TableContents"/>
              <w:bidi w:val="0"/>
              <w:spacing w:before="0" w:after="283"/>
              <w:jc w:val="left"/>
              <w:rPr>
                <w:sz w:val="4"/>
                <w:szCs w:val="4"/>
              </w:rPr>
            </w:pPr>
            <w:r>
              <w:rPr>
                <w:sz w:val="4"/>
                <w:szCs w:val="4"/>
              </w:rPr>
            </w:r>
          </w:p>
        </w:tc>
        <w:tc>
          <w:tcPr>
            <w:tcW w:w="7660" w:type="dxa"/>
            <w:gridSpan w:val="2"/>
            <w:tcBorders/>
            <w:vAlign w:val="center"/>
          </w:tcPr>
          <w:p>
            <w:pPr>
              <w:pStyle w:val="TableContents"/>
              <w:bidi w:val="0"/>
              <w:spacing w:before="0" w:after="283"/>
              <w:jc w:val="left"/>
              <w:rPr>
                <w:sz w:val="4"/>
                <w:szCs w:val="4"/>
              </w:rPr>
            </w:pPr>
            <w:r>
              <w:rPr>
                <w:sz w:val="4"/>
                <w:szCs w:val="4"/>
              </w:rPr>
            </w:r>
          </w:p>
        </w:tc>
      </w:tr>
      <w:tr>
        <w:trPr/>
        <w:tc>
          <w:tcPr>
            <w:tcW w:w="2545" w:type="dxa"/>
            <w:tcBorders/>
            <w:vAlign w:val="center"/>
          </w:tcPr>
          <w:p>
            <w:pPr>
              <w:pStyle w:val="TableContents"/>
              <w:bidi w:val="0"/>
              <w:spacing w:before="0" w:after="283"/>
              <w:jc w:val="left"/>
              <w:rPr/>
            </w:pPr>
            <w:r>
              <w:rPr/>
              <w:t>Nasdaq symbol for our Warrants</w:t>
            </w:r>
          </w:p>
        </w:tc>
        <w:tc>
          <w:tcPr>
            <w:tcW w:w="120" w:type="dxa"/>
            <w:tcBorders/>
            <w:vAlign w:val="center"/>
          </w:tcPr>
          <w:p>
            <w:pPr>
              <w:pStyle w:val="TableContents"/>
              <w:bidi w:val="0"/>
              <w:spacing w:before="0" w:after="283"/>
              <w:jc w:val="left"/>
              <w:rPr/>
            </w:pPr>
            <w:r>
              <w:rPr/>
              <w:t>  </w:t>
            </w:r>
          </w:p>
        </w:tc>
        <w:tc>
          <w:tcPr>
            <w:tcW w:w="7540" w:type="dxa"/>
            <w:tcBorders/>
            <w:vAlign w:val="center"/>
          </w:tcPr>
          <w:p>
            <w:pPr>
              <w:pStyle w:val="TableContents"/>
              <w:bidi w:val="0"/>
              <w:spacing w:before="0" w:after="283"/>
              <w:jc w:val="left"/>
              <w:rPr/>
            </w:pPr>
            <w:r>
              <w:rPr/>
              <w:t>“</w:t>
            </w:r>
            <w:r>
              <w:rPr/>
              <w:t>BZAIW.”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934548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and uncertainties described below and the other information in this prospectus before making an investment in our Common Stock or Warrants. Our business, financial condition, results of operations, or prospects could be materially and adversely affected if any of these risks occurs, and as a result, the market price of our Common Stock and Warrants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by the Selling Securityholders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a substantial number of our securities in the public market by the Selling Securityholders and/or by our existing securityholders could cause the price of our shares of Common Stock and Warrants to fall.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can sell, under this prospectus, up to (a) 89,550,141 shares of Common Stock constituting approximately 88.12% of our issued and outstanding shares of Common Stock (assuming the exercise of all of our Warrants) and (b) 898,250 Warrants constituting approximately 3.03% of our issued and outstanding Warrants. </w:t>
      </w:r>
    </w:p>
    <w:p>
      <w:pPr>
        <w:pStyle w:val="TextBody"/>
        <w:bidi w:val="0"/>
        <w:spacing w:before="240" w:after="0"/>
        <w:jc w:val="left"/>
        <w:rPr>
          <w:rFonts w:ascii="Times New Roman" w:hAnsi="Times New Roman"/>
          <w:sz w:val="20"/>
        </w:rPr>
      </w:pPr>
      <w:r>
        <w:rPr>
          <w:rFonts w:ascii="Times New Roman" w:hAnsi="Times New Roman"/>
          <w:sz w:val="20"/>
        </w:rPr>
        <w:t xml:space="preserve">Sales of a substantial number of our shares of Common Stock and/or Warrants in the public market by the Selling Securityholders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history of operating losses, and we may not be able to generate sufficient revenue to achieve and sustain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have not yet achieved profitability. During the years ended December 31, 2024 and 2023, we incurred operating losses of $47.6 million and $38.5 million, respectively, and used cash in operating activities of $53.5 million and $28.0 million, respectively. As of December 31, 2024, we had an accumulated deficit of $429.3 million. In recent periods, our revenue growth has been attributed to non-recurring engineering (“NRE”)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recent growth rates may not be indicative of our future growth. </w:t>
      </w:r>
    </w:p>
    <w:p>
      <w:pPr>
        <w:pStyle w:val="TextBody"/>
        <w:bidi w:val="0"/>
        <w:spacing w:before="120" w:after="0"/>
        <w:jc w:val="left"/>
        <w:rPr>
          <w:rFonts w:ascii="Times New Roman" w:hAnsi="Times New Roman"/>
          <w:sz w:val="20"/>
        </w:rPr>
      </w:pPr>
      <w:r>
        <w:rPr>
          <w:rFonts w:ascii="Times New Roman" w:hAnsi="Times New Roman"/>
          <w:sz w:val="20"/>
        </w:rPr>
        <w:t xml:space="preserve">Our prior years revenue has largely consisted of NRE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2024/2025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 </w:t>
      </w:r>
    </w:p>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eco-system of partners for hardware and software solutions;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new customers and retain and increase sales to existing customers;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and expand our relationships with our customers;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 our existing platform and products, introduce new functionality to our platform and develop new products;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into new market segments and internationally;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secure long-term revenue commitments from automotive Original Equipment Manufacturers (“OEMs”) and Tier-1 suppliers.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independent registered public accounting firm’s report contains an explanatory paragraph that expresses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Our independent registered public accounting firm has included an explanatory paragraph expressing substantial doubt about our ability to continue as a going concern in its report for the year ended December 31, 2024, included elsewhere in this prospectus, filed on April 15, 2025. Our consolidated financial statements have been prepared on a going concern basis, which contemplates the realization of assets and the discharge of liabilities in the normal course of business.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Although the Company intends to raise additional capital through issuances of additional debt and equity, as well as through the consummation of the Business Combination, and is currently taking actions to both source and preserve cash through a combination of the issuance of conviertible notes and a possible capital market transaction that has received additional funding in 2024, there is no assurance that additional financing will be available at terms acceptable to us or at all. These factors raise substantial doubt about our ability to continue as a going concern. If we cannot continue as a viable entity, this could materially adversely affect the value of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partnerships with certain automotive OEMs and Tier-1 suppliers are long-term in nature and we will not receive firm purchase order commitments until we deliver our auto-grade chip. </w:t>
      </w:r>
    </w:p>
    <w:p>
      <w:pPr>
        <w:pStyle w:val="TextBody"/>
        <w:bidi w:val="0"/>
        <w:spacing w:before="120" w:after="0"/>
        <w:jc w:val="left"/>
        <w:rPr>
          <w:rFonts w:ascii="Times New Roman" w:hAnsi="Times New Roman"/>
          <w:sz w:val="20"/>
        </w:rPr>
      </w:pPr>
      <w:r>
        <w:rPr>
          <w:rFonts w:ascii="Times New Roman" w:hAnsi="Times New Roman"/>
          <w:sz w:val="20"/>
        </w:rPr>
        <w:t xml:space="preserve">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complexity into their vehicles. Additionally, in 2023 and 2024, we teamed up with one automotive OEM, Mercedes-Benz North America Corporation (“Mercedes-Benz”), and their partner vendors to evaluate their requirements for an advanced L4 platform. This is intended to be in production by the end of this decade and a phase 1 evaluation recently concluded in the second quarter of 2024. To date, we have recognized approximately $25.0 million and $7.0 million in non-recurring engineering fees from DENSO and Mercedes-Benz,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2028 or later. Our partnership with our main Tier-1 supplier, DENSO Corporation (“DENSO”) continues with projects centered around Blaize’s software and hardware offerings, including a Proof of Concept Agreement (as defined herein) with aggregate proceeds of approximately $3.0 million upon its completion, as described further in the section entitld “Information About Blaize – Material Contracts.”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beginning in 2028 and we anticipate recognizing revenues from these potential future partnerships with automotive OEMs and Tier-1 and Tier-2 partners.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invest in developing automotive-grade chips and software depends upon having access to a large amount of capital that is expected to be sourced from revenues into other non- automotive markets, based on our current set of products. A shortfall in those revenues will significantly impact our automotive roadmap and automotive OEMs and Tier-1 and Tier-2 partners, including Mercedes-Benz and DENSO, may choose to adopt competing technologies. If this occurs, it will be extremely difficult to retain our specialist automotive skills and there is a high risk of losing that expertise altogether.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revenue and operating results will be harmed if we are unable to acquire new customers, retain existing customers, terminate existing customer or partnership contracts or expand sales to our existing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implement our growth strategy on a timely basis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future growth, profitability and cash flows depend upon our ability to successfully implement our growth strategy, which, in turn, is dependent upon a number of factors, including our ability to: </w:t>
      </w:r>
    </w:p>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eco-system of partners for hardware and software solutions;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grow our current customer base;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110"/>
        <w:gridCol w:w="60"/>
        <w:gridCol w:w="1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new customers;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scale our business model;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customer location footprint;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ensure a consistent and timely supply chain;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presence within verticals;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innovate our product offerings; and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selectively pursue strategic and value-enhancing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effectively develop and expand our marketing and sales capabilities could harm our ability to increase our customer base and achieve broader market acceptance of our platform and products.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sales cycle with large enterprise customers can be long and unpredictable, and our sales efforts require considerable time and expense. </w:t>
      </w:r>
    </w:p>
    <w:p>
      <w:pPr>
        <w:pStyle w:val="TextBody"/>
        <w:bidi w:val="0"/>
        <w:spacing w:before="120" w:after="0"/>
        <w:jc w:val="left"/>
        <w:rPr>
          <w:rFonts w:ascii="Times New Roman" w:hAnsi="Times New Roman"/>
          <w:sz w:val="20"/>
        </w:rPr>
      </w:pPr>
      <w:r>
        <w:rPr>
          <w:rFonts w:ascii="Times New Roman" w:hAnsi="Times New Roman"/>
          <w:sz w:val="20"/>
        </w:rPr>
        <w:t xml:space="preserve">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 </w:t>
      </w:r>
    </w:p>
    <w:p>
      <w:pPr>
        <w:pStyle w:val="TextBody"/>
        <w:bidi w:val="0"/>
        <w:spacing w:before="240" w:after="0"/>
        <w:jc w:val="left"/>
        <w:rPr>
          <w:rFonts w:ascii="Times New Roman" w:hAnsi="Times New Roman"/>
          <w:sz w:val="20"/>
        </w:rPr>
      </w:pPr>
      <w:r>
        <w:rPr>
          <w:rFonts w:ascii="Times New Roman" w:hAnsi="Times New Roman"/>
          <w:sz w:val="20"/>
        </w:rPr>
        <w:t xml:space="preserve">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force as we hire and train our new salespeople to sell to large enterprise customers;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discretionary nature of purchasing and budget cycles and decisions;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obstacles placed by customers’ procurement process ;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and other factors impacting customer budgets ;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customers’ integration complexity;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customers’ familiarity with edge computing solutions;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customers’ evaluation of competing products during the purchasing process ;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evolving customer demands;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adoption and implementation of regulations that affect our ability to obtain customers in certain regions of the world outside of the United States;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adoption and implementation of regulations within the United States that impose supply chain and manufacturing location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or grow our brand recognition, our ability to expand our customer base will be impaired and our financial condition may suffer. </w:t>
      </w:r>
    </w:p>
    <w:p>
      <w:pPr>
        <w:pStyle w:val="TextBody"/>
        <w:bidi w:val="0"/>
        <w:spacing w:before="120" w:after="0"/>
        <w:jc w:val="left"/>
        <w:rPr>
          <w:rFonts w:ascii="Times New Roman" w:hAnsi="Times New Roman"/>
          <w:sz w:val="20"/>
        </w:rPr>
      </w:pPr>
      <w:r>
        <w:rPr>
          <w:rFonts w:ascii="Times New Roman" w:hAnsi="Times New Roman"/>
          <w:sz w:val="20"/>
        </w:rPr>
        <w:t xml:space="preserve">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offer high quality support, our business and reputation could suffer. </w:t>
      </w:r>
    </w:p>
    <w:p>
      <w:pPr>
        <w:pStyle w:val="TextBody"/>
        <w:bidi w:val="0"/>
        <w:spacing w:before="120" w:after="0"/>
        <w:jc w:val="left"/>
        <w:rPr>
          <w:rFonts w:ascii="Times New Roman" w:hAnsi="Times New Roman"/>
          <w:sz w:val="20"/>
        </w:rPr>
      </w:pPr>
      <w:r>
        <w:rPr>
          <w:rFonts w:ascii="Times New Roman" w:hAnsi="Times New Roman"/>
          <w:sz w:val="20"/>
        </w:rPr>
        <w:t xml:space="preserve">Our customers rely on our personnel for support related to our subscription and customer solutions. High- 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 </w:t>
      </w:r>
    </w:p>
    <w:p>
      <w:pPr>
        <w:pStyle w:val="TextBody"/>
        <w:bidi w:val="0"/>
        <w:spacing w:before="240" w:after="0"/>
        <w:jc w:val="left"/>
        <w:rPr>
          <w:rFonts w:ascii="Times New Roman" w:hAnsi="Times New Roman"/>
          <w:sz w:val="20"/>
        </w:rPr>
      </w:pPr>
      <w:r>
        <w:rPr>
          <w:rFonts w:ascii="Times New Roman" w:hAnsi="Times New Roman"/>
          <w:sz w:val="20"/>
        </w:rPr>
        <w:t xml:space="preserve">Our inability to hire technical support staff in a timely manner, whether due to market conditions or our own budget constraints, would also affect the quality of support for our customers and partners and could potentially result in business and reputational harms.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timely supply of materials sourced from a limited number of suppliers, and are directly impacted by unexpected delays or problems from our third-party manufacturers. </w:t>
      </w:r>
    </w:p>
    <w:p>
      <w:pPr>
        <w:pStyle w:val="TextBody"/>
        <w:bidi w:val="0"/>
        <w:spacing w:before="120" w:after="0"/>
        <w:jc w:val="left"/>
        <w:rPr>
          <w:rFonts w:ascii="Times New Roman" w:hAnsi="Times New Roman"/>
          <w:sz w:val="20"/>
        </w:rPr>
      </w:pPr>
      <w:r>
        <w:rPr>
          <w:rFonts w:ascii="Times New Roman" w:hAnsi="Times New Roman"/>
          <w:sz w:val="20"/>
        </w:rPr>
        <w:t xml:space="preserve">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third-party manufacturers, including Samsung Foundry and Plexus, for producing our products, and in the event of a disruption in our supply chain, any efforts to develop alternative supply sources may not be successful or may take longer to take effect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As a fabless company, we do not manufacture its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interruption of supply resulting from modifications to or discontinuation of a manufacturer’s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 shipments resulting from uncorrected defects, reliability issues or a manufacturer’s variation in a component;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lack of long-term supply arrangements with our manufacturers;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delay in delivery due to its suppliers’ prioritizing other customer orders over ours;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damage to our reputation caused by defective products produced by our suppliers;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 in delivery by our suppliers due to changes in demand from our or their other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interruptions, shortages, delivery delays and potential discontinuation of supply as a result of any recurrence of pandemics such as COVID-19, or other reasons outside our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political, legal and economic changes, crises or instability and civil unrest in the jurisdictions where our manufacturers’ plants are located, such as changes in China-Taiwan relations that may adversely affect our manufacturers’ and suppliers’ operations;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currency conversion risks and exchange rate fluctuations; and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requirements of U.S. customs and international trade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its suppliers such as what it experienced as a result of the COVID-19 lockdown in China.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its products could be impacted.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what additional actions, if any, may be taken with respect to tariffs or trade relations between the United States and China, what products may be subject to such actions, or what actions may be taken by the China in retaliation. The adoption and expansion of trade restrictions, the occurrence of a trade war, or other governmental action related to tariffs, trade agreements or related policies have the potential to adversely impact our supply chain and access to equipment, our costs and our product margins. The additional tariffs imposed on components or equipment that we source from China will increase our costs and could have an adverse impact on our operating results and financial conditions in future periods. Blaize’s supply chain and product assembly is global in nature. While most of the goods movement, including imports and exports, required to manufacture and test Blaize products are restricted to Asian countries, there are certain components that must enter or exit the US. Those components are at the highest risk of being affected by the aforementioned changes, and in turn disrupting the supply chain and Blaize’s products pipeline.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improve and enhance the functionality, performance, reliability, design, security and scalability of our platform and products and innovate and introduce new solutions in a manner that responds to our customers’ evolving needs,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driving the global deployment and customer adoption of digital offerings characterized by digital applications and solutions.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the utility, compatibility, and performance of our cloud, edge, AI and software solutions (including the reliability of our third-party software vendors, network and cloud providers) on a growing array of medical devices, software and equipment;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continuing to enhance the attractiveness of our solutions to our customers in the face of increasing competition from a significant number of existing and new entrants in the market, while ensuring these solutions meet their reliability and security expectations;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lasting relationships with key server and edge-AI box manufacturers;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ensuring these solutions meet regulatory requirements in a fast-moving space disrupted by changing regulations around data privacy and the need for innovation, including obtaining marketing authorizations when required; and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adapting to ever-changing geopolitical regulations on advanced technologies, including AI Technologies.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manage our growth effectively, we may be unable to execute our business plan, maintain high levels of service and customer satisfaction or adequately address competitive challenges. </w:t>
      </w:r>
    </w:p>
    <w:p>
      <w:pPr>
        <w:pStyle w:val="TextBody"/>
        <w:bidi w:val="0"/>
        <w:spacing w:before="120" w:after="0"/>
        <w:jc w:val="left"/>
        <w:rPr>
          <w:rFonts w:ascii="Times New Roman" w:hAnsi="Times New Roman"/>
          <w:sz w:val="20"/>
        </w:rPr>
      </w:pPr>
      <w:r>
        <w:rPr>
          <w:rFonts w:ascii="Times New Roman" w:hAnsi="Times New Roman"/>
          <w:sz w:val="20"/>
        </w:rPr>
        <w:t xml:space="preserve">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intend to expand our international operations in the future. Our expansion will continue to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or invest in companies, which may divert our management’s attention and result in additional dilution to our stockholders. We may be unable to integrate acquired businesses and technologies successfully or achieve the expected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 </w:t>
      </w:r>
    </w:p>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equity securities that would dilute our stockholders;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cash that we may need in the future to operate our business;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debt on terms unfavorable to us or that we are unable to repay;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large charges or substantial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encounter difficulties retaining key employees of the acquired company or integrating diverse software codes or business cultures; and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become subject to adverse tax consequences, substantial depreciation, or deferred compensation charges.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 </w:t>
      </w:r>
    </w:p>
    <w:p>
      <w:pPr>
        <w:pStyle w:val="TextBody"/>
        <w:bidi w:val="0"/>
        <w:spacing w:before="240" w:after="0"/>
        <w:jc w:val="left"/>
        <w:rPr>
          <w:rFonts w:ascii="Times New Roman" w:hAnsi="Times New Roman"/>
          <w:sz w:val="20"/>
        </w:rPr>
      </w:pPr>
      <w:r>
        <w:rPr>
          <w:rFonts w:ascii="Times New Roman" w:hAnsi="Times New Roman"/>
          <w:sz w:val="20"/>
        </w:rPr>
        <w:t xml:space="preserve">However, significant investment is needed to develop cutting-edge technologies and products, and some of our competitors may have greater resources than us. If these competitors ramp up their research and development and marketing efforts, we may struggle to compete effectively.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 </w:t>
      </w:r>
    </w:p>
    <w:p>
      <w:pPr>
        <w:pStyle w:val="TextBody"/>
        <w:bidi w:val="0"/>
        <w:spacing w:before="240" w:after="0"/>
        <w:jc w:val="left"/>
        <w:rPr>
          <w:rFonts w:ascii="Times New Roman" w:hAnsi="Times New Roman"/>
          <w:sz w:val="20"/>
        </w:rPr>
      </w:pPr>
      <w:r>
        <w:rPr>
          <w:rFonts w:ascii="Times New Roman" w:hAnsi="Times New Roman"/>
          <w:sz w:val="20"/>
        </w:rPr>
        <w:t xml:space="preserve">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 </w:t>
      </w:r>
    </w:p>
    <w:p>
      <w:pPr>
        <w:pStyle w:val="TextBody"/>
        <w:bidi w:val="0"/>
        <w:spacing w:before="240" w:after="0"/>
        <w:jc w:val="left"/>
        <w:rPr>
          <w:rFonts w:ascii="Times New Roman" w:hAnsi="Times New Roman"/>
          <w:sz w:val="20"/>
        </w:rPr>
      </w:pPr>
      <w:r>
        <w:rPr>
          <w:rFonts w:ascii="Times New Roman" w:hAnsi="Times New Roman"/>
          <w:sz w:val="20"/>
        </w:rPr>
        <w:t xml:space="preserve">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reduce or change our pricing model to remain competitive. </w:t>
      </w:r>
    </w:p>
    <w:p>
      <w:pPr>
        <w:pStyle w:val="TextBody"/>
        <w:bidi w:val="0"/>
        <w:spacing w:before="120" w:after="0"/>
        <w:jc w:val="left"/>
        <w:rPr>
          <w:rFonts w:ascii="Times New Roman" w:hAnsi="Times New Roman"/>
          <w:sz w:val="20"/>
        </w:rPr>
      </w:pPr>
      <w:r>
        <w:rPr>
          <w:rFonts w:ascii="Times New Roman" w:hAnsi="Times New Roman"/>
          <w:sz w:val="20"/>
        </w:rPr>
        <w:t xml:space="preserve">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adapt and respond effectively to rapidly changing technology, evolving industry standards, and changing customer needs or preferences, our platform and products may become less competitive. </w:t>
      </w:r>
    </w:p>
    <w:p>
      <w:pPr>
        <w:pStyle w:val="TextBody"/>
        <w:bidi w:val="0"/>
        <w:spacing w:before="120" w:after="0"/>
        <w:jc w:val="left"/>
        <w:rPr>
          <w:rFonts w:ascii="Times New Roman" w:hAnsi="Times New Roman"/>
          <w:sz w:val="20"/>
        </w:rPr>
      </w:pPr>
      <w:r>
        <w:rPr>
          <w:rFonts w:ascii="Times New Roman" w:hAnsi="Times New Roman"/>
          <w:sz w:val="20"/>
        </w:rPr>
        <w:t xml:space="preserve">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 </w:t>
      </w:r>
    </w:p>
    <w:p>
      <w:pPr>
        <w:pStyle w:val="TextBody"/>
        <w:bidi w:val="0"/>
        <w:spacing w:before="240" w:after="0"/>
        <w:jc w:val="left"/>
        <w:rPr>
          <w:rFonts w:ascii="Times New Roman" w:hAnsi="Times New Roman"/>
          <w:sz w:val="20"/>
        </w:rPr>
      </w:pPr>
      <w:r>
        <w:rPr>
          <w:rFonts w:ascii="Times New Roman" w:hAnsi="Times New Roman"/>
          <w:sz w:val="20"/>
        </w:rPr>
        <w:t xml:space="preserve">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estimates of market opportunity and forecasts of market growth included in this prospectus may prove to be inaccurate. Even if the market in which we compete achieves the forecasted growth, our business could fail to grow at similar rates, if at all.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anticipate that our operations will continue to increase in complexity as we grow, which will create management challenges.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 </w:t>
      </w:r>
    </w:p>
    <w:p>
      <w:pPr>
        <w:pStyle w:val="TextBody"/>
        <w:bidi w:val="0"/>
        <w:spacing w:before="240" w:after="0"/>
        <w:jc w:val="left"/>
        <w:rPr>
          <w:rFonts w:ascii="Times New Roman" w:hAnsi="Times New Roman"/>
          <w:sz w:val="20"/>
        </w:rPr>
      </w:pPr>
      <w:r>
        <w:rPr>
          <w:rFonts w:ascii="Times New Roman" w:hAnsi="Times New Roman"/>
          <w:sz w:val="20"/>
        </w:rPr>
        <w:t xml:space="preserve">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depend on our senior management team and the loss of one or more key employees or an inability to attract and retain highly skilled employees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hire, retain and motivate qualified personnel, our business will suffer.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maintain our corporate culture as we grow, we could lose the innovation, teamwork, passion and focus on execution that we believe contribute to our success, and our business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software or hardware contains serious errors or defects, we may lose revenue and market acceptance and may incur costs to defend or settle claims with our customers. </w:t>
      </w:r>
    </w:p>
    <w:p>
      <w:pPr>
        <w:pStyle w:val="TextBody"/>
        <w:bidi w:val="0"/>
        <w:spacing w:before="120" w:after="0"/>
        <w:jc w:val="left"/>
        <w:rPr>
          <w:rFonts w:ascii="Times New Roman" w:hAnsi="Times New Roman"/>
          <w:sz w:val="20"/>
        </w:rPr>
      </w:pPr>
      <w:r>
        <w:rPr>
          <w:rFonts w:ascii="Times New Roman" w:hAnsi="Times New Roman"/>
          <w:sz w:val="20"/>
        </w:rPr>
        <w:t xml:space="preserve">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 </w:t>
      </w:r>
    </w:p>
    <w:p>
      <w:pPr>
        <w:pStyle w:val="TextBody"/>
        <w:bidi w:val="0"/>
        <w:spacing w:before="240" w:after="0"/>
        <w:jc w:val="left"/>
        <w:rPr>
          <w:rFonts w:ascii="Times New Roman" w:hAnsi="Times New Roman"/>
          <w:sz w:val="20"/>
        </w:rPr>
      </w:pPr>
      <w:r>
        <w:rPr>
          <w:rFonts w:ascii="Times New Roman" w:hAnsi="Times New Roman"/>
          <w:sz w:val="20"/>
        </w:rPr>
        <w:t xml:space="preserve">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 </w:t>
      </w:r>
    </w:p>
    <w:p>
      <w:pPr>
        <w:pStyle w:val="TextBody"/>
        <w:bidi w:val="0"/>
        <w:spacing w:before="240" w:after="0"/>
        <w:jc w:val="left"/>
        <w:rPr>
          <w:rFonts w:ascii="Times New Roman" w:hAnsi="Times New Roman"/>
          <w:sz w:val="20"/>
        </w:rPr>
      </w:pPr>
      <w:r>
        <w:rPr>
          <w:rFonts w:ascii="Times New Roman" w:hAnsi="Times New Roman"/>
          <w:sz w:val="20"/>
        </w:rPr>
        <w:t xml:space="preserve">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 </w:t>
      </w:r>
    </w:p>
    <w:p>
      <w:pPr>
        <w:pStyle w:val="TextBody"/>
        <w:bidi w:val="0"/>
        <w:spacing w:before="240" w:after="0"/>
        <w:jc w:val="left"/>
        <w:rPr>
          <w:rFonts w:ascii="Times New Roman" w:hAnsi="Times New Roman"/>
          <w:sz w:val="20"/>
        </w:rPr>
      </w:pPr>
      <w:r>
        <w:rPr>
          <w:rFonts w:ascii="Times New Roman" w:hAnsi="Times New Roman"/>
          <w:sz w:val="20"/>
        </w:rPr>
        <w:t xml:space="preserve">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certain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 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use AI Technologies throughout our business and are making significant investments in this area. For example, we use AI Technologies internally to prepare data provided by customers for assisting such customers with AI development when using AI Studio. </w:t>
      </w:r>
    </w:p>
    <w:p>
      <w:pPr>
        <w:pStyle w:val="TextBody"/>
        <w:bidi w:val="0"/>
        <w:spacing w:before="240" w:after="0"/>
        <w:jc w:val="left"/>
        <w:rPr>
          <w:rFonts w:ascii="Times New Roman" w:hAnsi="Times New Roman"/>
          <w:sz w:val="20"/>
        </w:rPr>
      </w:pPr>
      <w:r>
        <w:rPr>
          <w:rFonts w:ascii="Times New Roman" w:hAnsi="Times New Roman"/>
          <w:sz w:val="20"/>
        </w:rPr>
        <w:t xml:space="preserve">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increased investement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 </w:t>
      </w:r>
    </w:p>
    <w:p>
      <w:pPr>
        <w:pStyle w:val="TextBody"/>
        <w:bidi w:val="0"/>
        <w:spacing w:before="240" w:after="0"/>
        <w:jc w:val="left"/>
        <w:rPr>
          <w:rFonts w:ascii="Times New Roman" w:hAnsi="Times New Roman"/>
          <w:sz w:val="20"/>
        </w:rPr>
      </w:pPr>
      <w:r>
        <w:rPr>
          <w:rFonts w:ascii="Times New Roman" w:hAnsi="Times New Roman"/>
          <w:sz w:val="20"/>
        </w:rPr>
        <w:t xml:space="preserve">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w:t>
      </w:r>
    </w:p>
    <w:p>
      <w:pPr>
        <w:pStyle w:val="TextBody"/>
        <w:bidi w:val="0"/>
        <w:spacing w:before="240" w:after="0"/>
        <w:jc w:val="left"/>
        <w:rPr>
          <w:rFonts w:ascii="Times New Roman" w:hAnsi="Times New Roman"/>
          <w:sz w:val="20"/>
        </w:rPr>
      </w:pPr>
      <w:r>
        <w:rPr>
          <w:rFonts w:ascii="Times New Roman" w:hAnsi="Times New Roman"/>
          <w:sz w:val="20"/>
        </w:rPr>
        <w:t xml:space="preserve">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in the United States,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The Order also requires the development of a new AI action plan within 180 days that must be “free from ideological bias or engineered social agendas.” While this action could indicate a less interventionist approach to AI then the prior administration, it is not clear how this new Executive Order will be implemented or whether it will affect rules issued by other agencies following the principles set forth in the 2023 AI Order. </w:t>
      </w:r>
    </w:p>
    <w:p>
      <w:pPr>
        <w:pStyle w:val="TextBody"/>
        <w:bidi w:val="0"/>
        <w:spacing w:before="240" w:after="0"/>
        <w:jc w:val="left"/>
        <w:rPr>
          <w:rFonts w:ascii="Times New Roman" w:hAnsi="Times New Roman"/>
          <w:sz w:val="20"/>
        </w:rPr>
      </w:pPr>
      <w:r>
        <w:rPr>
          <w:rFonts w:ascii="Times New Roman" w:hAnsi="Times New Roman"/>
          <w:sz w:val="20"/>
        </w:rPr>
        <w:t xml:space="preserve">Legislation related to AI Technologies has also been introduced at the federal level and is advancing at the state level. For example, Colorado recently passed a AI Act, which regulates the development, deployment, and use of AI systems and the California Privacy Protection Agency is currently in the process of finalizing regulations under the California Consumer Privacy Act regarding the use of automated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 </w:t>
      </w:r>
    </w:p>
    <w:p>
      <w:pPr>
        <w:pStyle w:val="TextBody"/>
        <w:bidi w:val="0"/>
        <w:spacing w:before="240" w:after="0"/>
        <w:jc w:val="left"/>
        <w:rPr>
          <w:rFonts w:ascii="Times New Roman" w:hAnsi="Times New Roman"/>
          <w:sz w:val="20"/>
        </w:rPr>
      </w:pPr>
      <w:r>
        <w:rPr>
          <w:rFonts w:ascii="Times New Roman" w:hAnsi="Times New Roman"/>
          <w:sz w:val="20"/>
        </w:rPr>
        <w:t xml:space="preserve">Despite precautions taken at our data centers, spikes in usage volume, a natural disaster, an act of terrorism, vandalism or sabotage,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of open source software or datasets could subject us to possible litigation or cause us to subject our platform or products to unwanted open source license conditions that could negatively impact our sales. </w:t>
      </w:r>
    </w:p>
    <w:p>
      <w:pPr>
        <w:pStyle w:val="TextBody"/>
        <w:bidi w:val="0"/>
        <w:spacing w:before="120" w:after="0"/>
        <w:jc w:val="left"/>
        <w:rPr>
          <w:rFonts w:ascii="Times New Roman" w:hAnsi="Times New Roman"/>
          <w:sz w:val="20"/>
        </w:rPr>
      </w:pPr>
      <w:r>
        <w:rPr>
          <w:rFonts w:ascii="Times New Roman" w:hAnsi="Times New Roman"/>
          <w:sz w:val="20"/>
        </w:rPr>
        <w:t xml:space="preserve">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computer hardware, purchased or leased, and software licensed from and services rendered by third parties in order to run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growth depends in part on the success of our strategic relationships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incur substantial costs in protecting or defending our proprietary rights. Failure to adequately protect our rights could impair our competitive position and we could lose valuable assets, experience reduced revenue and incur costly litigation. </w:t>
      </w:r>
    </w:p>
    <w:p>
      <w:pPr>
        <w:pStyle w:val="TextBody"/>
        <w:bidi w:val="0"/>
        <w:spacing w:before="120" w:after="0"/>
        <w:jc w:val="left"/>
        <w:rPr>
          <w:rFonts w:ascii="Times New Roman" w:hAnsi="Times New Roman"/>
          <w:sz w:val="20"/>
        </w:rPr>
      </w:pPr>
      <w:r>
        <w:rPr>
          <w:rFonts w:ascii="Times New Roman" w:hAnsi="Times New Roman"/>
          <w:sz w:val="20"/>
        </w:rPr>
        <w:t xml:space="preserve">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 </w:t>
      </w:r>
    </w:p>
    <w:p>
      <w:pPr>
        <w:pStyle w:val="TextBody"/>
        <w:bidi w:val="0"/>
        <w:spacing w:before="240" w:after="0"/>
        <w:jc w:val="left"/>
        <w:rPr>
          <w:rFonts w:ascii="Times New Roman" w:hAnsi="Times New Roman"/>
          <w:sz w:val="20"/>
        </w:rPr>
      </w:pPr>
      <w:r>
        <w:rPr>
          <w:rFonts w:ascii="Times New Roman" w:hAnsi="Times New Roman"/>
          <w:sz w:val="20"/>
        </w:rPr>
        <w:t xml:space="preserve">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rights. Enforcement of our intellectual property rights may be met with defenses, counterclaims and countersuits attacking the validity and enforceability of our intellectual property. An adverse determination of any litigation proceedings could put our intellectual property rights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property rights if we are unable to enforce these rights or if we do not detect unauthorized use of our intellectual property rights. Policing unauthorized use of our technologies, trade secrets, and intellectual property rights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rights, our business, operating results and financial condition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general, we are subject to various laws and regulations in the U.S. and internationally, which may expose us to liability, increased costs or have other adverse effects that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 </w:t>
      </w:r>
    </w:p>
    <w:p>
      <w:pPr>
        <w:pStyle w:val="TextBody"/>
        <w:bidi w:val="0"/>
        <w:spacing w:before="240" w:after="0"/>
        <w:jc w:val="left"/>
        <w:rPr>
          <w:rFonts w:ascii="Times New Roman" w:hAnsi="Times New Roman"/>
          <w:sz w:val="20"/>
        </w:rPr>
      </w:pPr>
      <w:r>
        <w:rPr>
          <w:rFonts w:ascii="Times New Roman" w:hAnsi="Times New Roman"/>
          <w:sz w:val="20"/>
        </w:rPr>
        <w:t xml:space="preserve">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the Company by non-U.S. investors may be subject to the jurisdiction of and review by the Committee on Foreign Investment in the United States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conduct, and Legacy Blaize conducted, a portion of its business with third-party ecosystem partners to provide defensive solutions that incorporate our products to various foreign and domestic government agencies, which are subject to unique risks. </w:t>
      </w:r>
    </w:p>
    <w:p>
      <w:pPr>
        <w:pStyle w:val="TextBody"/>
        <w:bidi w:val="0"/>
        <w:spacing w:before="120" w:after="0"/>
        <w:jc w:val="left"/>
        <w:rPr>
          <w:rFonts w:ascii="Times New Roman" w:hAnsi="Times New Roman"/>
          <w:sz w:val="20"/>
        </w:rPr>
      </w:pPr>
      <w:r>
        <w:rPr>
          <w:rFonts w:ascii="Times New Roman" w:hAnsi="Times New Roman"/>
          <w:sz w:val="20"/>
        </w:rPr>
        <w:t xml:space="preserve">Contracts with the U.S. or foreign governments are subject to extensive regulations, and new regulations, or changes to existing regulations, could increase Blaize’s or its third-party ecosystem partners’ compliance costs, including in the form of withheld payments and/or reduced future business if Blaize or its third-party ecosystem partners fail to comply with these requirements in the future, or otherwise have a material impact on Blaize or its third-party ecosystem partners’ business, which could negatively impact Blaize’s financial condition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transactions involving government contractors may be subject to government review and approvals and may require the contractor to hold certain national security clearances in order to perform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anti-corruption, anti-bribery, anti-money laundering and similar laws. Non-compliance with such laws can subject us to criminal and/or civil liability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w:t>
      </w:r>
    </w:p>
    <w:p>
      <w:pPr>
        <w:pStyle w:val="TextBody"/>
        <w:bidi w:val="0"/>
        <w:spacing w:before="240" w:after="0"/>
        <w:jc w:val="left"/>
        <w:rPr>
          <w:rFonts w:ascii="Times New Roman" w:hAnsi="Times New Roman"/>
          <w:sz w:val="20"/>
        </w:rPr>
      </w:pPr>
      <w:r>
        <w:rPr>
          <w:rFonts w:ascii="Times New Roman" w:hAnsi="Times New Roman"/>
          <w:sz w:val="20"/>
        </w:rPr>
        <w:t xml:space="preserve">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exposed to fluctuations in currency exchange rates, which could negatively affect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Our customer subscription and partner and services contracts are primarily denominated in U.S. dollars (“USD”), and therefore substantially all of our revenue is not subject to foreign currency risk. However, a strengthening of the USD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costs may increase significantly, we may be unable to obtain the same level of insurance coverage and our insurance coverage may not be adequate to cover all possible losses we may suffer. </w:t>
      </w:r>
    </w:p>
    <w:p>
      <w:pPr>
        <w:pStyle w:val="TextBody"/>
        <w:bidi w:val="0"/>
        <w:spacing w:before="120" w:after="0"/>
        <w:jc w:val="left"/>
        <w:rPr>
          <w:rFonts w:ascii="Times New Roman" w:hAnsi="Times New Roman"/>
          <w:sz w:val="20"/>
        </w:rPr>
      </w:pPr>
      <w:r>
        <w:rPr>
          <w:rFonts w:ascii="Times New Roman" w:hAnsi="Times New Roman"/>
          <w:sz w:val="20"/>
        </w:rPr>
        <w:t xml:space="preserve">We generally renew our insurance policies annually. If the cost of coverage becomes too high or if we believe certain coverage becomes inapplicable, we may need to reduce our policy limits, increase retention amounts or 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 </w:t>
      </w:r>
    </w:p>
    <w:p>
      <w:pPr>
        <w:pStyle w:val="TextBody"/>
        <w:bidi w:val="0"/>
        <w:spacing w:before="240" w:after="0"/>
        <w:jc w:val="left"/>
        <w:rPr>
          <w:rFonts w:ascii="Times New Roman" w:hAnsi="Times New Roman"/>
          <w:sz w:val="20"/>
        </w:rPr>
      </w:pPr>
      <w:r>
        <w:rPr>
          <w:rFonts w:ascii="Times New Roman" w:hAnsi="Times New Roman"/>
          <w:sz w:val="20"/>
        </w:rPr>
        <w:t xml:space="preserve">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 </w:t>
      </w:r>
    </w:p>
    <w:p>
      <w:pPr>
        <w:pStyle w:val="TextBody"/>
        <w:bidi w:val="0"/>
        <w:spacing w:before="240" w:after="0"/>
        <w:jc w:val="left"/>
        <w:rPr>
          <w:rFonts w:ascii="Times New Roman" w:hAnsi="Times New Roman"/>
          <w:sz w:val="20"/>
        </w:rPr>
      </w:pPr>
      <w:r>
        <w:rPr>
          <w:rFonts w:ascii="Times New Roman" w:hAnsi="Times New Roman"/>
          <w:sz w:val="20"/>
        </w:rPr>
        <w:t xml:space="preserve">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losses and certain other attributes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approximately $215.5 million and $149.9 million of federal and state net operating loss carryforwards, respectively. Certain of our U.S. federal and state net operating loss carryforwards may be carried forward indefinitely, while other of these loss carryforwards are subject to expiration (beginning in 2030). As of December 31, 2024, we had approximately $5.7 million and $4.3 million available to offset future U.S. federal and state income taxes payable, respectively. Certain of our U.S. federal tax credit carryforwards may be carried forward indefinitely, while other of these tax credit carryforwards are subject to expiration (beginning in 2035). As of December 31, 2024, we had approximately $97.2 million of foreign tax credits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 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applicable tax laws and regulations or exposure to additional income tax liabilities could affect our business and future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Blaize is a U.S. corporation and thus will be subject to U.S. corporate income tax on its worldwide income. Further, since our operations and customers are located throughout the United States, we are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subject to additional obligations to collect and remit sales tax and other taxes. We may be subject to tax liability for past sales,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Common Stock and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issuance of additional shares of Common Stock, warrants or convertible securities may dilute your ownership interest in us and could adversely affect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and Warrants,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of our Common Stock and Warrants by us or our existing securityholders in the public market could cause the market price for our Common Stock and Warrants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sale of substantial amounts of shares of our Common Stock or warrants in the public market, or the perception that such sales could occur, could harm the prevailing market price of shares of our Common Stock and warrants.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Blaize Stockholders are subject to certain restrictions on transfer with respect to the shares of Common Stock issued as part of the merger consideration beginning at Closing and ending on July 12, 2025, subject to certain price-based releases. Notwithstanding the above, the Common Stock issued to Sponsor upon conversion of the convertible notes acquired by Sponsor pursuant to that certain note purchase agreement dated July 3, 2023, as amended on August 1, 2023 (the “ 2023”) NPA will not be subject to any lock-up restrictions.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securities laws, upon the expiration or waiver of the lock-up provisions described above, shares held by certain of our stockholders will be eligible for resale, subject to, in the case of certain stockholders, volume, manner of sale and other limitations under Rule 144. </w:t>
      </w:r>
    </w:p>
    <w:p>
      <w:pPr>
        <w:pStyle w:val="TextBody"/>
        <w:bidi w:val="0"/>
        <w:spacing w:before="240" w:after="0"/>
        <w:jc w:val="left"/>
        <w:rPr>
          <w:rFonts w:ascii="Times New Roman" w:hAnsi="Times New Roman"/>
          <w:sz w:val="20"/>
        </w:rPr>
      </w:pPr>
      <w:r>
        <w:rPr>
          <w:rFonts w:ascii="Times New Roman" w:hAnsi="Times New Roman"/>
          <w:sz w:val="20"/>
        </w:rPr>
        <w:t xml:space="preserve">As Earnout Shares are earned, restrictions on resale end, the market price of shares of our Common Stock and warrants could drop significantly if the holders of these shares or warrants sell them or are perceived by the market as intending to sell them. These factors could also make it more difficult for us to raise additional funds through future offerings of our shares of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shares of our Common Stock issuable pursuant to the options and restricted stock units (“RSUs”), in each case, issued under our Amended and Restated 2011 Stock Plan (the “2011 Stock Plan”) and outstanding as of immediately prior to the Closing, and the shares of our Common Stock reserved for future issuance under the Blaize Holdings, Inc. 2025 Incentive Award Plan (the “2025 Incentive Plan”) and the Blaize Holdings, Inc. 2025 Employee Stock Purchase Plan (the “ESPP”) will become eligible for sale in the public market once those shares are issued, subject to provisions relating to various vesting agreements, lock-up provisions and, in some cases, limitations on volume and manner of sale applicable to affiliates under Rule 144, as applicable. The number of shares reserved for future issuance under the 2025 Incentive Plan is equal to 18.0% of the fully diluted number of shares of Common Stock. The number of shares reserved for future issuance under the ESPP is equal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 of the fully diluted number of shares of Common Stock. We expect to file one or more registration statements on Form S-8 under the Securities Act to register shares of our Common Stock or issuable pursuant to the options and RSUs, in each case, issued under our 2011 Stock Plan and outstanding as of immediately prior to the Closing, the Incentive Award Plan and the ESPP. Any such Form S-8 registration statements will automatically become effective upon filing. Accordingly, shares registered under such registration statements will be available for sale in the open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is and could remain highly volatile, and has declined and may continue to decline regardless of our operating performance. You may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is and could remain volatile and subject to significant fluctuations. The trading price of our common stock depends on many factors, including those described in this “Risk Factors” section, many of which are beyond our control and may not be related to our operating performance. We do not intend to pay cash dividends on our common stock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stock markets in general have experienced extreme volatility, which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provisions of Delaware law and our certificate of incorporation and bylaws may deter third parties from acquiring us and diminish the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board of directors (the “Board”) to issue one or more series of preferred stock with voting or other rights or preferences that could have the effect of impeding the success of an attempt to acquire us or otherwise effect a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 cumulative voting in the election of directors, which limits the ability of minority stockholders to elect director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for nominations of directors by stockholders and for stockholders to include matters to be considered at stockholder meetings; and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limitations on convening special stockholder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our certificate of incorporation, we have not opted out of Section 203 of the Delaware General Corporation Law, which prohibits a Delaware corporation from engaging in certain “business combinations” with any “interested stockholder” for a three-year period following the time that the stockholder became an interested stockholder,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the board of directors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voting stock outstanding at the time the transaction commenced, excluding certain shares;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and by the affirmative vote of holders of at least two-thirds of the votes of our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of directors and take other corporate 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on our Common Stock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publish negative reports, the market price of our Common Stock and Warrants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and Warrants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Warrants or if our reporting results do not meet their expectations, the market price of our Common Stock and Warrants could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funded our operations since inception primarily through continued financial support from our shareholders and other related parties. We cannot be certain when or if our operations will generate sufficient cash to fund our ongoing operations or the growth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our Common Stock to make claims on our assets. As a result, our stockholders bear the risk of future issuances of debt securities reducing the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Being a Public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requirements of being a public company, including compliance with the reporting requirements of the Exchange Act, the requirements of the Sarbanes-Oxley Act and the requirements of Nasdaq, may strain our resources, increase our costs and require additional attention of management, and we may be unable to comply with these requirements in a timely or cost-effective manner.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has limited experience in operating a public company and may not be able to adequately develop and implement the governance, compliance, risk management and control infrastructure and culture required for a public company, including compliance with the Sarbanes Oxley Act.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officers have limited experience in the management of a publicly traded company. Our management team may not successfully or effectively manage its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to achieve the level of accounting standards required of a public company in the U.S. may require costs greater than expected. It is possible that we will be required to expand its employee base and hire additional employees to support its operations as a public company which will increase its operating costs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an emerging growth company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within the meaning of the Securities Act, as modified by the JOBS Act, and we take advantage of certain exemptions from various reporting requirements that are applicable to other public companies that are not emerging growth companies including, but are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emerging growth company until the earliest of (i) the last day of the fiscal year: (a) following January 13, 2030, the fifth anniversary of the Closing; (b) in which we have total annual gross revenue of at least $1,235,000,000; or (c) in which we are deemed to be a large accelerated filer, which means the market value of the shares of our Common Stock that are held by non-affiliates exceeds $700,000,000 as of the last business day of our prior second fiscal quarter, and (ii) the date on which we have issued more than $1,000,000,000 in non-convertible debt securities during the prior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intend to take advantage of the benefits of this extended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timely and effectively implement controls and procedures required by Section 404(a) of the Sarbanes-Oxley Act could negatively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we are subject to Section 404 of the Sarbanes-Oxley Act and are required to provide management’s attestation on internal controls. The standards required for a public company under Section 404(a) of the Sarbanes-Oxley Act are significantly more stringent than those required of us as a privately held company. Management may not be able to effectively and timely implement controls and procedures that adequately respond to the increased regulatory compliance and reporting requirements. If our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prevent us from obtaining capital on favorable terms or at all,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stock price and adversely affect our business, financial condition, and results of operations. Failure to comply with the Sarbanes-Oxley Act could potentially subject us to sanctions or investigations by the SEC, Nasdaq or other regulatory authorities, which would require additional financial and management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Anti-takeover provisions in our governing documents, as well as provisions of Delaware law, could impair a takeover attempt.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our bylaws and Delaware law each contain provisions that could have the effect of delaying or preventing changes in control or changes in our management without the consent of our board of directors. 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cumulative voting in the election of directors, which limits the ability of minority stockholders to elect director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stockholder action by written consent, which forces stockholder action to be taken at an annual or special meeting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controlling the procedures for the conduct and scheduling of stockholder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granting the ability to remove directors with cause by the affirmative vote of 662⁄3% in voting power of the outstanding shares of Common Stock entitled to vote thereon;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 2/3%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hostile takeovers and changes in control of us or changes in our Board and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 (B)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as a public company, we are required to document and test our internal control over financial reporting pursuant to Section 404 of the Sarbanes-Oxley Act so that our management can certify as to the effectiveness of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934548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Common Stock or Warrants by the Selling Securityholders pursuant to this prospectus. We will receive proceeds from the exercise of the Warrants for cash, but not from the sale of the shares of Common Stock issuable upon such exercise.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over the use of proceeds from the exercise of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all incremental selling expenses relating to the sale of their shares of Common Stock and Warrants,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securities. We will bear all other costs, fees and expenses incurred in effecting the registration of the securities covered by this prospectus, including, without limitation, all registration and filing fees, printing and delivery fees, Nasdaq listing fees and fees and expenses of our counsel and our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934548_7"/>
      <w:bookmarkEnd w:id="9"/>
      <w:r>
        <w:rPr>
          <w:rFonts w:ascii="Times New Roman" w:hAnsi="Times New Roman"/>
          <w:b/>
          <w:sz w:val="20"/>
        </w:rPr>
        <w:t xml:space="preserve">DETERMINATION OF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We cannot currently determine the price or prices at which shares of Common Stock or Warrants may be sold by the Selling Securityholders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934548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historically not declared or paid cash dividends on our capital stock.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retain any future earnings and do not expect to pay any cash dividends for the foreseeable future. Any determination to pay dividends in the future will be at the discretion of our board of directors and will be dependent on a number of factors, including our earnings, capital requirements and overall financial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934548_9"/>
      <w:bookmarkEnd w:id="11"/>
      <w:r>
        <w:rPr>
          <w:rFonts w:ascii="Times New Roman" w:hAnsi="Times New Roman"/>
          <w:b/>
          <w:sz w:val="20"/>
        </w:rPr>
        <w:t xml:space="preserve">MARKET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and Warrants are listed on Nasdaq under the symbols “BZAI” and “BZAIW,” respectively. Prior to the consummation of the Business Combination, the Class A common stock, units and warrants were listed on Nasdaq under the symbols “BRKH,” “BRKHU” and “BRKHW,” respectively. As of March 31, 2025, there were 319 holders of record of our Common Stock and 2 holders of our Public Warrants. The actual number of stockholders of our Common Stock and the actual number of holders of our Warrants is greater than the number of record holders and includes holders of our Common Stock or Warrants whose shares of Common Stock or Warrants are held in street name by brokers and other nominees.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934548_10"/>
      <w:bookmarkEnd w:id="1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requires otherwise, references to “Blaize,” “we,” “us,” “our” and “the Company” in this section are to the business and operations of Blaize, Inc. prior to the Business Combination and to Blaize Holdings, Inc. following the consummation of the Business Combination.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75"/>
        <w:gridCol w:w="200"/>
        <w:gridCol w:w="11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a.</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as amended by the Final Rule, Release No. 33-10786, “Amendments to the Financial Disclosures about Acquired and Disposed Businesses.” The unaudited pro forma condensed combined financial information presents the pro forma effects of the Business Combination and the material transactions that have occurred, or are probable of occurring, subsequent to the latest balance sheet date that are material to investors. The Business Combination and the related transactions, as further described elsewhere in the unaudited pro forma financial information, were completed on January 13, 2025 (the “Closing”). </w:t>
      </w:r>
    </w:p>
    <w:p>
      <w:pPr>
        <w:pStyle w:val="TextBody"/>
        <w:bidi w:val="0"/>
        <w:spacing w:before="240" w:after="0"/>
        <w:jc w:val="left"/>
        <w:rPr>
          <w:rFonts w:ascii="Times New Roman" w:hAnsi="Times New Roman"/>
          <w:sz w:val="20"/>
        </w:rPr>
      </w:pPr>
      <w:r>
        <w:rPr>
          <w:rFonts w:ascii="Times New Roman" w:hAnsi="Times New Roman"/>
          <w:sz w:val="20"/>
        </w:rPr>
        <w:t xml:space="preserve">BurTech is a blank check company incorporated in Delaware in March 2021. BurTech was formed for the purpose of effecting a merger, amalgamation, share exchange, asset acquisition, share purchase, reorganization or similar business combination with one or more businesses. On December 10, 2021, BurTech consummated its IPO, generating gross proceeds of $287.5 million. Simultaneously with the closing of the IPO, BurTech consummated the sale of 898,250 private placement warrants at a purchase price of $10.00 per private placement warrant in a private placement to BurTech’s sponsor, BurTech LP LLC, a Delaware corporation (the “Sponsor”), generating gross proceeds of $9.0 million. </w:t>
      </w:r>
    </w:p>
    <w:p>
      <w:pPr>
        <w:pStyle w:val="TextBody"/>
        <w:bidi w:val="0"/>
        <w:spacing w:before="240" w:after="0"/>
        <w:jc w:val="left"/>
        <w:rPr>
          <w:rFonts w:ascii="Times New Roman" w:hAnsi="Times New Roman"/>
          <w:sz w:val="20"/>
        </w:rPr>
      </w:pPr>
      <w:r>
        <w:rPr>
          <w:rFonts w:ascii="Times New Roman" w:hAnsi="Times New Roman"/>
          <w:sz w:val="20"/>
        </w:rPr>
        <w:t xml:space="preserve">Blaize, incorporated in the State of Delaware in 2010,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215"/>
        <w:gridCol w:w="34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b.</w:t>
            </w:r>
          </w:p>
        </w:tc>
        <w:tc>
          <w:tcPr>
            <w:tcW w:w="34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22, 2023, Blaize entered into the Merger Agreement, which was subsequently amended on April 22, 2024, October 24, 2024 and November 21, 2024, pursuant to which on January 13, 2025, among other things, Merger Sub merged with and into Blaize, following which the separate corporate existence of Merger Sub ceased and Blaize became the surviving company and a wholly owned subsidiary of BurTech, on the terms and subject to the conditions set forth therein (collectively with the other transactions described in the Merger Agreement, the “Business Combination”). In connection with the consummation of the Business Combination, BurTech was renamed Blaize Holdings, Inc., also referred to as Blaize herein. </w:t>
      </w:r>
    </w:p>
    <w:p>
      <w:pPr>
        <w:pStyle w:val="TextBody"/>
        <w:bidi w:val="0"/>
        <w:spacing w:before="240" w:after="0"/>
        <w:jc w:val="left"/>
        <w:rPr>
          <w:rFonts w:ascii="Times New Roman" w:hAnsi="Times New Roman"/>
          <w:sz w:val="20"/>
        </w:rPr>
      </w:pPr>
      <w:r>
        <w:rPr>
          <w:rFonts w:ascii="Times New Roman" w:hAnsi="Times New Roman"/>
          <w:sz w:val="20"/>
        </w:rPr>
        <w:t xml:space="preserve">The equity exchange and financing related matters associated with the Business Combination are summarized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Effective Time: (i) (a) the outstanding principal together with all accrued and unpaid interest on the Blaize Convertible Notes automatically converted into a number of shares of Blaize Common Stock in accordance with the terms of such Blaize Convertible Notes and the Blaize Convertible Note Purchase Agreements, as applicable and (b) each share of Blaize Preferred Stock converted into one share of Blaize Common Stock (collectively, the “Blaize Security Conversion”); and (ii) unless otherwise exercised prior to the Effective Time, the outstanding Company Warrants automatically (x) expired or (y) were exercised in full for shares of Company Common Stock, in each case, in accordance with the terms of such Blaize Warrant (the “Warrant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Effective Time, the Burkhan Convertible Notes that were outstanding, automatically converted, together with all accrued and unpaid interest thereon, into the right to receive a number of shares of Blaize Common Stock in accordance with the terms of such Burkhan Convertible Notes, and (ii) the outstanding Burkhan Warrants were automatically exercised in full for shares of Blaize Common Stock, in accordance with the terms of such Burkhan Warrants (collectively the “Burkhan Conversion Event”).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by virtue of the Business Combination and without any action on the part of any holder of Blaize Common Stock, each share of Blaize Common Stock, in each case, that was issued and outstanding immediately prior to the Effective Time (other than any shares subject to Blaize RSUs and Blaize Options and any Excluded Shares, and after giving effect to the Blaize Security Conversion, the Warrant Event and the Burkhan Conversion Event), were canceled and converted into the right to receive a number of shares of Blaize Common Stock equal to the quotient obtained by dividing (a) the Company Base Merger Consideration, by (b) the Aggregate Company Shares (the “Per Company Share Merger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but within the five-year period following the Closing Date, Eligible Blaize Holders are entitled to receive 15,000,000 Blaize Earnout Shares, and Burkhan is entitled to receive up to 2,600,000 Burkhan Earnout Shares, promptly after the occurrence of four separate Earnout Triggering Events. The Blaize Earnout Shares vest in four equal tranches of 3,750,000 shares. The Burkhan Earnout Shares vest in four equal tranches of 325,000 shares plus 325,000 Blaize Common Stock multiplied by the cash ratio (the “Proportionate Shares Number”). The “Cash Ratio” is the ratio equal to (x) Available Acquiror Cash, divided by (y) the Minimum Cash Amount. From the Closing until the five-year anniversary thereof, the earnout shares vest in four tranches if the volume-weighted price per share of Blaize Common Stock for at least 20 trading days in any 30-day trading period following the Closing equals or exceeds $12.50, $15.00, $17.50 or $20.00.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v.</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Effective Time, (i) each Blaize Option that was outstanding and unexercised as of immediately prior to the Effective Time automatically converted into (a) the right to receive a pro rata number of Blaize Earnout Shares and (b) a Blaize Option, upon substantially the same terms and conditions as in effect with respect to the corresponding Blaize Option and (ii) each Blaize RSU converted into (a) the right to receive a pro rata number of Blaize Earnout Shares and (b) a Blaize RSU, upon substantially the same terms and conditions as in effect with respect to the corresponding Blaize RSU.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vi.</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April 22, 2024, BurTech, Blaize, Inc. and BurTech LP LLC (the “Backstop Investor”) entered into the Backstop Agreement. The Backstop Investor agreed to purchase, concurrently with the closing of the Transaction, shares of BurTech Class A common stock, par value $0.0001 per share (the “Backstop Shares”), in a private placement for a purchase price of $10.00 per share (the “Per Share Subscription Price”) to backstop certain redemptions by Blaize’s shareholders. In the event that the Trust Amount is less than $30.0 million, the Backstop Investor irrevocably subscribes for and agrees to purchase from the Issuer, at the Per Share Subscription Price, the number of Backstop Shares equal to the quotient of (a) the difference of (x) $30.0 million minus (y) the Trust Amount divided by (b) $10.00, with such number of Backstop Shares to be rounded up to the nearest whole number, and the Issuer agrees to sell such Backstop Shares to the Backstop Investor at the Per Share Subscription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vii.</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April 22, 2024, the Sponsor and BurTech entered into the Sponsor Forfeiture Agreement, whereby, conditioned on Closing, the Sponsor agrees to forfeit 2,000,000 Shares held by Sponsor (the “Forfeited Shares”), such forfeiture was effective immediately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viii.</w:t>
            </w:r>
          </w:p>
        </w:tc>
        <w:tc>
          <w:tcPr>
            <w:tcW w:w="9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Blaize received the sum of (1) the amount of cash available in the trust account into which substantially all of the proceeds of BurTech’s initial public offering and private placements of its warrants have been deposited, after deducting the amount required to satisfy BurTech’s obligations to its shareholders (if any) that exercise their rights to redeem their BurTech Class A Common Stock and payment of (a) any deferred underwriting commissions being held in the trust account and (b)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transaction expenses of BurTech and Blaize), plus (2) any Private Placement Investment actually received by BurTech prior to or substantially concurrently with the Closing Date, plus (3) the aggregate gross proceeds of $5.0 million received by Blaize pursuant to the Note Purchase Agreement, dated as of July 3, 2023, plus (4) any and all proceeds from financings prior to or substantially concurrently with the Closing (inclusive of proceeds received from the issuance of the Burkhan Convertible Notes and the Burkhan Warrants), plus (5) the amount contributed by or on behalf of the Sponsor and unaffiliated third-party investors pursuant to the PIPE Investment. The sum of these amounts will be at least equal to $125.0 million (the “Minimum Cash Amount”).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ix.</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and around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Blaize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As of the date of this filing, the Company has not concluded on the accounting analysis of such transaction, including the impacts of the Non-Redeemed Shares and accordingly, has not given pro forma effect to in the Unaudited Pro Forma Condensed Combined Financial Information. See additional information within Note 2 to the Unaudited Pro Forma Condensed Combined Financial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x.</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From December 31, 2024 through January 13,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Business Combination, collectively, 1,540,300 shares of Class A Stock (the “PIPE Shares”) at a price per share equal to $10.00 (the “PIPE Investment”). The PIPE Subscription Agreement provides, among other things, that the Company will file a resale shelf registration statement on Form S-1 within forty-five (45) calendar days of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xi.</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this Sponsor Note. This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xii.</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Redemptions occurring from December 31, 2024 through the date of Closing of (i) 937,844 BurTech public shares and removal of $10.9 million from the trust account.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075" w:type="dxa"/>
        <w:jc w:val="left"/>
        <w:tblInd w:w="0" w:type="dxa"/>
        <w:tblLayout w:type="fixed"/>
        <w:tblCellMar>
          <w:top w:w="0" w:type="dxa"/>
          <w:left w:w="0" w:type="dxa"/>
          <w:bottom w:w="0" w:type="dxa"/>
          <w:right w:w="0" w:type="dxa"/>
        </w:tblCellMar>
      </w:tblPr>
      <w:tblGrid>
        <w:gridCol w:w="75"/>
        <w:gridCol w:w="185"/>
        <w:gridCol w:w="381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b/>
              </w:rPr>
            </w:pPr>
            <w:r>
              <w:rPr>
                <w:b/>
              </w:rPr>
              <w:t>c.</w:t>
            </w:r>
          </w:p>
        </w:tc>
        <w:tc>
          <w:tcPr>
            <w:tcW w:w="3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Other Material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Material transactions that could impact the financial information of the latest balance sheet date that are material to investors,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April 26, 2024, BurTech and EF Hutton amended the Underwriting Agreement signed on December 10, 2021. In lieu of BurTech paying the full deferred underwriting commission of $10.1 million, EF Hutton agreed to accept a $1.5 million cash payment at the Closing of a Business Combination. Once this payment is made according to the new terms, BurTech’s obligation to deliver the deferred underwriting commission will be fulfilled.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200"/>
        <w:gridCol w:w="92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 issued or cancelled a net amount of (399,000) options from January 1, 2025 through the date of this filing.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215"/>
        <w:gridCol w:w="356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d.</w:t>
            </w:r>
          </w:p>
        </w:tc>
        <w:tc>
          <w:tcPr>
            <w:tcW w:w="35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for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unaudited pro forma condensed combined financial information should be read together with the historical financial statements and related notes of Blaize and BurTech, and other financial information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Blaize has been determined to be the accounting acquirer of BurTech based on the following facts and circumstances: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 is the larger entity in terms of substantive operations and employee base and is the ongoing operations of the combined entity.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Blaize’s existing shareholders will have the greatest voting interest in the combined entity, excluding option 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Blaize’s existing shareholders have the most significant influence of any shareholder regarding election and removal of the combined entity’s board of directors.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Blaize’s senior management is the senior management of the combined entity.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name is Blaize Holdings, Inc., i.e. the combined entity assumed Blaize’s name.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preponderance of evidence as described above is indicative that Blaize is the accounting acquirer of BurTech. Accordingly, the merger between Blaize and BurTech is being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 </w:t>
      </w:r>
    </w:p>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85"/>
        <w:gridCol w:w="284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b/>
              </w:rPr>
            </w:pPr>
            <w:r>
              <w:rPr>
                <w:b/>
              </w:rPr>
              <w:t>e.</w:t>
            </w:r>
          </w:p>
        </w:tc>
        <w:tc>
          <w:tcPr>
            <w:tcW w:w="28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Pro Forma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adjustments in the unaudited pro forma condensed combined financial information have been identified and presented to provide relevant information of Blaize upon consummation of the Business Combination and other events contemplated by the Merger Agreement. Assumptions and estimates underlying the unaudited pro forma adjustments set forth in the unaudited pro forma condensed combined financial information are described in the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presented for illustrative purposes only and is not necessarily indicative of the operating results and financial position that have been achieved had the Business Combination occurred on the dates indicated. The Business Combination proceeds remaining after the payment for the redemption of 937,844 public shares and payment of transaction costs related to the Business Combination are expected to be used for other general corporate purposes. Further,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unaudited pro forma condensed combined financial information does not purport to project the future operating results or financial position of Blaize following the completion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pro forma Blaize Common Stock issued and outstanding immediately after the Business Combination and the related ownership percentages.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2645"/>
        <w:gridCol w:w="120"/>
        <w:gridCol w:w="84"/>
        <w:gridCol w:w="1718"/>
        <w:gridCol w:w="84"/>
        <w:gridCol w:w="169"/>
        <w:gridCol w:w="110"/>
        <w:gridCol w:w="1035"/>
        <w:gridCol w:w="335"/>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 Pro Forma</w:t>
              <w:br/>
              <w:t>Combined Share Ownership</w:t>
              <w:br/>
              <w:t xml:space="preserve">in Blaize </w:t>
            </w:r>
          </w:p>
        </w:tc>
        <w:tc>
          <w:tcPr>
            <w:tcW w:w="33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Ownership</w:t>
            </w:r>
          </w:p>
        </w:tc>
        <w:tc>
          <w:tcPr>
            <w:tcW w:w="3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Stockholders(1)</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18" w:type="dxa"/>
            <w:tcBorders/>
            <w:shd w:fill="CCEEFF" w:val="clear"/>
            <w:vAlign w:val="center"/>
          </w:tcPr>
          <w:p>
            <w:pPr>
              <w:pStyle w:val="TableContents"/>
              <w:bidi w:val="0"/>
              <w:spacing w:before="0" w:after="283"/>
              <w:jc w:val="right"/>
              <w:rPr/>
            </w:pPr>
            <w:r>
              <w:rPr/>
              <w:t>55,571,107</w:t>
            </w:r>
          </w:p>
        </w:tc>
        <w:tc>
          <w:tcPr>
            <w:tcW w:w="8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54.7</w:t>
            </w:r>
          </w:p>
        </w:tc>
        <w:tc>
          <w:tcPr>
            <w:tcW w:w="3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BurTech Public Stockholders(2)</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right"/>
              <w:rPr/>
            </w:pPr>
            <w:r>
              <w:rPr/>
              <w:t>5,456,999</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5.4</w:t>
            </w:r>
          </w:p>
        </w:tc>
        <w:tc>
          <w:tcPr>
            <w:tcW w:w="3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Sponsor and related parties(3)</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18" w:type="dxa"/>
            <w:tcBorders/>
            <w:shd w:fill="CCEEFF" w:val="clear"/>
            <w:vAlign w:val="center"/>
          </w:tcPr>
          <w:p>
            <w:pPr>
              <w:pStyle w:val="TableContents"/>
              <w:bidi w:val="0"/>
              <w:spacing w:before="0" w:after="283"/>
              <w:jc w:val="right"/>
              <w:rPr/>
            </w:pPr>
            <w:r>
              <w:rPr/>
              <w:t>14,456,132</w:t>
            </w:r>
          </w:p>
        </w:tc>
        <w:tc>
          <w:tcPr>
            <w:tcW w:w="8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14.2</w:t>
            </w:r>
          </w:p>
        </w:tc>
        <w:tc>
          <w:tcPr>
            <w:tcW w:w="3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Closing Lenders(4)</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right"/>
              <w:rPr/>
            </w:pPr>
            <w:r>
              <w:rPr/>
              <w:t>25,673,479</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25.3</w:t>
            </w:r>
          </w:p>
        </w:tc>
        <w:tc>
          <w:tcPr>
            <w:tcW w:w="3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18" w:type="dxa"/>
            <w:tcBorders/>
            <w:shd w:fill="CCEEFF" w:val="clear"/>
            <w:vAlign w:val="center"/>
          </w:tcPr>
          <w:p>
            <w:pPr>
              <w:pStyle w:val="TableContents"/>
              <w:bidi w:val="0"/>
              <w:spacing w:before="0" w:after="283"/>
              <w:jc w:val="right"/>
              <w:rPr/>
            </w:pPr>
            <w:r>
              <w:rPr/>
              <w:t>431,250</w:t>
            </w:r>
          </w:p>
        </w:tc>
        <w:tc>
          <w:tcPr>
            <w:tcW w:w="8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0.4</w:t>
            </w:r>
          </w:p>
        </w:tc>
        <w:tc>
          <w:tcPr>
            <w:tcW w:w="3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718" w:type="dxa"/>
            <w:tcBorders/>
            <w:vAlign w:val="center"/>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shares at Closing</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right"/>
              <w:rPr>
                <w:b/>
              </w:rPr>
            </w:pPr>
            <w:r>
              <w:rPr>
                <w:b/>
              </w:rPr>
              <w:t>101,588,967</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b/>
              </w:rPr>
            </w:pPr>
            <w:r>
              <w:rPr>
                <w:b/>
              </w:rPr>
              <w:t>100.0</w:t>
            </w:r>
          </w:p>
        </w:tc>
        <w:tc>
          <w:tcPr>
            <w:tcW w:w="335" w:type="dxa"/>
            <w:tcBorders/>
            <w:vAlign w:val="center"/>
          </w:tcPr>
          <w:p>
            <w:pPr>
              <w:pStyle w:val="TableContents"/>
              <w:bidi w:val="0"/>
              <w:spacing w:before="0" w:after="283"/>
              <w:jc w:val="left"/>
              <w:rPr>
                <w:b/>
              </w:rPr>
            </w:pPr>
            <w:r>
              <w:rPr>
                <w:b/>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718" w:type="dxa"/>
            <w:tcBorders/>
            <w:vAlign w:val="center"/>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held by the Blaize Stockholders is comprised of (i) the exchange of the 17,518,791 issued and outstanding Blaize Common Stock for 13,663,527 shares of Blaize Class A Common Stock, which gives effect to 36,617 shares that have been issued since December 31, 2024 (ii) the settlement of Blaize Convertible Notes (excluding Burkhan Convertible Notes and Final Closing Lender Convertible Notes) in exchange for the issuance of 6,189,504 shares of Blaize Class A Common Stock, (iii) the conversion and net exercise of Blaize Warrants to 1,005,657 shares of Blaize Class A Common Stock, and (iv) the conversion of Blaize Redeemable Convertible Preferred Stock for 34,712,419 shares of Blaize Class A Common Stock based on the Exchange Ratio of approximately 0.78 shares of Blaize Class A Common Stock for one (1) share of Blaize Common Stock or common stock equivalent upon the Closing of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number of shares held by the Blaize Stockholders does not include (i) 4,070,299 shares of Blaize Class A Common Stock that are issued related to the conversion of the BurTech Notes or (ii) 21,173,479 shares of Blaize Class A Common Stock held by the Blaize Final Closing Lenders.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held by BurTech Public Stockholders is determined by adding (i) 3,166,699 shares remaining after giving effect to redemptions, (ii) 1,540,300 shares that are issued associated with the PIPE, and (iii) 750,000 shares that are issued associated with the Sponsor Note Shares.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held by the Sponsor and related parties is determined by adding (i) the Sponsor’s holdings of 10,385,750 BurTech’s Redeemable Class A Common Stock at December 31, 2024, as reduced by 2,000,000 of BurTech’s Redeemable Class A Common Stock that are to be forfeited as part of the Sponsor Forfeiture Agreement, (ii) 2,000,000 shares that are issued associated with Burkhan Warrants, and (iii) 4,070,299 shares issued upon conversion of the Burkhan Convertible Notes.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Final Closing Lender shares is determined by adding (i) 4,500,000 of Blaize Class A Common Stock issued upon net exercise of the warrants issued pursuant to the Blaize Warrant Financing and (ii) 21,173,479 of Blaize Class A Common Stock issued upon conversion of the Final Closing Lender Notes.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(5)</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ownership in Blaize Common Stock, attributable to existing holdings in BurTech Class A Common Stock that is held by underwriters associated with BurTech’s initial public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excludes Blaize shares associated with (i) Blaize Options, (ii) Blaize RSUs, (iii) any potential Blaize Earnout Shares and (iv) Public and Private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1210" w:type="dxa"/>
        <w:jc w:val="left"/>
        <w:tblInd w:w="0" w:type="dxa"/>
        <w:tblLayout w:type="fixed"/>
        <w:tblCellMar>
          <w:top w:w="0" w:type="dxa"/>
          <w:left w:w="0" w:type="dxa"/>
          <w:bottom w:w="0" w:type="dxa"/>
          <w:right w:w="0" w:type="dxa"/>
        </w:tblCellMar>
      </w:tblPr>
      <w:tblGrid>
        <w:gridCol w:w="2735"/>
        <w:gridCol w:w="120"/>
        <w:gridCol w:w="159"/>
        <w:gridCol w:w="911"/>
        <w:gridCol w:w="60"/>
        <w:gridCol w:w="120"/>
        <w:gridCol w:w="200"/>
        <w:gridCol w:w="975"/>
        <w:gridCol w:w="60"/>
        <w:gridCol w:w="120"/>
        <w:gridCol w:w="458"/>
        <w:gridCol w:w="852"/>
        <w:gridCol w:w="60"/>
        <w:gridCol w:w="120"/>
        <w:gridCol w:w="250"/>
        <w:gridCol w:w="250"/>
        <w:gridCol w:w="60"/>
        <w:gridCol w:w="120"/>
        <w:gridCol w:w="180"/>
        <w:gridCol w:w="1130"/>
        <w:gridCol w:w="155"/>
        <w:gridCol w:w="60"/>
        <w:gridCol w:w="150"/>
        <w:gridCol w:w="350"/>
        <w:gridCol w:w="275"/>
        <w:gridCol w:w="60"/>
        <w:gridCol w:w="170"/>
        <w:gridCol w:w="975"/>
        <w:gridCol w:w="7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Blaize, Inc.</w:t>
              <w:br/>
              <w:t>(Historical)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BurTech</w:t>
              <w:br/>
              <w:t>Acquisition</w:t>
              <w:br/>
              <w:t>Corp.</w:t>
              <w:br/>
              <w:t>(Historical)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Material</w:t>
              <w:br/>
              <w:t>Event</w:t>
              <w:br/>
              <w:t>Adjustments</w:t>
              <w:br/>
              <w:t>(Note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br/>
              <w:t>(Note 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50,237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44,968</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757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33,055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275" w:type="dxa"/>
            <w:tcBorders/>
            <w:vAlign w:val="center"/>
          </w:tcPr>
          <w:p>
            <w:pPr>
              <w:pStyle w:val="TableContents"/>
              <w:bidi w:val="0"/>
              <w:spacing w:before="0" w:after="283"/>
              <w:jc w:val="left"/>
              <w:rPr/>
            </w:pPr>
            <w:r>
              <w:rPr/>
              <w:t>(R)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33,812</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(including related parties of $0)</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8,561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8,561</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14,837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(C)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12,479</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9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73,690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759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25,426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99,875</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47,558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(47,558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2,081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2,081</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2,157</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1,773</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815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815</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9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b/>
              </w:rPr>
            </w:pPr>
            <w:r>
              <w:rPr>
                <w:b/>
              </w:rPr>
              <w:t>$</w:t>
            </w:r>
          </w:p>
        </w:tc>
        <w:tc>
          <w:tcPr>
            <w:tcW w:w="911" w:type="dxa"/>
            <w:tcBorders/>
            <w:vAlign w:val="center"/>
          </w:tcPr>
          <w:p>
            <w:pPr>
              <w:pStyle w:val="TableContents"/>
              <w:bidi w:val="0"/>
              <w:spacing w:before="0" w:after="283"/>
              <w:jc w:val="right"/>
              <w:rPr>
                <w:b/>
              </w:rPr>
            </w:pPr>
            <w:r>
              <w:rPr>
                <w:b/>
              </w:rPr>
              <w:t>80,516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w:t>
            </w:r>
          </w:p>
        </w:tc>
        <w:tc>
          <w:tcPr>
            <w:tcW w:w="975" w:type="dxa"/>
            <w:tcBorders/>
            <w:vAlign w:val="center"/>
          </w:tcPr>
          <w:p>
            <w:pPr>
              <w:pStyle w:val="TableContents"/>
              <w:bidi w:val="0"/>
              <w:spacing w:before="0" w:after="283"/>
              <w:jc w:val="right"/>
              <w:rPr>
                <w:b/>
              </w:rPr>
            </w:pPr>
            <w:r>
              <w:rPr>
                <w:b/>
              </w:rPr>
              <w:t>48,317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b/>
              </w:rPr>
            </w:pPr>
            <w:r>
              <w:rPr>
                <w:b/>
              </w:rPr>
              <w:t>$</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(22,132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75" w:type="dxa"/>
            <w:tcBorders/>
            <w:vAlign w:val="center"/>
          </w:tcPr>
          <w:p>
            <w:pPr>
              <w:pStyle w:val="TableContents"/>
              <w:bidi w:val="0"/>
              <w:spacing w:before="0" w:after="283"/>
              <w:jc w:val="right"/>
              <w:rPr>
                <w:b/>
              </w:rPr>
            </w:pPr>
            <w:r>
              <w:rPr>
                <w:b/>
              </w:rPr>
              <w:t>106,701</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double" w:sz="6" w:space="1" w:color="000000"/>
              </w:pBdr>
              <w:bidi w:val="0"/>
              <w:spacing w:before="0" w:after="0"/>
              <w:jc w:val="left"/>
              <w:rPr/>
            </w:pPr>
            <w:r>
              <w:rPr/>
              <w:t> </w:t>
            </w:r>
          </w:p>
        </w:tc>
        <w:tc>
          <w:tcPr>
            <w:tcW w:w="91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double" w:sz="6" w:space="1" w:color="000000"/>
              </w:pBdr>
              <w:bidi w:val="0"/>
              <w:spacing w:before="0" w:after="0"/>
              <w:jc w:val="left"/>
              <w:rPr/>
            </w:pPr>
            <w:r>
              <w:rPr/>
              <w:t> </w:t>
            </w:r>
          </w:p>
        </w:tc>
        <w:tc>
          <w:tcPr>
            <w:tcW w:w="85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7,904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(1,971)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(E)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5,933</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11,996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5,082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(8,986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275" w:type="dxa"/>
            <w:tcBorders/>
            <w:vAlign w:val="center"/>
          </w:tcPr>
          <w:p>
            <w:pPr>
              <w:pStyle w:val="TableContents"/>
              <w:bidi w:val="0"/>
              <w:spacing w:before="0" w:after="283"/>
              <w:jc w:val="left"/>
              <w:rPr/>
            </w:pPr>
            <w:r>
              <w:rPr/>
              <w:t>(E)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8,092</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603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603</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1,613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1,613</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2,109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517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2,626</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from related party</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2,971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(2,971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275"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Promissory note – related party</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578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578</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current</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148,629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(148,629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(G)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 current</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14,711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(14,711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275" w:type="dxa"/>
            <w:tcBorders/>
            <w:vAlign w:val="center"/>
          </w:tcPr>
          <w:p>
            <w:pPr>
              <w:pStyle w:val="TableContents"/>
              <w:bidi w:val="0"/>
              <w:spacing w:before="0" w:after="283"/>
              <w:jc w:val="left"/>
              <w:rPr/>
            </w:pPr>
            <w:r>
              <w:rPr/>
              <w:t>(I)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Derivative liability – Non-redemption agreement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1,085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(Q)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Excise tax payable</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2,862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2,862</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9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188,143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14,017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(179,853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22,307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79"/>
        <w:gridCol w:w="120"/>
        <w:gridCol w:w="147"/>
        <w:gridCol w:w="926"/>
        <w:gridCol w:w="155"/>
        <w:gridCol w:w="60"/>
        <w:gridCol w:w="183"/>
        <w:gridCol w:w="992"/>
        <w:gridCol w:w="155"/>
        <w:gridCol w:w="60"/>
        <w:gridCol w:w="236"/>
        <w:gridCol w:w="1074"/>
        <w:gridCol w:w="155"/>
        <w:gridCol w:w="60"/>
        <w:gridCol w:w="150"/>
        <w:gridCol w:w="350"/>
        <w:gridCol w:w="283"/>
        <w:gridCol w:w="60"/>
        <w:gridCol w:w="180"/>
        <w:gridCol w:w="1130"/>
        <w:gridCol w:w="155"/>
        <w:gridCol w:w="60"/>
        <w:gridCol w:w="150"/>
        <w:gridCol w:w="350"/>
        <w:gridCol w:w="313"/>
        <w:gridCol w:w="60"/>
        <w:gridCol w:w="149"/>
        <w:gridCol w:w="939"/>
        <w:gridCol w:w="174"/>
      </w:tblGrid>
      <w:tr>
        <w:trPr/>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37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8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8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174"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Blaize, Inc.</w:t>
              <w:b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BurTech</w:t>
              <w:br/>
              <w:t>Acquisition</w:t>
              <w:br/>
              <w:t>Corp.</w:t>
              <w:b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Material</w:t>
              <w:br/>
              <w:t>Event</w:t>
              <w:br/>
              <w:t>Adjustments</w:t>
              <w:br/>
              <w:t>(Note 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br/>
              <w:t>(Note 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3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4"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Earnout shares liability</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88,504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313" w:type="dxa"/>
            <w:tcBorders/>
            <w:shd w:fill="CCEEFF" w:val="clear"/>
            <w:vAlign w:val="center"/>
          </w:tcPr>
          <w:p>
            <w:pPr>
              <w:pStyle w:val="TableContents"/>
              <w:bidi w:val="0"/>
              <w:spacing w:before="0" w:after="283"/>
              <w:jc w:val="left"/>
              <w:rPr/>
            </w:pPr>
            <w:r>
              <w:rPr/>
              <w:t>(H)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88,504</w:t>
            </w:r>
          </w:p>
        </w:tc>
        <w:tc>
          <w:tcPr>
            <w:tcW w:w="174" w:type="dxa"/>
            <w:tcBorders/>
            <w:shd w:fill="CCEEFF" w:val="clear"/>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1,166</w:t>
            </w:r>
          </w:p>
        </w:tc>
        <w:tc>
          <w:tcPr>
            <w:tcW w:w="174"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1,670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1,670</w:t>
            </w:r>
          </w:p>
        </w:tc>
        <w:tc>
          <w:tcPr>
            <w:tcW w:w="174" w:type="dxa"/>
            <w:tcBorders/>
            <w:shd w:fill="CCEEFF" w:val="clear"/>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underwriting commissions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10,063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(8,563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3</w:t>
            </w:r>
          </w:p>
        </w:tc>
        <w:tc>
          <w:tcPr>
            <w:tcW w:w="283"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313"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92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99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190,979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24,080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(8,563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(92,849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113,647</w:t>
            </w:r>
          </w:p>
        </w:tc>
        <w:tc>
          <w:tcPr>
            <w:tcW w:w="174" w:type="dxa"/>
            <w:tcBorders/>
            <w:shd w:fill="CCEEFF" w:val="clear"/>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3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173,347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(173,347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313" w:type="dxa"/>
            <w:tcBorders/>
            <w:shd w:fill="CCEEFF" w:val="clear"/>
            <w:vAlign w:val="center"/>
          </w:tcPr>
          <w:p>
            <w:pPr>
              <w:pStyle w:val="TableContents"/>
              <w:bidi w:val="0"/>
              <w:spacing w:before="0" w:after="283"/>
              <w:jc w:val="left"/>
              <w:rPr/>
            </w:pPr>
            <w:r>
              <w:rPr/>
              <w:t>(K)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47,598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(47,598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313" w:type="dxa"/>
            <w:tcBorders/>
            <w:vAlign w:val="center"/>
          </w:tcPr>
          <w:p>
            <w:pPr>
              <w:pStyle w:val="TableContents"/>
              <w:bidi w:val="0"/>
              <w:spacing w:before="0" w:after="283"/>
              <w:jc w:val="left"/>
              <w:rPr/>
            </w:pPr>
            <w:r>
              <w:rPr/>
              <w:t>(L)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99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939"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1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BurTech Acquisition Corp. Class A Ordinary Shares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313" w:type="dxa"/>
            <w:tcBorders/>
            <w:vAlign w:val="center"/>
          </w:tcPr>
          <w:p>
            <w:pPr>
              <w:pStyle w:val="TableContents"/>
              <w:bidi w:val="0"/>
              <w:spacing w:before="0" w:after="283"/>
              <w:jc w:val="left"/>
              <w:rPr/>
            </w:pPr>
            <w:r>
              <w:rPr/>
              <w:t>(M)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BurTech Acquisition Corp. Class B Ordinary Shares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Blaize Holdings, Inc. common stock</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313" w:type="dxa"/>
            <w:tcBorders/>
            <w:vAlign w:val="center"/>
          </w:tcPr>
          <w:p>
            <w:pPr>
              <w:pStyle w:val="TableContents"/>
              <w:bidi w:val="0"/>
              <w:spacing w:before="0" w:after="283"/>
              <w:jc w:val="left"/>
              <w:rPr/>
            </w:pPr>
            <w:r>
              <w:rPr/>
              <w:t>(N)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10</w:t>
            </w:r>
          </w:p>
        </w:tc>
        <w:tc>
          <w:tcPr>
            <w:tcW w:w="174"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145,441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619,752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4</w:t>
            </w:r>
          </w:p>
        </w:tc>
        <w:tc>
          <w:tcPr>
            <w:tcW w:w="313" w:type="dxa"/>
            <w:tcBorders/>
            <w:shd w:fill="CCEEFF" w:val="clear"/>
            <w:vAlign w:val="center"/>
          </w:tcPr>
          <w:p>
            <w:pPr>
              <w:pStyle w:val="TableContents"/>
              <w:bidi w:val="0"/>
              <w:spacing w:before="0" w:after="283"/>
              <w:jc w:val="left"/>
              <w:rPr/>
            </w:pPr>
            <w:r>
              <w:rPr/>
              <w:t>(O)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765,193</w:t>
            </w:r>
          </w:p>
        </w:tc>
        <w:tc>
          <w:tcPr>
            <w:tcW w:w="174" w:type="dxa"/>
            <w:tcBorders/>
            <w:shd w:fill="CCEEFF" w:val="clear"/>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(429,251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(23,362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8,563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3</w:t>
            </w:r>
          </w:p>
        </w:tc>
        <w:tc>
          <w:tcPr>
            <w:tcW w:w="283"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(328,099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4</w:t>
            </w:r>
          </w:p>
        </w:tc>
        <w:tc>
          <w:tcPr>
            <w:tcW w:w="313" w:type="dxa"/>
            <w:tcBorders/>
            <w:vAlign w:val="center"/>
          </w:tcPr>
          <w:p>
            <w:pPr>
              <w:pStyle w:val="TableContents"/>
              <w:bidi w:val="0"/>
              <w:spacing w:before="0" w:after="283"/>
              <w:jc w:val="left"/>
              <w:rPr/>
            </w:pPr>
            <w:r>
              <w:rPr/>
              <w:t>(P)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(772,149</w:t>
            </w:r>
          </w:p>
        </w:tc>
        <w:tc>
          <w:tcPr>
            <w:tcW w:w="174"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92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99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stockholders’ equity (deficit)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(283,810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(23,361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8,563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291,662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(6,946</w:t>
            </w:r>
          </w:p>
        </w:tc>
        <w:tc>
          <w:tcPr>
            <w:tcW w:w="174" w:type="dxa"/>
            <w:tcBorders/>
            <w:shd w:fill="CCEEFF" w:val="clear"/>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92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99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 (deficit)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b/>
              </w:rPr>
            </w:pPr>
            <w:r>
              <w:rPr>
                <w:b/>
              </w:rPr>
              <w:t>$</w:t>
            </w:r>
          </w:p>
        </w:tc>
        <w:tc>
          <w:tcPr>
            <w:tcW w:w="926" w:type="dxa"/>
            <w:tcBorders/>
            <w:vAlign w:val="center"/>
          </w:tcPr>
          <w:p>
            <w:pPr>
              <w:pStyle w:val="TableContents"/>
              <w:bidi w:val="0"/>
              <w:spacing w:before="0" w:after="283"/>
              <w:jc w:val="right"/>
              <w:rPr>
                <w:b/>
              </w:rPr>
            </w:pPr>
            <w:r>
              <w:rPr>
                <w:b/>
              </w:rPr>
              <w:t>80,516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b/>
              </w:rPr>
            </w:pPr>
            <w:r>
              <w:rPr>
                <w:b/>
              </w:rPr>
              <w:t>$</w:t>
            </w:r>
          </w:p>
        </w:tc>
        <w:tc>
          <w:tcPr>
            <w:tcW w:w="992" w:type="dxa"/>
            <w:tcBorders/>
            <w:vAlign w:val="center"/>
          </w:tcPr>
          <w:p>
            <w:pPr>
              <w:pStyle w:val="TableContents"/>
              <w:bidi w:val="0"/>
              <w:spacing w:before="0" w:after="283"/>
              <w:jc w:val="right"/>
              <w:rPr>
                <w:b/>
              </w:rPr>
            </w:pPr>
            <w:r>
              <w:rPr>
                <w:b/>
              </w:rPr>
              <w:t>48,317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b/>
              </w:rPr>
            </w:pPr>
            <w:r>
              <w:rPr>
                <w:b/>
              </w:rPr>
              <w:t>$</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(22,132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b/>
              </w:rPr>
            </w:pPr>
            <w:r>
              <w:rPr>
                <w:b/>
              </w:rPr>
              <w:t>$</w:t>
            </w:r>
          </w:p>
        </w:tc>
        <w:tc>
          <w:tcPr>
            <w:tcW w:w="939" w:type="dxa"/>
            <w:tcBorders/>
            <w:vAlign w:val="center"/>
          </w:tcPr>
          <w:p>
            <w:pPr>
              <w:pStyle w:val="TableContents"/>
              <w:bidi w:val="0"/>
              <w:spacing w:before="0" w:after="283"/>
              <w:jc w:val="right"/>
              <w:rPr>
                <w:b/>
              </w:rPr>
            </w:pPr>
            <w:r>
              <w:rPr>
                <w:b/>
              </w:rPr>
              <w:t>106,701</w:t>
            </w:r>
          </w:p>
        </w:tc>
        <w:tc>
          <w:tcPr>
            <w:tcW w:w="174"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92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99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double" w:sz="6" w:space="1" w:color="000000"/>
              </w:pBdr>
              <w:bidi w:val="0"/>
              <w:spacing w:before="0" w:after="0"/>
              <w:jc w:val="left"/>
              <w:rPr/>
            </w:pPr>
            <w:r>
              <w:rPr/>
              <w:t> </w:t>
            </w:r>
          </w:p>
        </w:tc>
        <w:tc>
          <w:tcPr>
            <w:tcW w:w="107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939" w:type="dxa"/>
            <w:tcBorders/>
            <w:vAlign w:val="center"/>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30"/>
        <w:gridCol w:w="120"/>
        <w:gridCol w:w="140"/>
        <w:gridCol w:w="1100"/>
        <w:gridCol w:w="255"/>
        <w:gridCol w:w="60"/>
        <w:gridCol w:w="140"/>
        <w:gridCol w:w="1100"/>
        <w:gridCol w:w="155"/>
        <w:gridCol w:w="60"/>
        <w:gridCol w:w="146"/>
        <w:gridCol w:w="1164"/>
        <w:gridCol w:w="155"/>
        <w:gridCol w:w="60"/>
        <w:gridCol w:w="150"/>
        <w:gridCol w:w="350"/>
        <w:gridCol w:w="330"/>
        <w:gridCol w:w="60"/>
        <w:gridCol w:w="140"/>
        <w:gridCol w:w="1220"/>
        <w:gridCol w:w="170"/>
      </w:tblGrid>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Blaize, Inc.</w:t>
              <w:br/>
              <w:t>(Historical)</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BurTech</w:t>
            </w:r>
            <w:r>
              <w:rPr/>
              <w:br/>
            </w:r>
            <w:r>
              <w:rPr>
                <w:b/>
              </w:rPr>
              <w:t>Acquisition</w:t>
              <w:br/>
              <w:t>Corp.</w:t>
            </w:r>
            <w:r>
              <w:rPr/>
              <w:br/>
            </w: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br/>
              <w:t>(Note 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(including related party revenue of $1,525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1,554</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1,554</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579</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579</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25,094</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8,521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5</w:t>
            </w:r>
          </w:p>
        </w:tc>
        <w:tc>
          <w:tcPr>
            <w:tcW w:w="330"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33,615</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22,413</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7,047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5</w:t>
            </w:r>
          </w:p>
        </w:tc>
        <w:tc>
          <w:tcPr>
            <w:tcW w:w="330"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34,437</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886</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886</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217</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12,602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5</w:t>
            </w:r>
          </w:p>
        </w:tc>
        <w:tc>
          <w:tcPr>
            <w:tcW w:w="330" w:type="dxa"/>
            <w:tcBorders/>
            <w:vAlign w:val="center"/>
          </w:tcPr>
          <w:p>
            <w:pPr>
              <w:pStyle w:val="TableContents"/>
              <w:bidi w:val="0"/>
              <w:spacing w:before="0" w:after="283"/>
              <w:jc w:val="left"/>
              <w:rPr/>
            </w:pPr>
            <w:r>
              <w:rPr/>
              <w:t>(B)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12,819</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49,189</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28,170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82,336</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(47,635</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(28,170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(80,782</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financing charge on 2023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(464</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(464</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1,903</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1,903</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foreign exchange transactions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(228</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(228</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(10,022</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(252,811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5</w:t>
            </w:r>
          </w:p>
        </w:tc>
        <w:tc>
          <w:tcPr>
            <w:tcW w:w="330" w:type="dxa"/>
            <w:tcBorders/>
            <w:shd w:fill="CCEEFF" w:val="clear"/>
            <w:vAlign w:val="center"/>
          </w:tcPr>
          <w:p>
            <w:pPr>
              <w:pStyle w:val="TableContents"/>
              <w:bidi w:val="0"/>
              <w:spacing w:before="0" w:after="283"/>
              <w:jc w:val="left"/>
              <w:rPr/>
            </w:pPr>
            <w:r>
              <w:rPr/>
              <w:t>(C)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(262,833</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(5,701</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(77,836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5</w:t>
            </w:r>
          </w:p>
        </w:tc>
        <w:tc>
          <w:tcPr>
            <w:tcW w:w="330"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(83,537</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liability – Non- redemption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5</w:t>
            </w:r>
          </w:p>
        </w:tc>
        <w:tc>
          <w:tcPr>
            <w:tcW w:w="330"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earned on Trust Account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(2,465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5</w:t>
            </w:r>
          </w:p>
        </w:tc>
        <w:tc>
          <w:tcPr>
            <w:tcW w:w="330" w:type="dxa"/>
            <w:tcBorders/>
            <w:vAlign w:val="center"/>
          </w:tcPr>
          <w:p>
            <w:pPr>
              <w:pStyle w:val="TableContents"/>
              <w:bidi w:val="0"/>
              <w:spacing w:before="0" w:after="283"/>
              <w:jc w:val="left"/>
              <w:rPr/>
            </w:pPr>
            <w:r>
              <w:rPr/>
              <w:t>(E)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(14,512</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(332,027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(345,159</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(62,147</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(360,197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(425,941</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(Benefit from) provision for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(952</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(435</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(61,195 </w:t>
            </w:r>
          </w:p>
        </w:tc>
        <w:tc>
          <w:tcPr>
            <w:tcW w:w="255" w:type="dxa"/>
            <w:tcBorders/>
            <w:vAlign w:val="center"/>
          </w:tcPr>
          <w:p>
            <w:pPr>
              <w:pStyle w:val="TableContents"/>
              <w:bidi w:val="0"/>
              <w:spacing w:before="0" w:after="283"/>
              <w:jc w:val="left"/>
              <w:rPr/>
            </w:pPr>
            <w:r>
              <w:rPr/>
              <w:t>) $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  </w:t>
            </w:r>
            <w:r>
              <w:rPr/>
              <w:t>(360,197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(425,506</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double" w:sz="6" w:space="1" w:color="000000"/>
              </w:pBdr>
              <w:bidi w:val="0"/>
              <w:spacing w:before="0" w:after="0"/>
              <w:jc w:val="left"/>
              <w:rPr/>
            </w:pPr>
            <w:r>
              <w:rPr/>
              <w:t> </w:t>
            </w:r>
          </w:p>
        </w:tc>
        <w:tc>
          <w:tcPr>
            <w:tcW w:w="116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17,476,105</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15,150,141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101,588,967</w:t>
            </w:r>
          </w:p>
        </w:tc>
        <w:tc>
          <w:tcPr>
            <w:tcW w:w="17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(3.50 </w:t>
            </w:r>
          </w:p>
        </w:tc>
        <w:tc>
          <w:tcPr>
            <w:tcW w:w="255" w:type="dxa"/>
            <w:tcBorders/>
            <w:vAlign w:val="center"/>
          </w:tcPr>
          <w:p>
            <w:pPr>
              <w:pStyle w:val="TableContents"/>
              <w:bidi w:val="0"/>
              <w:spacing w:before="0" w:after="283"/>
              <w:jc w:val="left"/>
              <w:rPr/>
            </w:pPr>
            <w:r>
              <w:rPr/>
              <w:t>) $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(4.19</w:t>
            </w:r>
          </w:p>
        </w:tc>
        <w:tc>
          <w:tcPr>
            <w:tcW w:w="17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between Blaize and BurTech is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of Blaize as of December 31, 2024 assumes that the transactions occurred on December 31, 2024. The unaudited pro forma condensed combined statement of operations of Blaize for the year ended December 31, 2024 presents pro forma effect to the transactions as if it had been completed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2024 and unaudited pro forma condensed combined statement of operations for the year ended December 31, 2024 has been prepared using, and should be read in conjunction with,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financial statements of BurTech for the year ended December 31, 2024 and the related notes, which are included elsewhere in this 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financial statements of Blaize for the year ended December 31, 2024 and the related notes, which are included elsewhere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Business Combination and other material transactions and has been prepared for informational purposes only. </w:t>
      </w:r>
    </w:p>
    <w:p>
      <w:pPr>
        <w:pStyle w:val="TextBody"/>
        <w:bidi w:val="0"/>
        <w:spacing w:before="240" w:after="0"/>
        <w:jc w:val="left"/>
        <w:rPr>
          <w:rFonts w:ascii="Times New Roman" w:hAnsi="Times New Roman"/>
          <w:sz w:val="20"/>
        </w:rPr>
      </w:pPr>
      <w:r>
        <w:rPr>
          <w:rFonts w:ascii="Times New Roman" w:hAnsi="Times New Roman"/>
          <w:sz w:val="20"/>
        </w:rPr>
        <w:t xml:space="preserve">Management has made significant estimates and assumptions in its determination of the pro forma adjustments (“Other Material Event Adjustments” and “Transaction Accounting Adjustments”). As the unaudited pro forma condensed combined financial information has been prepared based on these preliminary estimates, the final amounts recorded may differ materially from the information presented. Article 11 of Regulation S-X allows for the presentation of reasonably estimable synergies and other transaction effects that have occurred or are reasonably expected to occur (“Management’s Adjustments”). Blaize has elected not to present Management’s Adjustments and will only be presenting Other Material Event Adjustments and Transaction Accounting Adjustments in the following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reflecting the Business Combination with BurTech are based on certain currently available information and certain assumptions and methodologies that BurTech believes are reasonable under the circumstances. The unaudited pro forma adjustments, which are described in the accompanying notes, may be revised as additional information becomes available and is evaluated.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Therefore, it is likely that the actual adjustments will differ from the pro forma adjustments, and it is possible such differences may be material. BurTech believes that these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anticipated synergies, operating efficiencies, tax savings, or cost savings that may be associated with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condensed combined provision for income taxes does not necessarily reflect the amounts that would have resulted had Blaize filed consolidated income tax returns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basic and diluted net loss per share amounts presented in the unaudited pro forma condensed combined statements of operations are based upon the number of Blaize shares outstanding, assuming the Business Combination occurred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Blaize. They should be read in conjunction with the historical financial statements and notes thereto of BurTech and Blaize. </w:t>
      </w:r>
    </w:p>
    <w:p>
      <w:pPr>
        <w:pStyle w:val="TextBody"/>
        <w:bidi w:val="0"/>
        <w:spacing w:before="360" w:after="0"/>
        <w:jc w:val="left"/>
        <w:rPr>
          <w:rFonts w:ascii="Times New Roman" w:hAnsi="Times New Roman"/>
          <w:b/>
          <w:sz w:val="20"/>
        </w:rPr>
      </w:pPr>
      <w:r>
        <w:rPr>
          <w:rFonts w:ascii="Times New Roman" w:hAnsi="Times New Roman"/>
          <w:b/>
          <w:sz w:val="20"/>
        </w:rPr>
        <w:t xml:space="preserve">Note 2 — Accounting Policies and In-Process Accounting Analysis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accounting for the completed Business Combination, management will perform a comprehensive review of BurTech’s accounting policies. As a result of the review, management may identify differences between the accounting policies of the companies which, when conformed, could have a material impact on the combined financial statements. Based on its initial analysis, management has not identified any material differences in accounting policies that would have a material impact on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and around December 31, 2024, the Company entered into the Non-Redemption Agreement with one or more unaffiliated stockholders of the Company who agreed not to redeem (or validly rescind any redemption requests on) their shares of Class A common stock, par value $0.0001 per share of the, in connection with the Special Meeting. In exchange for the foregoing commitments not to redeem the Non-Redeemed Shares, Blaize and BurTech LP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The Company has not completed its analysis of the accounting for the Non-Redeemed Shares, but will evaluate the provisions to determine if the instrument will be accounted for in accordance 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ASC 480 — Distinguishing Liabilities from Equity — if the instrument is treated as a liability, it will be recognized at fair value upon issuance and each reporting period with changes in fair value recognized in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ASC 815 — Derivative and Hedging — and if the instrument meets the criteria to be accounted for within equity, the fair value of the instrument will be recognized as a component of equity. If the instrument does not meet the criteria to be accounted for within equity, it will be recognized as a liability at fair value upon issuance and each reporting period with changes in fair value recognized in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not yet completed a valuation to determine the fair value of the instrument and results of the accounting may be material to the post-combination entity </w:t>
      </w:r>
    </w:p>
    <w:p>
      <w:pPr>
        <w:pStyle w:val="TextBody"/>
        <w:bidi w:val="0"/>
        <w:spacing w:before="360" w:after="0"/>
        <w:jc w:val="left"/>
        <w:rPr>
          <w:rFonts w:ascii="Times New Roman" w:hAnsi="Times New Roman"/>
          <w:b/>
          <w:sz w:val="20"/>
        </w:rPr>
      </w:pPr>
      <w:r>
        <w:rPr>
          <w:rFonts w:ascii="Times New Roman" w:hAnsi="Times New Roman"/>
          <w:b/>
          <w:sz w:val="20"/>
        </w:rPr>
        <w:t xml:space="preserve">Note 3 — Adjustments to Unaudited Pro Forma Condensed Combined Financial Information for Other Material Events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December 31, 2024, BurTech has had certain events occur, or that were probable of occurring, that are considered material to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BurTech Material Event Adjustments </w:t>
      </w:r>
      <w:r>
        <w:rPr>
          <w:rFonts w:ascii="Times New Roman" w:hAnsi="Times New Roman"/>
          <w:sz w:val="20"/>
        </w:rPr>
        <w:t xml:space="preserve">— BurTech adjustments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(A)</w:t>
            </w:r>
          </w:p>
        </w:tc>
        <w:tc>
          <w:tcPr>
            <w:tcW w:w="98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Adjustment reflects the effects of the April 26, 2024 amended Underwriting Agreement between BurTech and EF Hutton, whereby in lieu of BurTech paying the full deferred underwriting commission of $10.1 million, EF Hutton agreed to accept a $1.5 million settlement if the Business Combination closes. Accordingly, an adjustment has been made to reduce the deferred underwriting commission liability by $8.6 million, with a corresponding adjustment to accumulated deficit.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 Transaction Accounting Adjustments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pro forma Blaize and Transaction Accounting Adjustments, based on preliminary estimates that could change materially as additional information is obtained,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(A)</w:t>
            </w:r>
          </w:p>
        </w:tc>
        <w:tc>
          <w:tcPr>
            <w:tcW w:w="9819"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Cash and cash equivalents </w:t>
            </w:r>
            <w:r>
              <w:rPr>
                <w:rFonts w:ascii="Times New Roman" w:hAnsi="Times New Roman"/>
                <w:sz w:val="20"/>
              </w:rPr>
              <w:t xml:space="preserve">— Reflects the Transaction Accounting Adjustments impact of the Business Combination on the cash and cash equivalents balance of Blaize. The table below summarizes the pro forma adjustments as follows: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580" w:type="dxa"/>
        <w:jc w:val="left"/>
        <w:tblInd w:w="0" w:type="dxa"/>
        <w:tblLayout w:type="fixed"/>
        <w:tblCellMar>
          <w:top w:w="0" w:type="dxa"/>
          <w:left w:w="0" w:type="dxa"/>
          <w:bottom w:w="0" w:type="dxa"/>
          <w:right w:w="0" w:type="dxa"/>
        </w:tblCellMar>
      </w:tblPr>
      <w:tblGrid>
        <w:gridCol w:w="4535"/>
        <w:gridCol w:w="120"/>
        <w:gridCol w:w="800"/>
        <w:gridCol w:w="60"/>
        <w:gridCol w:w="140"/>
        <w:gridCol w:w="755"/>
        <w:gridCol w:w="170"/>
      </w:tblGrid>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7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b/>
              </w:rPr>
            </w:pPr>
            <w:r>
              <w:rPr>
                <w:b/>
              </w:rPr>
              <w:t>(Amounts in thousands)</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of funds held in the Trust Account</w:t>
            </w:r>
          </w:p>
        </w:tc>
        <w:tc>
          <w:tcPr>
            <w:tcW w:w="1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4(A)(i)</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36,695</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transaction costs and other costs</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4(A)(ii)</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(18,343</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BurTech related party notes and advance</w:t>
            </w:r>
          </w:p>
        </w:tc>
        <w:tc>
          <w:tcPr>
            <w:tcW w:w="1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4(A)(iii)</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(4,471</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deferred underwriting fee payable</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4(A)(iv)</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(1,500</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PIPE</w:t>
            </w:r>
          </w:p>
        </w:tc>
        <w:tc>
          <w:tcPr>
            <w:tcW w:w="1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4(A)(v)</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15,403</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of restricted cash</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4(A)(vi)</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(33,055</w:t>
            </w:r>
          </w:p>
        </w:tc>
        <w:tc>
          <w:tcPr>
            <w:tcW w:w="17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 Forma Adjustment – Cash and cash equivalents </w:t>
            </w:r>
          </w:p>
        </w:tc>
        <w:tc>
          <w:tcPr>
            <w:tcW w:w="1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(5,271</w:t>
            </w:r>
          </w:p>
        </w:tc>
        <w:tc>
          <w:tcPr>
            <w:tcW w:w="170" w:type="dxa"/>
            <w:tcBorders/>
            <w:shd w:fill="CCEEFF" w:val="clear"/>
            <w:vAlign w:val="center"/>
          </w:tcPr>
          <w:p>
            <w:pPr>
              <w:pStyle w:val="TableContents"/>
              <w:bidi w:val="0"/>
              <w:spacing w:before="0" w:after="283"/>
              <w:jc w:val="left"/>
              <w:rPr>
                <w:b/>
              </w:rPr>
            </w:pPr>
            <w:r>
              <w:rPr>
                <w:b/>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(i)</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release of $36.7 million of funds held in the Trust Account upon the Closing of the Business Combination subsequent to redemptions. After giving effect to the $33.1 million reclassification of funds to restricted cash pursuant to Note 4(R), </w:t>
            </w:r>
            <w:r>
              <w:rPr>
                <w:rFonts w:ascii="Times New Roman" w:hAnsi="Times New Roman"/>
                <w:i/>
                <w:sz w:val="20"/>
              </w:rPr>
              <w:t>Restricted cash</w:t>
            </w:r>
            <w:r>
              <w:rPr>
                <w:rFonts w:ascii="Times New Roman" w:hAnsi="Times New Roman"/>
                <w:sz w:val="20"/>
              </w:rPr>
              <w:t xml:space="preserve">, the remaining funds will be made available for the ongoing operations of Blaize as cash and cash equivalents. Refer to Note 4(D), </w:t>
            </w:r>
            <w:r>
              <w:rPr>
                <w:rFonts w:ascii="Times New Roman" w:hAnsi="Times New Roman"/>
                <w:i/>
                <w:sz w:val="20"/>
              </w:rPr>
              <w:t>Investments held in the Trust Account</w:t>
            </w:r>
            <w:r>
              <w:rPr>
                <w:rFonts w:ascii="Times New Roman" w:hAnsi="Times New Roman"/>
                <w:sz w:val="20"/>
              </w:rPr>
              <w:t xml:space="preserve">, for the corresponding pro forma adjusting entries for the decrease of funds held in the Trust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(ii)</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$18.3 million of nonrecurring transaction costs incurred, or estimated transaction costs remaining to be incurred, settled prior to, or upon, the Closing of the Business Combination. Amount represents the costs of financial advisory, legal, and other professional services, in connection with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Of the $18.3 million estimated transaction costs, approximately $11.4 million are incurred by BurTech. $4.2 million of BurTech’s total $11.4 million transaction costs were included on BurTech’s historical balance sheet as of December 31, 2024 as a component of BurTech’s accrued expenses and other current liabilities balance. See Note 4(E), </w:t>
      </w:r>
      <w:r>
        <w:rPr>
          <w:rFonts w:ascii="Times New Roman" w:hAnsi="Times New Roman"/>
          <w:i/>
          <w:sz w:val="20"/>
        </w:rPr>
        <w:t xml:space="preserve">Accounts payable and accrued and other current liabilities, </w:t>
      </w:r>
      <w:r>
        <w:rPr>
          <w:rFonts w:ascii="Times New Roman" w:hAnsi="Times New Roman"/>
          <w:sz w:val="20"/>
        </w:rPr>
        <w:t xml:space="preserve">for the corresponding pro forma adjusting entries. The approximate remaining amount of $7.2 million consists of transaction costs incurred by BurTech. These amounts exclude the $1.5 million of BurTech’s transaction costs relating to the deferred underwriting fees described in Note 4(A)(iv), </w:t>
      </w:r>
      <w:r>
        <w:rPr>
          <w:rFonts w:ascii="Times New Roman" w:hAnsi="Times New Roman"/>
          <w:i/>
          <w:sz w:val="20"/>
        </w:rPr>
        <w:t>Cash and cash equivalents</w:t>
      </w:r>
      <w:r>
        <w:rPr>
          <w:rFonts w:ascii="Times New Roman" w:hAnsi="Times New Roman"/>
          <w:sz w:val="20"/>
        </w:rPr>
        <w:t xml:space="preserve">, and Note 4(J), </w:t>
      </w:r>
      <w:r>
        <w:rPr>
          <w:rFonts w:ascii="Times New Roman" w:hAnsi="Times New Roman"/>
          <w:i/>
          <w:sz w:val="20"/>
        </w:rPr>
        <w:t>Deferred underwriting commissions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$6.8 million of Blaize’s total $11.2 million in expected transaction costs were accrued on the historical balance sheet of Blaize as a component of Blaize’s accounts payable and accrued expense balances. See Note 4(E), </w:t>
      </w:r>
      <w:r>
        <w:rPr>
          <w:rFonts w:ascii="Times New Roman" w:hAnsi="Times New Roman"/>
          <w:i/>
          <w:sz w:val="20"/>
        </w:rPr>
        <w:t>Accounts payable and accrued and</w:t>
      </w:r>
      <w:r>
        <w:rPr>
          <w:rFonts w:ascii="Times New Roman" w:hAnsi="Times New Roman"/>
          <w:sz w:val="20"/>
        </w:rPr>
        <w:t xml:space="preserve"> </w:t>
      </w:r>
      <w:r>
        <w:rPr>
          <w:rFonts w:ascii="Times New Roman" w:hAnsi="Times New Roman"/>
          <w:i/>
          <w:sz w:val="20"/>
        </w:rPr>
        <w:t>other current liabilities</w:t>
      </w:r>
      <w:r>
        <w:rPr>
          <w:rFonts w:ascii="Times New Roman" w:hAnsi="Times New Roman"/>
          <w:sz w:val="20"/>
        </w:rPr>
        <w:t xml:space="preserve">, for the corresponding pro forma adjusting entries. Of the remaining amount, $4.3 million had already been paid as of December 31, 2024. The approximate remaining amount of $0.1 million consists of transaction costs incurred by Blaize (see Note 4(O)(i) </w:t>
      </w:r>
      <w:r>
        <w:rPr>
          <w:rFonts w:ascii="Times New Roman" w:hAnsi="Times New Roman"/>
          <w:i/>
          <w:sz w:val="20"/>
        </w:rPr>
        <w:t xml:space="preserve">Additional paid-in capital </w:t>
      </w:r>
      <w:r>
        <w:rPr>
          <w:rFonts w:ascii="Times New Roman" w:hAnsi="Times New Roman"/>
          <w:sz w:val="20"/>
        </w:rPr>
        <w:t xml:space="preserve">and Note 4(P)(ii), </w:t>
      </w:r>
      <w:r>
        <w:rPr>
          <w:rFonts w:ascii="Times New Roman" w:hAnsi="Times New Roman"/>
          <w:i/>
          <w:sz w:val="20"/>
        </w:rPr>
        <w:t>Accumulated deficit</w:t>
      </w:r>
      <w:r>
        <w:rPr>
          <w:rFonts w:ascii="Times New Roman" w:hAnsi="Times New Roman"/>
          <w:sz w:val="20"/>
        </w:rPr>
        <w:t xml:space="preserve">, for the corresponding $1.0 million increase and $1.1 million decrease to Blaize’s additional paid-in capital and accumulated deficit balances).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2"/>
        <w:gridCol w:w="9828"/>
      </w:tblGrid>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(iii)</w:t>
            </w:r>
          </w:p>
        </w:tc>
        <w:tc>
          <w:tcPr>
            <w:tcW w:w="98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settlement of certain convertible working capital loans from the Sponsor to BurTech in the amount of $1.5 million and the settlement of advance from the Sponsor to BurTech in the amount $3.0 million. The convertible promissory notes were settled in cash, rather than converted to Blaize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8"/>
        <w:gridCol w:w="9822"/>
      </w:tblGrid>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deferred underwriting commissions incurred during BurTech’s IPO, which was settled in cash, in the amount of $1.5 million. See Note 4(J), </w:t>
            </w:r>
            <w:r>
              <w:rPr>
                <w:rFonts w:ascii="Times New Roman" w:hAnsi="Times New Roman"/>
                <w:i/>
                <w:sz w:val="20"/>
              </w:rPr>
              <w:t>Deferred underwriting commissions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(v)</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$15.4 million from the issuance and sale of 1.5 million shares of Blaize common stock, with a per share par value of $0.0001, at $10.00 per share pursuant to the PIPE Investment. See Note 4(O)(x), </w:t>
            </w:r>
            <w:r>
              <w:rPr>
                <w:rFonts w:ascii="Times New Roman" w:hAnsi="Times New Roman"/>
                <w:i/>
                <w:sz w:val="20"/>
              </w:rPr>
              <w:t xml:space="preserve">Additional paid-in capital, </w:t>
            </w:r>
            <w:r>
              <w:rPr>
                <w:rFonts w:ascii="Times New Roman" w:hAnsi="Times New Roman"/>
                <w:sz w:val="20"/>
              </w:rPr>
              <w:t xml:space="preserve">for the corresponding pro forma adjusting entries.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91"/>
        <w:gridCol w:w="9839"/>
      </w:tblGrid>
      <w:tr>
        <w:trPr/>
        <w:tc>
          <w:tcPr>
            <w:tcW w:w="75"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(vi)</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reclassification of $33.1 million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4(R), </w:t>
            </w:r>
            <w:r>
              <w:rPr>
                <w:rFonts w:ascii="Times New Roman" w:hAnsi="Times New Roman"/>
                <w:i/>
                <w:sz w:val="20"/>
              </w:rPr>
              <w:t xml:space="preserve">Restricted cash, </w:t>
            </w:r>
            <w:r>
              <w:rPr>
                <w:rFonts w:ascii="Times New Roman" w:hAnsi="Times New Roman"/>
                <w:sz w:val="20"/>
              </w:rPr>
              <w:t xml:space="preserve">for the corresponding pro forma adjusting entries. </w:t>
            </w:r>
          </w:p>
        </w:tc>
      </w:tr>
    </w:tbl>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335"/>
        <w:gridCol w:w="3200"/>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(B)</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Tickmark (B) is purposefully not used.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(C)</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Prepaid expenses and other current assets — </w:t>
            </w:r>
            <w:r>
              <w:rPr>
                <w:rFonts w:ascii="Times New Roman" w:hAnsi="Times New Roman"/>
                <w:sz w:val="20"/>
              </w:rPr>
              <w:t xml:space="preserve">Reflects (i) the reclassification of $11.1 million of transaction costs incurred by Blaize in conjunction with the Business Combination and which are capitalized within Blaize’s prepaid expenses and other current assets as of December 31, 2024. Upon the close of the Business Combination, such costs were reclassified as an equity issuance cost, resulting in a $11.1 million decrease to prepaid expenses and other current assets and a $11.1 million decrease to additional paid-in capital. Additionally, reflects the (ii) $8.8 million note receivable related to the Sponsor Note for which the Company issued 750 thousand shares of Blaize common stock pursuant to the Sponsor Note Issuance. See Note 4(O)(ii) and (x), Additional paid-in capital,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1"/>
        <w:gridCol w:w="9839"/>
      </w:tblGrid>
      <w:tr>
        <w:trPr/>
        <w:tc>
          <w:tcPr>
            <w:tcW w:w="75"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(D)</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Investments held in the Trust Account — </w:t>
            </w:r>
            <w:r>
              <w:rPr>
                <w:rFonts w:ascii="Times New Roman" w:hAnsi="Times New Roman"/>
                <w:sz w:val="20"/>
              </w:rPr>
              <w:t xml:space="preserve">Represents the reclassification of $36.7 million of funds associated with the Investments held in the Trust Account that become available at the Closing of the Business Combination after giving effect to the impact of redemptions of BurTech’s Class A Redeemable Common Stock amounting to $10.9 million. See Note 4(A)(i), </w:t>
            </w:r>
            <w:r>
              <w:rPr>
                <w:rFonts w:ascii="Times New Roman" w:hAnsi="Times New Roman"/>
                <w:i/>
                <w:sz w:val="20"/>
              </w:rPr>
              <w:t xml:space="preserve">Cash and cash equivalents </w:t>
            </w:r>
            <w:r>
              <w:rPr>
                <w:rFonts w:ascii="Times New Roman" w:hAnsi="Times New Roman"/>
                <w:sz w:val="20"/>
              </w:rPr>
              <w:t xml:space="preserve">and Note 4(L), </w:t>
            </w:r>
            <w:r>
              <w:rPr>
                <w:rFonts w:ascii="Times New Roman" w:hAnsi="Times New Roman"/>
                <w:i/>
                <w:sz w:val="20"/>
              </w:rPr>
              <w:t>Class</w:t>
            </w:r>
            <w:r>
              <w:rPr>
                <w:rFonts w:ascii="Times New Roman" w:hAnsi="Times New Roman"/>
                <w:sz w:val="20"/>
              </w:rPr>
              <w:t> </w:t>
            </w:r>
            <w:r>
              <w:rPr>
                <w:rFonts w:ascii="Times New Roman" w:hAnsi="Times New Roman"/>
                <w:i/>
                <w:sz w:val="20"/>
              </w:rPr>
              <w:t xml:space="preserve">A Common Stock subject to redemption </w:t>
            </w:r>
            <w:r>
              <w:rPr>
                <w:rFonts w:ascii="Times New Roman" w:hAnsi="Times New Roman"/>
                <w:sz w:val="20"/>
              </w:rPr>
              <w:t xml:space="preserve">and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(E)</w:t>
            </w:r>
          </w:p>
        </w:tc>
        <w:tc>
          <w:tcPr>
            <w:tcW w:w="9871"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Accounts payable and accrued and other current liabilities </w:t>
            </w:r>
            <w:r>
              <w:rPr>
                <w:rFonts w:ascii="Times New Roman" w:hAnsi="Times New Roman"/>
                <w:sz w:val="20"/>
              </w:rPr>
              <w:t xml:space="preserve">— Reflects the payment of $4.2 million of nonrecurring transaction costs incurred by BurTech for legal services settled prior to, or upon, the Closing of the Business Combination. Additionally, reflects the payment of $6.8 million of nonrecurring transaction costs incurred by Blaize for financial advisory, legal, and other professional services settled prior to, or upon, the Closing of the Business Combination. See Note 4(A)(ii), </w:t>
            </w:r>
            <w:r>
              <w:rPr>
                <w:rFonts w:ascii="Times New Roman" w:hAnsi="Times New Roman"/>
                <w:i/>
                <w:sz w:val="20"/>
              </w:rPr>
              <w:t>Cash and cash equivalents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(F)</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BurTech advances and working capital loans </w:t>
            </w:r>
            <w:r>
              <w:rPr>
                <w:rFonts w:ascii="Times New Roman" w:hAnsi="Times New Roman"/>
                <w:sz w:val="20"/>
              </w:rPr>
              <w:t xml:space="preserve">— Represents the settlement of certain convertible working capital loans from the Sponsor to BurTech in the amount of $1.5 million and the settlement of advance from the Sponsor to BurTech in the amount $3.0 million. The convertible promissory notes were settled in cash, rather than converted to BurTech equity, and paid off with funds from the Business Combination. See Note 4(A)(iii), </w:t>
            </w:r>
            <w:r>
              <w:rPr>
                <w:rFonts w:ascii="Times New Roman" w:hAnsi="Times New Roman"/>
                <w:i/>
                <w:sz w:val="20"/>
              </w:rPr>
              <w:t>Cash and cash equivalents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(G)</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Convertible notes </w:t>
            </w:r>
            <w:r>
              <w:rPr>
                <w:rFonts w:ascii="Times New Roman" w:hAnsi="Times New Roman"/>
                <w:sz w:val="20"/>
              </w:rPr>
              <w:t xml:space="preserve">— Immediately prior to the closing of the Business Combination, all outstanding amounts of the convertible notes, including those issued to the Final Closing Lenders, as defined, together with all accrued and unpaid interest thereon, converted into shares of Blaize Common Stock. As the convertible notes are accounted for at fair value or are expected to be recorded at fair value on a recurring basis, the Company performed a final fair value measurement using the value of Blaize shares ultimately to be issued to such lenders. The measurement was performed using an assumed market price of $13.09 per share on the first date of trading, which resulted in a loss related to the change in fair value of $262.8 million. See Note 4(P)(iii) </w:t>
            </w:r>
            <w:r>
              <w:rPr>
                <w:rFonts w:ascii="Times New Roman" w:hAnsi="Times New Roman"/>
                <w:i/>
                <w:sz w:val="20"/>
              </w:rPr>
              <w:t>Accumulated deficit</w:t>
            </w:r>
            <w:r>
              <w:rPr>
                <w:rFonts w:ascii="Times New Roman" w:hAnsi="Times New Roman"/>
                <w:sz w:val="20"/>
              </w:rPr>
              <w:t xml:space="preserve">, for corresponding pro forma entries. The remeasured value of $411.5 million was reclassified into additional paid in capital, see Note 4(O)(iii) </w:t>
            </w:r>
            <w:r>
              <w:rPr>
                <w:rFonts w:ascii="Times New Roman" w:hAnsi="Times New Roman"/>
                <w:i/>
                <w:sz w:val="20"/>
              </w:rPr>
              <w:t>Additional paid-in capital</w:t>
            </w:r>
            <w:r>
              <w:rPr>
                <w:rFonts w:ascii="Times New Roman" w:hAnsi="Times New Roman"/>
                <w:sz w:val="20"/>
              </w:rPr>
              <w:t xml:space="preserve">, for corresponding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(H)</w:t>
            </w:r>
          </w:p>
        </w:tc>
        <w:tc>
          <w:tcPr>
            <w:tcW w:w="9834"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Earnout shares liability </w:t>
            </w:r>
            <w:r>
              <w:rPr>
                <w:rFonts w:ascii="Times New Roman" w:hAnsi="Times New Roman"/>
                <w:sz w:val="20"/>
              </w:rPr>
              <w:t xml:space="preserve">— Reflects the preliminary estimated fair value of liability classified Blaize Equityholders’ Earnout Shares of $88.5 million as of December 31, 2024, with a corresponding decrease of $88.5 million to additional paid-in capital. See Note 4(O)(iv) </w:t>
            </w:r>
            <w:r>
              <w:rPr>
                <w:rFonts w:ascii="Times New Roman" w:hAnsi="Times New Roman"/>
                <w:i/>
                <w:sz w:val="20"/>
              </w:rPr>
              <w:t>Additional paid-in capital</w:t>
            </w:r>
            <w:r>
              <w:rPr>
                <w:rFonts w:ascii="Times New Roman" w:hAnsi="Times New Roman"/>
                <w:sz w:val="20"/>
              </w:rPr>
              <w:t xml:space="preserve">, for corresponding pro forma entries. For further information on the earnout shares, see Note 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(I)</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Warrant liabilities </w:t>
            </w:r>
            <w:r>
              <w:rPr>
                <w:rFonts w:ascii="Times New Roman" w:hAnsi="Times New Roman"/>
                <w:sz w:val="20"/>
              </w:rPr>
              <w:t xml:space="preserve">— Immediately prior to the Effective Time, the outstanding Blaize warrants were automatically net exercised in full for shares of Blaize Common Stock or such warrants expired. Pro forma adjustment reflects (i) the final remeasurement to fair value of $83.5 million and (ii) the elimination of a liability of $98.2 million associated with such warrant liabilities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occurred in conjunction with the Closing and the settlement into equity as part of the recapitalization and equity exchange. The warrant treatment assumes that certain Blaize warrants that were out of the money at Closing Date remain unexercised and therefore expire. See Note 4(O)(v), </w:t>
            </w:r>
            <w:r>
              <w:rPr>
                <w:i/>
              </w:rPr>
              <w:t>Additional paid-in capital,</w:t>
            </w:r>
            <w:r>
              <w:rPr/>
              <w:t xml:space="preserve"> and Note 4(P)(iv), </w:t>
            </w:r>
            <w:r>
              <w:rPr>
                <w:i/>
              </w:rPr>
              <w:t>Accumulated deficit</w:t>
            </w:r>
            <w:r>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(J)</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Deferred underwriting commissions </w:t>
            </w:r>
            <w:r>
              <w:rPr>
                <w:rFonts w:ascii="Times New Roman" w:hAnsi="Times New Roman"/>
                <w:sz w:val="20"/>
              </w:rPr>
              <w:t xml:space="preserve">— Reflects the settlement of BurTech’s $1.5 million deferred underwriting commissions at the Closing of the Business Combination from the funds held in the Trust Account. Refer to Note 4(A)(iv), </w:t>
            </w:r>
            <w:r>
              <w:rPr>
                <w:rFonts w:ascii="Times New Roman" w:hAnsi="Times New Roman"/>
                <w:i/>
                <w:sz w:val="20"/>
              </w:rPr>
              <w:t>Cash and cash equivalents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(K)</w:t>
            </w:r>
          </w:p>
        </w:tc>
        <w:tc>
          <w:tcPr>
            <w:tcW w:w="9834"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Convertible preferred stock </w:t>
            </w:r>
            <w:r>
              <w:rPr>
                <w:rFonts w:ascii="Times New Roman" w:hAnsi="Times New Roman"/>
                <w:sz w:val="20"/>
              </w:rPr>
              <w:t xml:space="preserve">— Represents the conversion of 44,494,703 shares of Blaize Redeemable Convertible Preferred Stock into 44,494,703 shares of Common Stock, immediately prior to the Closing of the Business Combination as part of the Blaize Security Conversion event, resulting in the reclassification of $173.3 million from mezzanine equity to permanent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(L)</w:t>
            </w:r>
          </w:p>
        </w:tc>
        <w:tc>
          <w:tcPr>
            <w:tcW w:w="9871"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A Common Stock subject to redemption — </w:t>
            </w:r>
            <w:r>
              <w:rPr>
                <w:rFonts w:ascii="Times New Roman" w:hAnsi="Times New Roman"/>
                <w:sz w:val="20"/>
              </w:rPr>
              <w:t xml:space="preserve">Represents the reclassification of $36.7 million of BurTech’s Redeemable Class A Common Stock, which was not redeemed, from temporary equity (mezzanine) to permanent equity of Blaize after giving effect to the redemption of 937,844 public shares. The redemptions were paid with funds from the trust account, amounting to $10.9 million. Refer to Note 4(D), </w:t>
            </w:r>
            <w:r>
              <w:rPr>
                <w:rFonts w:ascii="Times New Roman" w:hAnsi="Times New Roman"/>
                <w:i/>
                <w:sz w:val="20"/>
              </w:rPr>
              <w:t>Investments held in the Trust Account,</w:t>
            </w:r>
            <w:r>
              <w:rPr>
                <w:rFonts w:ascii="Times New Roman" w:hAnsi="Times New Roman"/>
                <w:sz w:val="20"/>
              </w:rPr>
              <w:t xml:space="preserve"> and Note 4(O)(vii), </w:t>
            </w:r>
            <w:r>
              <w:rPr>
                <w:rFonts w:ascii="Times New Roman" w:hAnsi="Times New Roman"/>
                <w:i/>
                <w:sz w:val="20"/>
              </w:rPr>
              <w:t>Additional paid-in capital</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9"/>
        <w:gridCol w:w="9781"/>
      </w:tblGrid>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(M)</w:t>
            </w:r>
          </w:p>
        </w:tc>
        <w:tc>
          <w:tcPr>
            <w:tcW w:w="9781"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BurTech Acquisition Corp. Class</w:t>
            </w:r>
            <w:r>
              <w:rPr>
                <w:rFonts w:ascii="Times New Roman" w:hAnsi="Times New Roman"/>
                <w:sz w:val="20"/>
              </w:rPr>
              <w:t> </w:t>
            </w:r>
            <w:r>
              <w:rPr>
                <w:rFonts w:ascii="Times New Roman" w:hAnsi="Times New Roman"/>
                <w:i/>
                <w:sz w:val="20"/>
              </w:rPr>
              <w:t xml:space="preserve">A Ordinary Shares — </w:t>
            </w:r>
            <w:r>
              <w:rPr>
                <w:rFonts w:ascii="Times New Roman" w:hAnsi="Times New Roman"/>
                <w:sz w:val="20"/>
              </w:rPr>
              <w:t xml:space="preserve">Represents adjustment to reclassify the par value associated with BurTech’s Class A Ordinary shares to the par value associated with Blaize.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(N)</w:t>
            </w:r>
          </w:p>
        </w:tc>
        <w:tc>
          <w:tcPr>
            <w:tcW w:w="9814"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Blaize Common Stock </w:t>
            </w:r>
            <w:r>
              <w:rPr>
                <w:rFonts w:ascii="Times New Roman" w:hAnsi="Times New Roman"/>
                <w:sz w:val="20"/>
              </w:rPr>
              <w:t xml:space="preserve">— Represents the adjustment to establish the value of the common stock based on a par value of $0.0001 as applied to 101,588,967 shares of Blaize outstanding at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323"/>
        <w:gridCol w:w="9807"/>
      </w:tblGrid>
      <w:tr>
        <w:trPr/>
        <w:tc>
          <w:tcPr>
            <w:tcW w:w="75"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(O)</w:t>
            </w:r>
          </w:p>
        </w:tc>
        <w:tc>
          <w:tcPr>
            <w:tcW w:w="9807"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Additional paid-in capital — </w:t>
            </w:r>
            <w:r>
              <w:rPr>
                <w:rFonts w:ascii="Times New Roman" w:hAnsi="Times New Roman"/>
                <w:sz w:val="20"/>
              </w:rPr>
              <w:t xml:space="preserve">Represents the impact of the Business Combination on additional paid-in capital. The table below summarizes the pro forma adjustments as follows: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20"/>
        <w:gridCol w:w="120"/>
        <w:gridCol w:w="920"/>
        <w:gridCol w:w="60"/>
        <w:gridCol w:w="140"/>
        <w:gridCol w:w="800"/>
        <w:gridCol w:w="170"/>
      </w:tblGrid>
      <w:tr>
        <w:trPr/>
        <w:tc>
          <w:tcPr>
            <w:tcW w:w="7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7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left"/>
              <w:rPr>
                <w:b/>
              </w:rPr>
            </w:pPr>
            <w:r>
              <w:rPr>
                <w:b/>
              </w:rPr>
              <w:t>(Amounts in thousands)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Transaction Expenses</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4(O)(i)</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1,023</w:t>
            </w:r>
          </w:p>
        </w:tc>
        <w:tc>
          <w:tcPr>
            <w:tcW w:w="170" w:type="dxa"/>
            <w:tcBorders/>
            <w:shd w:fill="CCEEFF" w:val="clear"/>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 of Deferred Transaction Costs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4(O)(ii)</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(11,112</w:t>
            </w:r>
          </w:p>
        </w:tc>
        <w:tc>
          <w:tcPr>
            <w:tcW w:w="170" w:type="dxa"/>
            <w:tcBorders/>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Blaize Convertible Notes</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4(O)(iii)</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411,462</w:t>
            </w:r>
          </w:p>
        </w:tc>
        <w:tc>
          <w:tcPr>
            <w:tcW w:w="170" w:type="dxa"/>
            <w:tcBorders/>
            <w:shd w:fill="CCEEFF" w:val="clear"/>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Recognition of liability classified Earnout Shares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4(O)(iv)</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(88,504</w:t>
            </w:r>
          </w:p>
        </w:tc>
        <w:tc>
          <w:tcPr>
            <w:tcW w:w="170" w:type="dxa"/>
            <w:tcBorders/>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Blaize Warrants</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4(O)(v)</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98,248</w:t>
            </w:r>
          </w:p>
        </w:tc>
        <w:tc>
          <w:tcPr>
            <w:tcW w:w="170" w:type="dxa"/>
            <w:tcBorders/>
            <w:shd w:fill="CCEEFF" w:val="clear"/>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Blaize Redeemable Convertible Preferred Stock</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4(O)(vi)</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173,338</w:t>
            </w:r>
          </w:p>
        </w:tc>
        <w:tc>
          <w:tcPr>
            <w:tcW w:w="170" w:type="dxa"/>
            <w:tcBorders/>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of BurTech’s Redeemable Class A Common Stock</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4(O)(vii)</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36,735</w:t>
            </w:r>
          </w:p>
        </w:tc>
        <w:tc>
          <w:tcPr>
            <w:tcW w:w="170" w:type="dxa"/>
            <w:tcBorders/>
            <w:shd w:fill="CCEEFF" w:val="clear"/>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Recognition of stock based compensation associated with performance condition awards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4(O)(viii)</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3,937</w:t>
            </w:r>
          </w:p>
        </w:tc>
        <w:tc>
          <w:tcPr>
            <w:tcW w:w="170" w:type="dxa"/>
            <w:tcBorders/>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of BurTech’s accumulated deficit to additional paid-in capital (elimination)</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4(O)(ix)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(30,617</w:t>
            </w:r>
          </w:p>
        </w:tc>
        <w:tc>
          <w:tcPr>
            <w:tcW w:w="170" w:type="dxa"/>
            <w:tcBorders/>
            <w:shd w:fill="CCEEFF" w:val="clear"/>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PIPE Investment and Sponsor Note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4(O)(x)</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24,157</w:t>
            </w:r>
          </w:p>
        </w:tc>
        <w:tc>
          <w:tcPr>
            <w:tcW w:w="170" w:type="dxa"/>
            <w:tcBorders/>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Reversal of Derivative Liability</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4(O)(xi)</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1,085</w:t>
            </w:r>
          </w:p>
        </w:tc>
        <w:tc>
          <w:tcPr>
            <w:tcW w:w="170" w:type="dxa"/>
            <w:tcBorders/>
            <w:shd w:fill="CCEEFF" w:val="clear"/>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 Forma Adjustment – Additional paid-in capital </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619,752</w:t>
            </w:r>
          </w:p>
        </w:tc>
        <w:tc>
          <w:tcPr>
            <w:tcW w:w="17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transaction costs of approximately $1.0 million incurred by Blaize related to financial advisory, legal, and other professional services, in connection with the Business Combination prior to the Closing. These costs are non-recurring in nature. Refer to Note 4(A)(ii), </w:t>
            </w:r>
            <w:r>
              <w:rPr>
                <w:rFonts w:ascii="Times New Roman" w:hAnsi="Times New Roman"/>
                <w:i/>
                <w:sz w:val="20"/>
              </w:rPr>
              <w:t>Cash and cash equivalents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$11.1 million of transaction costs incurred by Blaize in conjunction with the Business Combination and which are capitalized within prepaid expenses and other current assets as of December 31, 2024. Upon the close of the Business Combination, such costs were reclassified as an equity issuance cost, resulting in a $11.1 million decrease to prepaid expenses and other current assets and a $11.1 million decrease to additional paid-in capital. Refer to Note 4(C), </w:t>
            </w:r>
            <w:r>
              <w:rPr>
                <w:rFonts w:ascii="Times New Roman" w:hAnsi="Times New Roman"/>
                <w:i/>
                <w:sz w:val="20"/>
              </w:rPr>
              <w:t>Prepaid expenses and other current assets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closing of the Business Combination, all outstanding amounts of the convertible notes, including those issued to the Final Closing Lenders, together with all accrued and unpaid interest thereon, converted into shares of Blaize Common Stock. The remeasured value of $411.5 million was reclassified into additional paid in capital. Refer to Note 4(G), </w:t>
            </w:r>
            <w:r>
              <w:rPr>
                <w:rFonts w:ascii="Times New Roman" w:hAnsi="Times New Roman"/>
                <w:i/>
                <w:sz w:val="20"/>
              </w:rPr>
              <w:t>Convertible notes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estimated fair value of liability classified Blaize Equityholders’ Earnout Shares of $88.5 million as of December 31, 2024, with a corresponding recognition of $88.5 million Earnout Shares liability. Refer to Note 4(H), </w:t>
            </w:r>
            <w:r>
              <w:rPr>
                <w:rFonts w:ascii="Times New Roman" w:hAnsi="Times New Roman"/>
                <w:i/>
                <w:sz w:val="20"/>
              </w:rPr>
              <w:t>Earnout shares liability</w:t>
            </w:r>
            <w:r>
              <w:rPr>
                <w:rFonts w:ascii="Times New Roman" w:hAnsi="Times New Roman"/>
                <w:sz w:val="20"/>
              </w:rPr>
              <w:t xml:space="preserve">, for the corresponding pro forma adjusting entries and Note 6 for further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v.</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the final remeasured warrant liability of $98.2 million which occurred in conjunction with the Closing and the settlement into Blaize Common stock as part of the Warrant Event. Refer to Note 4(I), </w:t>
            </w:r>
            <w:r>
              <w:rPr>
                <w:rFonts w:ascii="Times New Roman" w:hAnsi="Times New Roman"/>
                <w:i/>
                <w:sz w:val="20"/>
              </w:rPr>
              <w:t>Warrant liabilities</w:t>
            </w:r>
            <w:r>
              <w:rPr>
                <w:rFonts w:ascii="Times New Roman" w:hAnsi="Times New Roman"/>
                <w:sz w:val="20"/>
              </w:rPr>
              <w:t xml:space="preserve">, for the corresponding pro forma adjusting entries. The warrant treatment assumes that certain warrants were out of the money at Closing Date remain unexercised and therefore expire.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vi.</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conversion of 44,494,703 shares of Blaize Redeemable Convertible Preferred Stock into 44,494,703 shares of Blaize Common Stock, immediately prior to the Closing of the Business Combination as part of the Blaize Security Conversion event, resulting in the reclassification of $173.3 million from mezzanine equity to permanent equity. Refer to Note 4(K), </w:t>
            </w:r>
            <w:r>
              <w:rPr>
                <w:rFonts w:ascii="Times New Roman" w:hAnsi="Times New Roman"/>
                <w:i/>
                <w:sz w:val="20"/>
              </w:rPr>
              <w:t>Convertible preferred stock</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vii.</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reclassification of $36.7 million of BurTech’s Redeemable Class A Common Stock from temporary equity (mezzanine) to permanent equity after giving effect to redemptions Refer to Note 4(L), </w:t>
            </w:r>
            <w:r>
              <w:rPr>
                <w:rFonts w:ascii="Times New Roman" w:hAnsi="Times New Roman"/>
                <w:i/>
                <w:sz w:val="20"/>
              </w:rPr>
              <w:t>Class</w:t>
            </w:r>
            <w:r>
              <w:rPr>
                <w:rFonts w:ascii="Times New Roman" w:hAnsi="Times New Roman"/>
                <w:sz w:val="20"/>
              </w:rPr>
              <w:t> </w:t>
            </w:r>
            <w:r>
              <w:rPr>
                <w:rFonts w:ascii="Times New Roman" w:hAnsi="Times New Roman"/>
                <w:i/>
                <w:sz w:val="20"/>
              </w:rPr>
              <w:t>A Common Stock subject to redemption</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viii.</w:t>
            </w:r>
          </w:p>
        </w:tc>
        <w:tc>
          <w:tcPr>
            <w:tcW w:w="9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recognition of $3.9 million of stock-based compensation expense associated with Blaize performance-based equity awards that have a portion that are immediately vested upon the successful completion of a Business Combination. Refer to Note 4(P)(v), </w:t>
            </w:r>
            <w:r>
              <w:rPr>
                <w:rFonts w:ascii="Times New Roman" w:hAnsi="Times New Roman"/>
                <w:i/>
                <w:sz w:val="20"/>
              </w:rPr>
              <w:t>Accumulated deficit</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ix.</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$30.6 million elimination of BurTech’s historical accumulated deficit as part of the reverse recapitalization at the Closing of the Business Combination, after giving effect to the $7.3 million of transaction costs expected to be incurred by BurTech related to the Business Combination (as described in Note 4(A)(ii), </w:t>
            </w:r>
            <w:r>
              <w:rPr>
                <w:rFonts w:ascii="Times New Roman" w:hAnsi="Times New Roman"/>
                <w:i/>
                <w:sz w:val="20"/>
              </w:rPr>
              <w:t>Cash and cash equivalents</w:t>
            </w:r>
            <w:r>
              <w:rPr>
                <w:rFonts w:ascii="Times New Roman" w:hAnsi="Times New Roman"/>
                <w:sz w:val="20"/>
              </w:rPr>
              <w:t xml:space="preserve">, and Note 4(P)(vi), </w:t>
            </w:r>
            <w:r>
              <w:rPr>
                <w:rFonts w:ascii="Times New Roman" w:hAnsi="Times New Roman"/>
                <w:i/>
                <w:sz w:val="20"/>
              </w:rPr>
              <w:t>Accumulated deficit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x.</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recording of $24.2 million from the issuance and sale of (i) 1.5 million shares of Blaize common stock, with a per share par value of $0.0001, at $10.00 per share pursuant to the PIPE Investment, and (ii) 750 thousand shares of Blaize common stock, pursuant to the Sponsor Note Issuance. See Note 4(A)(v), </w:t>
            </w:r>
            <w:r>
              <w:rPr>
                <w:rFonts w:ascii="Times New Roman" w:hAnsi="Times New Roman"/>
                <w:i/>
                <w:sz w:val="20"/>
              </w:rPr>
              <w:t>Cash and cash equivalents,</w:t>
            </w:r>
            <w:r>
              <w:rPr>
                <w:rFonts w:ascii="Times New Roman" w:hAnsi="Times New Roman"/>
                <w:sz w:val="20"/>
              </w:rPr>
              <w:t xml:space="preserve"> and Note 4(C), </w:t>
            </w:r>
            <w:r>
              <w:rPr>
                <w:rFonts w:ascii="Times New Roman" w:hAnsi="Times New Roman"/>
                <w:i/>
                <w:sz w:val="20"/>
              </w:rPr>
              <w:t>Prepaid expenses and other current assets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xi.</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reversal of the $1.1 million BurTech derivative liability related to the Non-Redemption Agreement in connection with the consummation of the Business Combination. Refer to Note 4(Q), </w:t>
            </w:r>
            <w:r>
              <w:rPr>
                <w:rFonts w:ascii="Times New Roman" w:hAnsi="Times New Roman"/>
                <w:i/>
                <w:sz w:val="20"/>
              </w:rPr>
              <w:t>Derivative liability — Non-Redemption Agreement</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(P)</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Accumulated deficit — </w:t>
            </w:r>
            <w:r>
              <w:rPr>
                <w:rFonts w:ascii="Times New Roman" w:hAnsi="Times New Roman"/>
                <w:sz w:val="20"/>
              </w:rPr>
              <w:t xml:space="preserve">Represents the impact of the Business Combination on accumulated deficit. The table below reflects the pro forma adjustments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85"/>
        <w:gridCol w:w="120"/>
        <w:gridCol w:w="714"/>
        <w:gridCol w:w="60"/>
        <w:gridCol w:w="186"/>
        <w:gridCol w:w="1169"/>
        <w:gridCol w:w="171"/>
      </w:tblGrid>
      <w:tr>
        <w:trPr/>
        <w:tc>
          <w:tcPr>
            <w:tcW w:w="7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7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714"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Assuming</w:t>
              <w:br/>
              <w:t>No</w:t>
            </w:r>
            <w:r>
              <w:rPr/>
              <w:br/>
            </w:r>
            <w:r>
              <w:rPr>
                <w:b/>
              </w:rPr>
              <w:t>Redemptions</w:t>
            </w:r>
          </w:p>
        </w:tc>
        <w:tc>
          <w:tcPr>
            <w:tcW w:w="171" w:type="dxa"/>
            <w:tcBorders/>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283"/>
              <w:jc w:val="left"/>
              <w:rPr>
                <w:b/>
              </w:rPr>
            </w:pPr>
            <w:r>
              <w:rPr>
                <w:b/>
              </w:rPr>
              <w:t>(Amounts in thousands)</w:t>
            </w:r>
          </w:p>
        </w:tc>
        <w:tc>
          <w:tcPr>
            <w:tcW w:w="12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BurTech Transaction Expenses</w:t>
            </w:r>
          </w:p>
        </w:tc>
        <w:tc>
          <w:tcPr>
            <w:tcW w:w="120"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center"/>
              <w:rPr/>
            </w:pPr>
            <w:r>
              <w:rPr/>
              <w:t>4(P)(i)</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(7,255)</w:t>
            </w:r>
          </w:p>
        </w:tc>
        <w:tc>
          <w:tcPr>
            <w:tcW w:w="171" w:type="dxa"/>
            <w:tcBorders/>
            <w:shd w:fill="CCEEFF" w:val="clear"/>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Blaize Transaction Expenses</w:t>
            </w:r>
          </w:p>
        </w:tc>
        <w:tc>
          <w:tcPr>
            <w:tcW w:w="12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center"/>
              <w:rPr/>
            </w:pPr>
            <w:r>
              <w:rPr/>
              <w:t>4(P)(ii)</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(1,154</w:t>
            </w:r>
          </w:p>
        </w:tc>
        <w:tc>
          <w:tcPr>
            <w:tcW w:w="171" w:type="dxa"/>
            <w:tcBorders/>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Remeasurement of Blaize Convertible Notes</w:t>
            </w:r>
          </w:p>
        </w:tc>
        <w:tc>
          <w:tcPr>
            <w:tcW w:w="120"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center"/>
              <w:rPr/>
            </w:pPr>
            <w:r>
              <w:rPr/>
              <w:t>4(P)(iii)</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(262,833</w:t>
            </w:r>
          </w:p>
        </w:tc>
        <w:tc>
          <w:tcPr>
            <w:tcW w:w="171" w:type="dxa"/>
            <w:tcBorders/>
            <w:shd w:fill="CCEEFF" w:val="clear"/>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Remeasurement of Warrants</w:t>
            </w:r>
          </w:p>
        </w:tc>
        <w:tc>
          <w:tcPr>
            <w:tcW w:w="12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center"/>
              <w:rPr/>
            </w:pPr>
            <w:r>
              <w:rPr/>
              <w:t>4(P)(iv)</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(83,537</w:t>
            </w:r>
          </w:p>
        </w:tc>
        <w:tc>
          <w:tcPr>
            <w:tcW w:w="171" w:type="dxa"/>
            <w:tcBorders/>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Recognition of stock based compensation associated with performance condition awards</w:t>
            </w:r>
          </w:p>
        </w:tc>
        <w:tc>
          <w:tcPr>
            <w:tcW w:w="120"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center"/>
              <w:rPr/>
            </w:pPr>
            <w:r>
              <w:rPr/>
              <w:t>4(P)(v)</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(3,937</w:t>
            </w:r>
          </w:p>
        </w:tc>
        <w:tc>
          <w:tcPr>
            <w:tcW w:w="171" w:type="dxa"/>
            <w:tcBorders/>
            <w:shd w:fill="CCEEFF" w:val="clear"/>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of BurTech’s accumulated deficit to additional paid-in capital (elimination) and other charges</w:t>
            </w:r>
          </w:p>
        </w:tc>
        <w:tc>
          <w:tcPr>
            <w:tcW w:w="12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center"/>
              <w:rPr/>
            </w:pPr>
            <w:r>
              <w:rPr/>
              <w:t>4(P)(vi)</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30,617</w:t>
            </w:r>
          </w:p>
        </w:tc>
        <w:tc>
          <w:tcPr>
            <w:tcW w:w="171" w:type="dxa"/>
            <w:tcBorders/>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pBdr>
                <w:top w:val="single" w:sz="2" w:space="1" w:color="000000"/>
              </w:pBdr>
              <w:bidi w:val="0"/>
              <w:spacing w:before="0" w:after="0"/>
              <w:jc w:val="left"/>
              <w:rPr/>
            </w:pPr>
            <w:r>
              <w:rPr/>
              <w:t> </w:t>
            </w:r>
          </w:p>
        </w:tc>
        <w:tc>
          <w:tcPr>
            <w:tcW w:w="1169"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 Forma Adjustment – Accumulated deficit </w:t>
            </w:r>
          </w:p>
        </w:tc>
        <w:tc>
          <w:tcPr>
            <w:tcW w:w="120"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b/>
              </w:rPr>
            </w:pPr>
            <w:r>
              <w:rPr>
                <w:b/>
              </w:rPr>
              <w:t>$</w:t>
            </w:r>
          </w:p>
        </w:tc>
        <w:tc>
          <w:tcPr>
            <w:tcW w:w="1169" w:type="dxa"/>
            <w:tcBorders/>
            <w:shd w:fill="CCEEFF" w:val="clear"/>
            <w:vAlign w:val="center"/>
          </w:tcPr>
          <w:p>
            <w:pPr>
              <w:pStyle w:val="TableContents"/>
              <w:bidi w:val="0"/>
              <w:spacing w:before="0" w:after="283"/>
              <w:jc w:val="right"/>
              <w:rPr>
                <w:b/>
              </w:rPr>
            </w:pPr>
            <w:r>
              <w:rPr>
                <w:b/>
              </w:rPr>
              <w:t>(328,099</w:t>
            </w:r>
          </w:p>
        </w:tc>
        <w:tc>
          <w:tcPr>
            <w:tcW w:w="171" w:type="dxa"/>
            <w:tcBorders/>
            <w:shd w:fill="CCEEFF" w:val="clear"/>
            <w:vAlign w:val="center"/>
          </w:tcPr>
          <w:p>
            <w:pPr>
              <w:pStyle w:val="TableContents"/>
              <w:bidi w:val="0"/>
              <w:spacing w:before="0" w:after="283"/>
              <w:jc w:val="left"/>
              <w:rPr>
                <w:b/>
              </w:rPr>
            </w:pPr>
            <w:r>
              <w:rPr>
                <w:b/>
              </w:rPr>
              <w:t>) </w:t>
            </w:r>
          </w:p>
        </w:tc>
      </w:tr>
      <w:tr>
        <w:trPr/>
        <w:tc>
          <w:tcPr>
            <w:tcW w:w="7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pBdr>
                <w:top w:val="double" w:sz="6" w:space="1" w:color="000000"/>
              </w:pBdr>
              <w:bidi w:val="0"/>
              <w:spacing w:before="0" w:after="0"/>
              <w:jc w:val="left"/>
              <w:rPr/>
            </w:pPr>
            <w:r>
              <w:rPr/>
              <w:t> </w:t>
            </w:r>
          </w:p>
        </w:tc>
        <w:tc>
          <w:tcPr>
            <w:tcW w:w="1169"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 represents certain transaction related expenses incurred subsequent to December 31, 2024 by BurTech prior to the Closing</w:t>
            </w:r>
            <w:r>
              <w:rPr>
                <w:rFonts w:ascii="Times New Roman" w:hAnsi="Times New Roman"/>
                <w:i/>
                <w:sz w:val="20"/>
              </w:rPr>
              <w:t xml:space="preserve">. </w:t>
            </w:r>
            <w:r>
              <w:rPr>
                <w:rFonts w:ascii="Times New Roman" w:hAnsi="Times New Roman"/>
                <w:sz w:val="20"/>
              </w:rPr>
              <w:t xml:space="preserve">Refer to Note 4(A)(ii), </w:t>
            </w:r>
            <w:r>
              <w:rPr>
                <w:rFonts w:ascii="Times New Roman" w:hAnsi="Times New Roman"/>
                <w:i/>
                <w:sz w:val="20"/>
              </w:rPr>
              <w:t>Cash and cash equivalents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$0.9 million of transaction costs associated with issuance of the Earnout Shares to nonemployees, which are liability-classified instruments, and which are subsequently measured at fair value. Accordingly, these transaction costs were recorded to accumulated deficit, based on a relative fair value allocation compared to all financial instruments issued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as part of the Business Combination. Further amount includes $0.2 million of audit-related fees incurred with the transaction and expected to be paid at close that are not direct and incremental to the consummation of the Business Combination and therefore are expected to be expensed, with a corresponding increase to accumulated deficit. Refer to Note 4(A)(ii), </w:t>
            </w:r>
            <w:r>
              <w:rPr>
                <w:i/>
              </w:rPr>
              <w:t>Cash and cash equivalents</w:t>
            </w:r>
            <w:r>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final remeasurement of Blaize convertible notes which are accounted for under the fair value option, at the time of the Blaize Security Conversion resulting in an increase to accumulated deficit of $262.8 million. Refer to Note 4(G), </w:t>
            </w:r>
            <w:r>
              <w:rPr>
                <w:rFonts w:ascii="Times New Roman" w:hAnsi="Times New Roman"/>
                <w:i/>
                <w:sz w:val="20"/>
              </w:rPr>
              <w:t>Convertible notes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final remeasurement of Blaize liability classified warrants at the time of the Warrant Event, which results in a $83.5 million loss on remeasurement to mark the warrants to fair value. Adjustment includes the recognition of $79 thousand of gain on expiration of certain Blaize warrants that are out of the money at the Warrant Event date and are assumed to not net exercise. Accordingly, the expiration of such warrants has been reflected as a decrease to the warrant liability and a decrease to accumulated deficit. Refer to Note 4(I), </w:t>
            </w:r>
            <w:r>
              <w:rPr>
                <w:rFonts w:ascii="Times New Roman" w:hAnsi="Times New Roman"/>
                <w:i/>
                <w:sz w:val="20"/>
              </w:rPr>
              <w:t>Warrant liabilities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v.</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recognition of $3.9 million of stock-based compensation expense associated with Blaize performance-based equity awards that have a portion that are immediately vested upon the successful completion of the Business Combination. Refer to Note 4(O) (viii), </w:t>
            </w:r>
            <w:r>
              <w:rPr>
                <w:rFonts w:ascii="Times New Roman" w:hAnsi="Times New Roman"/>
                <w:i/>
                <w:sz w:val="20"/>
              </w:rPr>
              <w:t>Additional paid-in capital</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vi.</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BurTech’s historical accumulated deficit to additional paid-in capital in connection with the consummation of the Business Combination, inclusive of the $7.3 million discussed in Note 4(A)(ii), </w:t>
            </w:r>
            <w:r>
              <w:rPr>
                <w:rFonts w:ascii="Times New Roman" w:hAnsi="Times New Roman"/>
                <w:i/>
                <w:sz w:val="20"/>
              </w:rPr>
              <w:t>Cash and cash equivalents</w:t>
            </w:r>
            <w:r>
              <w:rPr>
                <w:rFonts w:ascii="Times New Roman" w:hAnsi="Times New Roman"/>
                <w:sz w:val="20"/>
              </w:rPr>
              <w:t xml:space="preserve">. Refer to Note 4(O)ix, </w:t>
            </w:r>
            <w:r>
              <w:rPr>
                <w:rFonts w:ascii="Times New Roman" w:hAnsi="Times New Roman"/>
                <w:i/>
                <w:sz w:val="20"/>
              </w:rPr>
              <w:t>Additional paid-in capital</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(Q)</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Derivative liability — Non-Redemption Agreement </w:t>
            </w:r>
            <w:r>
              <w:rPr>
                <w:rFonts w:ascii="Times New Roman" w:hAnsi="Times New Roman"/>
                <w:sz w:val="20"/>
              </w:rPr>
              <w:t xml:space="preserve">— Reflects the reversal of the $1.1 million BurTech derivative liability related to the Non-Redemption Agreement in connection with the consummation of the Business Combination. Refer to Note 4(O)(xi), </w:t>
            </w:r>
            <w:r>
              <w:rPr>
                <w:rFonts w:ascii="Times New Roman" w:hAnsi="Times New Roman"/>
                <w:i/>
                <w:sz w:val="20"/>
              </w:rPr>
              <w:t>Additional paid-in capital</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(R)</w:t>
            </w:r>
          </w:p>
        </w:tc>
        <w:tc>
          <w:tcPr>
            <w:tcW w:w="9856"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Restricted cash </w:t>
            </w:r>
            <w:r>
              <w:rPr>
                <w:rFonts w:ascii="Times New Roman" w:hAnsi="Times New Roman"/>
                <w:sz w:val="20"/>
              </w:rPr>
              <w:t xml:space="preserve">- Amount represents the reclassification of $33.1 million from cash and cash equivalents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4(A)(vi), </w:t>
            </w:r>
            <w:r>
              <w:rPr>
                <w:rFonts w:ascii="Times New Roman" w:hAnsi="Times New Roman"/>
                <w:i/>
                <w:sz w:val="20"/>
              </w:rPr>
              <w:t xml:space="preserve">Cash and cash equivalents, </w:t>
            </w:r>
            <w:r>
              <w:rPr>
                <w:rFonts w:ascii="Times New Roman" w:hAnsi="Times New Roman"/>
                <w:sz w:val="20"/>
              </w:rPr>
              <w:t xml:space="preserve">for the corresponding pro forma adjusting entries.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5 — Adjustments to Unaudited Pro Forma Condensed Combined Statement of Operations for the Year Ended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included in the unaudited pro forma condensed combined statement of operations for the year ended December 31, 2024,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(A)</w:t>
            </w:r>
          </w:p>
        </w:tc>
        <w:tc>
          <w:tcPr>
            <w:tcW w:w="98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stock-based compensation to be incurred assuming the Closing of the Business Combination occurred on January 1, 2023, with details of the effects on the impacted financial statement line items as follows: </w:t>
            </w:r>
          </w:p>
        </w:tc>
      </w:tr>
    </w:tbl>
    <w:p>
      <w:pPr>
        <w:pStyle w:val="TextBody"/>
        <w:bidi w:val="0"/>
        <w:spacing w:before="0" w:after="0"/>
        <w:jc w:val="left"/>
        <w:rPr/>
      </w:pPr>
      <w:r>
        <w:rPr/>
        <w:t> </w:t>
      </w:r>
    </w:p>
    <w:tbl>
      <w:tblPr>
        <w:tblW w:w="9920" w:type="dxa"/>
        <w:jc w:val="left"/>
        <w:tblInd w:w="0" w:type="dxa"/>
        <w:tblLayout w:type="fixed"/>
        <w:tblCellMar>
          <w:top w:w="0" w:type="dxa"/>
          <w:left w:w="0" w:type="dxa"/>
          <w:bottom w:w="0" w:type="dxa"/>
          <w:right w:w="0" w:type="dxa"/>
        </w:tblCellMar>
      </w:tblPr>
      <w:tblGrid>
        <w:gridCol w:w="5855"/>
        <w:gridCol w:w="120"/>
        <w:gridCol w:w="740"/>
        <w:gridCol w:w="60"/>
        <w:gridCol w:w="283"/>
        <w:gridCol w:w="1132"/>
        <w:gridCol w:w="60"/>
        <w:gridCol w:w="120"/>
        <w:gridCol w:w="295"/>
        <w:gridCol w:w="1180"/>
        <w:gridCol w:w="75"/>
      </w:tblGrid>
      <w:tr>
        <w:trPr/>
        <w:tc>
          <w:tcPr>
            <w:tcW w:w="5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Research and</w:t>
              <w:br/>
              <w:t>development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Selling,</w:t>
              <w:br/>
              <w:t>general and</w:t>
              <w:br/>
              <w:t>administrative</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b/>
              </w:rPr>
            </w:pPr>
            <w:r>
              <w:rPr>
                <w:b/>
              </w:rPr>
              <w:t>(Amounts in thousands)</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associated with Earnout shares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5(A)(i)</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5,059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6,572</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upon achievement of performance condition</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5(A)(ii)</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3,462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475</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pBdr>
                <w:top w:val="single" w:sz="2" w:space="1" w:color="000000"/>
              </w:pBdr>
              <w:bidi w:val="0"/>
              <w:spacing w:before="0" w:after="0"/>
              <w:jc w:val="left"/>
              <w:rPr/>
            </w:pPr>
            <w:r>
              <w:rPr/>
              <w:t> </w:t>
            </w:r>
          </w:p>
        </w:tc>
        <w:tc>
          <w:tcPr>
            <w:tcW w:w="11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Pro Forma Adjustment – Stock-based compensation</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b/>
              </w:rPr>
            </w:pPr>
            <w:r>
              <w:rPr>
                <w:b/>
              </w:rPr>
              <w:t>$</w:t>
            </w:r>
          </w:p>
        </w:tc>
        <w:tc>
          <w:tcPr>
            <w:tcW w:w="1132" w:type="dxa"/>
            <w:tcBorders/>
            <w:shd w:fill="CCEEFF" w:val="clear"/>
            <w:vAlign w:val="center"/>
          </w:tcPr>
          <w:p>
            <w:pPr>
              <w:pStyle w:val="TableContents"/>
              <w:bidi w:val="0"/>
              <w:spacing w:before="0" w:after="283"/>
              <w:jc w:val="right"/>
              <w:rPr>
                <w:b/>
              </w:rPr>
            </w:pPr>
            <w:r>
              <w:rPr>
                <w:b/>
              </w:rPr>
              <w:t>8,521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b/>
              </w:rPr>
            </w:pPr>
            <w:r>
              <w:rPr>
                <w:b/>
              </w:rPr>
              <w:t>$</w:t>
            </w:r>
          </w:p>
        </w:tc>
        <w:tc>
          <w:tcPr>
            <w:tcW w:w="1180" w:type="dxa"/>
            <w:tcBorders/>
            <w:shd w:fill="CCEEFF" w:val="clear"/>
            <w:vAlign w:val="center"/>
          </w:tcPr>
          <w:p>
            <w:pPr>
              <w:pStyle w:val="TableContents"/>
              <w:bidi w:val="0"/>
              <w:spacing w:before="0" w:after="283"/>
              <w:jc w:val="right"/>
              <w:rPr>
                <w:b/>
              </w:rPr>
            </w:pPr>
            <w:r>
              <w:rPr>
                <w:b/>
              </w:rPr>
              <w:t>7,047</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double" w:sz="6" w:space="1" w:color="000000"/>
              </w:pBdr>
              <w:bidi w:val="0"/>
              <w:spacing w:before="0" w:after="0"/>
              <w:jc w:val="left"/>
              <w:rPr/>
            </w:pPr>
            <w:r>
              <w:rPr/>
              <w:t> </w:t>
            </w:r>
          </w:p>
        </w:tc>
        <w:tc>
          <w:tcPr>
            <w:tcW w:w="113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pBdr>
                <w:top w:val="double" w:sz="6" w:space="1" w:color="000000"/>
              </w:pBdr>
              <w:bidi w:val="0"/>
              <w:spacing w:before="0" w:after="0"/>
              <w:jc w:val="left"/>
              <w:rPr/>
            </w:pPr>
            <w:r>
              <w:rPr/>
              <w:t> </w:t>
            </w:r>
          </w:p>
        </w:tc>
        <w:tc>
          <w:tcPr>
            <w:tcW w:w="11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estimated stock-based compensation measured as of the closing date for the portion of the Earnout Shares issuable to existing option holders with continuing service requirements, and assuming no forfeitures (see Note 6) recognized stock-based compensation for the year as an increase of $5.1 million to research and development expense and $6.6 million to selling, general and administrative expense.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Business Combination. The Company has recorded the incremental stock- based compensation expense for the year as an increase of $3.5 million to research and development expense and $0.5 million to selling, general and administrative expense.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(B)</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transaction expenses incurred by both BurTech and Blaize prior to Closing. Impact is calculated as (i) $11.4 million of incurred transaction costs by BurTech to be expensed by BurTech prior to close, (ii) $0.9 million of transaction costs incurred by Blaize associated with issuance of the Earnout Shares to nonemployees, which are liability-classified instruments, and which are subsequently measured at fair value. Accordingly, these transaction costs were expensed, based on a relative fair value allocation compared to all financial instruments issued as part of the Business Combination and (iii) $0.2 million of audit related fees incurred with the transaction and paid at close that are not direct and incremental to the consummation of the Business Combination and therefore are expensed.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(C)</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(i) the elimination of $10.0 million of loss on changes in the fair value of Blaize’s convertible notes, which were accounted for under the fair value option during the year ended December 31, 2024, offset by (ii) the reflection of a final fair value measurement associated with all convertible notes, assuming the date of the closing is January 1, 2023, resulting in a loss on remeasurement of $262.8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(D)</w:t>
            </w:r>
          </w:p>
        </w:tc>
        <w:tc>
          <w:tcPr>
            <w:tcW w:w="97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impacts to the pro forma statement of operations associated of the various warrants, the details of such effect are as follows: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4670"/>
        <w:gridCol w:w="120"/>
        <w:gridCol w:w="710"/>
        <w:gridCol w:w="60"/>
        <w:gridCol w:w="140"/>
        <w:gridCol w:w="755"/>
        <w:gridCol w:w="170"/>
      </w:tblGrid>
      <w:tr>
        <w:trPr/>
        <w:tc>
          <w:tcPr>
            <w:tcW w:w="4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b/>
              </w:rPr>
            </w:pPr>
            <w:r>
              <w:rPr>
                <w:b/>
              </w:rPr>
              <w:t>(Amounts in thousands)</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 of loss on changes in fair value of warrants</w:t>
            </w:r>
          </w:p>
        </w:tc>
        <w:tc>
          <w:tcPr>
            <w:tcW w:w="12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5(E)(i)</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5,701</w:t>
            </w:r>
          </w:p>
        </w:tc>
        <w:tc>
          <w:tcPr>
            <w:tcW w:w="170"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remeasurement of warrants at time of Warrant Event</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5(E)(ii)</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(83,537</w:t>
            </w:r>
          </w:p>
        </w:tc>
        <w:tc>
          <w:tcPr>
            <w:tcW w:w="17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 Forma Adjustment – Warrants </w:t>
            </w:r>
          </w:p>
        </w:tc>
        <w:tc>
          <w:tcPr>
            <w:tcW w:w="12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(77,836</w:t>
            </w:r>
          </w:p>
        </w:tc>
        <w:tc>
          <w:tcPr>
            <w:tcW w:w="170" w:type="dxa"/>
            <w:tcBorders/>
            <w:shd w:fill="CCEEFF" w:val="clear"/>
            <w:vAlign w:val="center"/>
          </w:tcPr>
          <w:p>
            <w:pPr>
              <w:pStyle w:val="TableContents"/>
              <w:bidi w:val="0"/>
              <w:spacing w:before="0" w:after="283"/>
              <w:jc w:val="left"/>
              <w:rPr>
                <w:b/>
              </w:rPr>
            </w:pPr>
            <w:r>
              <w:rPr>
                <w:b/>
              </w:rPr>
              <w:t>) </w:t>
            </w:r>
          </w:p>
        </w:tc>
      </w:tr>
      <w:tr>
        <w:trPr/>
        <w:tc>
          <w:tcPr>
            <w:tcW w:w="4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$5.7 million of loss on changes in the fair value of Blaize’s liability classified warrants during the year ended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final fair value measurement associated with all liability classified warrants at the time of the Warrant event, assuming the date of the Closing is January 1, 2023. Such measurement results in a loss on remeasurement of $83.5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(E)</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$2.5 million of BurTech’s historical interest income earned on the funds held in the Trust Account, which was dissolved and liquidated upon the Closing of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(F)</w:t>
            </w:r>
          </w:p>
        </w:tc>
        <w:tc>
          <w:tcPr>
            <w:tcW w:w="98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$1.1 million change in fair value of the derivative liability related to the Non-Redemption Agreement.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 Earnouts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the Eligible Blaize Equityholders (including holders of Blaize Options or Blaize RSUs) have the right to receive up to 15,000,000 Blaize Earnout Shares in four tranches upon the occurrence of the Earnout Triggering Events during the Earnout Period. Further, following the Closing, Burkhan have the right to receive up to 2,600,000 Burkhan Earnout Shares in four tranches upon the occurrence of the Earnout Triggering Events during the Earnout Period. The total amount of Burkhan Earnout Shares to be issued is dependent on the Proportionate Shares Number, which is equal to 325,000 Acquiror Class A Common Stock multiplied by the cash ratio.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Triggering Event I, a one-time issuance of 3,750,000 Company Earnout Shares to Blaize Equityholders will be made and a one-time issuance of Burkhan Earnout Shares in an amount equal to the sum of (x) 325,000 plus (y) the Proportionate Shares Number will be made. Triggering Event I means the first date during the Earnout Period on which the closing stock price of Blaize Class A Common Stock is greater than or equal to $12.50 per share for twenty (20) trading days within any thirty (30) consecutive trading day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Triggering Event II, a one-time issuance of 3,750,000 Company Earnout Shares to Blaize Equityholders will be made and a one-time issuance of Burkhan Earnout Shares in an amount equal to the sum of (x) 325,000 plus (y) the Proportionate Shares Number will be made. Triggering Event II means the first date during the Earnout Period on which the closing stock price of Blaize Class A Common Stock is greater than or equal to $15.00 per share for twenty (20) trading days within any thirty (30) consecutive trading day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Triggering Event III, a one-time issuance of 3,750,000 Company Earnout Shares to Blaize Equityholders will be made and a one-time issuance of Burkhan Earnout Shares in an amount equal to the sum of (x) 325,000 plus (y) the Proportionate Shares Number will be made. Triggering Event III means the first date during the Earnout Period on which the closing stock price of Blaize Class A Common Stock is greater than or equal to $17.50 per share for twenty (20) trading days within any thirty (30) consecutive trading day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Triggering Event IV, a one-time issuance of 3,750,000 Company Earnout Shares to Blaize Equityholders will be made and a one-time issuance of Burkhan Earnout Shares in an amount equal to the sum of (x) 325,000 plus (y) the Proportionate Shares Number will be made. Triggering Event IV means the first date during the Earnout Period on which the closing stock price of Blaize Class A Common Stock is greater than or equal to $20.00 per share for twenty (20) trading days within any thirty (30) consecutive trading 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Earnout shares issuable to any eligible recipient in respect of Blaize Options or Blaize RSUs held by such recipient as of immediately prior to the Closing shall be issued to such recipient only if such recipient continues to provide services (whether as an employee, director or individual independent contractor) to Blaize or one of its subsidiaries through the date of the occurrence of the corresponding Triggering Event. </w:t>
      </w:r>
    </w:p>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215"/>
        <w:gridCol w:w="6155"/>
      </w:tblGrid>
      <w:tr>
        <w:trPr/>
        <w:tc>
          <w:tcPr>
            <w:tcW w:w="215" w:type="dxa"/>
            <w:tcBorders/>
            <w:vAlign w:val="center"/>
          </w:tcPr>
          <w:p>
            <w:pPr>
              <w:pStyle w:val="TableContents"/>
              <w:bidi w:val="0"/>
              <w:spacing w:before="0" w:after="283"/>
              <w:jc w:val="left"/>
              <w:rPr>
                <w:i/>
              </w:rPr>
            </w:pPr>
            <w:r>
              <w:rPr>
                <w:i/>
              </w:rPr>
              <w:t>1.</w:t>
            </w:r>
          </w:p>
        </w:tc>
        <w:tc>
          <w:tcPr>
            <w:tcW w:w="615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Earnout Shares Issued to Holders of Blaize Stock Options and Blaize RSUs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preliminary accounting conclusion related to the grant of Blaize Earnout Shares to existing holders of stock options or restricted stock units is considered a compensatory award and accounted for under ASC 718, Share-Based Compensation as the Blaize Earnout Shares are subject to forfeiture based on the satisfaction of certain service conditions. Each Triggering Event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Further these awards have been determined to be equity classified and accordingly will not be remeasured at each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estimated fair value of the Blaize Earnout Shares subject to ASC 718 was $58.2 million, assuming the service conditions were met and assuming no forfeitures. The vested amounts of $11.6 million for the year ended December 31, 2024 were recorded as stock- based compensation expense in the unaudited pro forma condensed combined statements of operations as it was probable the market condition would be met.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15"/>
        <w:gridCol w:w="3785"/>
      </w:tblGrid>
      <w:tr>
        <w:trPr/>
        <w:tc>
          <w:tcPr>
            <w:tcW w:w="215" w:type="dxa"/>
            <w:tcBorders/>
            <w:vAlign w:val="center"/>
          </w:tcPr>
          <w:p>
            <w:pPr>
              <w:pStyle w:val="TableContents"/>
              <w:bidi w:val="0"/>
              <w:spacing w:before="0" w:after="283"/>
              <w:jc w:val="left"/>
              <w:rPr>
                <w:i/>
              </w:rPr>
            </w:pPr>
            <w:r>
              <w:rPr>
                <w:i/>
              </w:rPr>
              <w:t>2.</w:t>
            </w:r>
          </w:p>
        </w:tc>
        <w:tc>
          <w:tcPr>
            <w:tcW w:w="378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Earnout Shares Issued to Blaize and Burkhan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earnout shares to be issued to all other Blaize equityholders not within the scope of ASC 718 and to Burkhan were evaluated under ASC Topic 480, Distinguishing Liabilities from Equity, to determine if the earnout award agreements should be classified as a liability. As part of that analysis, it was determined that the earnout shares are freestanding and not liability classified under ASC 480. It was next evaluated whether the earnout shares represented a derivative instrument pursuant to ASC Topic 815, Derivatives and Hedging. Paragraph ASC 815-10-15-74(a) provides a scope exception to derivative accounting and states that a reporting entity shall not consider contracts that are both (a) indexed to an entity’s own stock and (b) classified in stockholders’ equity in its statement of financial position to be derivative instruments.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to conclude that the earnout shares meet this scope exception and whether they should be accounted for as equity under ASC 815-40, it was evaluated whether the earnout shares meet both of these requirements. The preliminary accounting conclusions for the earnout shares under the arrangement resulted in liability classification pursuant to ASC 815-40. The liability for such Earnout Shares will be remeasured at each reporting date with changes in the fair value recorded to earnings.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placed a value of $88.5 million on the liability. The earnout liability will be remeasured at each reporting date with changes in the fair value recorded to earnings.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283"/>
              <w:jc w:val="left"/>
              <w:rPr>
                <w:i/>
              </w:rPr>
            </w:pPr>
            <w:r>
              <w:rPr>
                <w:i/>
              </w:rPr>
              <w:t>3.</w:t>
            </w:r>
          </w:p>
        </w:tc>
        <w:tc>
          <w:tcPr>
            <w:tcW w:w="24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Fair Value of Earnout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fair value of the Blaize Earnout Consideration that was not subject to ASC 718 was determined by using the assumed stock price of Blaize of $10.00 at the grant date and multiplying it by the expected probability of achieving the market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7 —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net loss per share calculated using the historical weighted average shares outstanding and the issuance of additional shares in connection with the Business Combination, and other related events, assuming such additional shares were outstanding since January 1, 2023. As the Business Combination and other related events are being reflected as if they had occurred as of January 1, 2023, the calculation of weighted average shares outstanding for basic and diluted net loss per share assumes the shares issued in connection with the Business Combination and other related events have been outstanding for the entire periods presented. </w:t>
      </w:r>
    </w:p>
    <w:p>
      <w:pPr>
        <w:pStyle w:val="TextBody"/>
        <w:bidi w:val="0"/>
        <w:spacing w:before="0" w:after="0"/>
        <w:jc w:val="left"/>
        <w:rPr/>
      </w:pPr>
      <w:r>
        <w:rPr/>
        <w:t> </w:t>
      </w:r>
    </w:p>
    <w:tbl>
      <w:tblPr>
        <w:tblW w:w="8895" w:type="dxa"/>
        <w:jc w:val="left"/>
        <w:tblInd w:w="0" w:type="dxa"/>
        <w:tblLayout w:type="fixed"/>
        <w:tblCellMar>
          <w:top w:w="0" w:type="dxa"/>
          <w:left w:w="0" w:type="dxa"/>
          <w:bottom w:w="0" w:type="dxa"/>
          <w:right w:w="0" w:type="dxa"/>
        </w:tblCellMar>
      </w:tblPr>
      <w:tblGrid>
        <w:gridCol w:w="4655"/>
        <w:gridCol w:w="120"/>
        <w:gridCol w:w="406"/>
        <w:gridCol w:w="3544"/>
        <w:gridCol w:w="170"/>
      </w:tblGrid>
      <w:tr>
        <w:trPr/>
        <w:tc>
          <w:tcPr>
            <w:tcW w:w="4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12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p>
        </w:tc>
        <w:tc>
          <w:tcPr>
            <w:tcW w:w="3544" w:type="dxa"/>
            <w:tcBorders/>
            <w:shd w:fill="CCEEFF" w:val="clear"/>
            <w:vAlign w:val="center"/>
          </w:tcPr>
          <w:p>
            <w:pPr>
              <w:pStyle w:val="TableContents"/>
              <w:bidi w:val="0"/>
              <w:spacing w:before="0" w:after="283"/>
              <w:jc w:val="right"/>
              <w:rPr/>
            </w:pPr>
            <w:r>
              <w:rPr/>
              <w:t>(425,506</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12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544" w:type="dxa"/>
            <w:tcBorders/>
            <w:vAlign w:val="center"/>
          </w:tcPr>
          <w:p>
            <w:pPr>
              <w:pStyle w:val="TableContents"/>
              <w:bidi w:val="0"/>
              <w:spacing w:before="0" w:after="283"/>
              <w:jc w:val="right"/>
              <w:rPr/>
            </w:pPr>
            <w:r>
              <w:rPr/>
              <w:t>101,588,967</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6" w:type="dxa"/>
            <w:tcBorders/>
            <w:vAlign w:val="center"/>
          </w:tcPr>
          <w:p>
            <w:pPr>
              <w:pStyle w:val="TableContents"/>
              <w:pBdr>
                <w:top w:val="single" w:sz="2" w:space="1" w:color="000000"/>
              </w:pBdr>
              <w:bidi w:val="0"/>
              <w:spacing w:before="0" w:after="0"/>
              <w:jc w:val="left"/>
              <w:rPr/>
            </w:pPr>
            <w:r>
              <w:rPr/>
              <w:t> </w:t>
            </w:r>
          </w:p>
        </w:tc>
        <w:tc>
          <w:tcPr>
            <w:tcW w:w="354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b/>
              </w:rPr>
            </w:pPr>
            <w:r>
              <w:rPr>
                <w:b/>
              </w:rPr>
              <w:t>$</w:t>
            </w:r>
          </w:p>
        </w:tc>
        <w:tc>
          <w:tcPr>
            <w:tcW w:w="3544" w:type="dxa"/>
            <w:tcBorders/>
            <w:shd w:fill="CCEEFF" w:val="clear"/>
            <w:vAlign w:val="center"/>
          </w:tcPr>
          <w:p>
            <w:pPr>
              <w:pStyle w:val="TableContents"/>
              <w:bidi w:val="0"/>
              <w:spacing w:before="0" w:after="283"/>
              <w:jc w:val="right"/>
              <w:rPr>
                <w:b/>
              </w:rPr>
            </w:pPr>
            <w:r>
              <w:rPr>
                <w:b/>
              </w:rPr>
              <w:t>(4.19</w:t>
            </w:r>
          </w:p>
        </w:tc>
        <w:tc>
          <w:tcPr>
            <w:tcW w:w="170" w:type="dxa"/>
            <w:tcBorders/>
            <w:shd w:fill="CCEEFF" w:val="clear"/>
            <w:vAlign w:val="center"/>
          </w:tcPr>
          <w:p>
            <w:pPr>
              <w:pStyle w:val="TableContents"/>
              <w:bidi w:val="0"/>
              <w:spacing w:before="0" w:after="283"/>
              <w:jc w:val="left"/>
              <w:rPr>
                <w:b/>
              </w:rPr>
            </w:pPr>
            <w:r>
              <w:rPr>
                <w:b/>
              </w:rPr>
              <w:t>) </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6" w:type="dxa"/>
            <w:tcBorders/>
            <w:vAlign w:val="center"/>
          </w:tcPr>
          <w:p>
            <w:pPr>
              <w:pStyle w:val="TableContents"/>
              <w:pBdr>
                <w:top w:val="double" w:sz="6" w:space="1" w:color="000000"/>
              </w:pBdr>
              <w:bidi w:val="0"/>
              <w:spacing w:before="0" w:after="0"/>
              <w:jc w:val="left"/>
              <w:rPr/>
            </w:pPr>
            <w:r>
              <w:rPr/>
              <w:t> </w:t>
            </w:r>
          </w:p>
        </w:tc>
        <w:tc>
          <w:tcPr>
            <w:tcW w:w="354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Weighted average shares outstanding for both basic and diluted was calculated as follows for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Weighted Average Shares Outstanding – Basic and Diluted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3815"/>
        <w:gridCol w:w="120"/>
        <w:gridCol w:w="60"/>
        <w:gridCol w:w="1220"/>
        <w:gridCol w:w="75"/>
      </w:tblGrid>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stockholders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55,571,107</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BurTech’s public stockholders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5,456,999</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Sponsor &amp; related parties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14,456,132</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closing lenders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25,673,479</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431,250</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Weighted Average Shares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101,588,967</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outstanding shares of Blaize Common Stock equivalents were excluded from the computation of pro forma diluted net loss per share because including them would have had an anti-dilutive effect for the year ended December 31, 2024: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2825"/>
        <w:gridCol w:w="120"/>
        <w:gridCol w:w="70"/>
        <w:gridCol w:w="1285"/>
        <w:gridCol w:w="7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b/>
              </w:rPr>
              <w:t>Assuming</w:t>
            </w:r>
            <w:r>
              <w:rPr/>
              <w:br/>
            </w:r>
            <w:r>
              <w:rPr>
                <w:b/>
              </w:rPr>
              <w:t>No</w:t>
            </w:r>
            <w:r>
              <w:rPr/>
              <w:br/>
            </w:r>
            <w:r>
              <w:rPr>
                <w:b/>
              </w:rPr>
              <w:t>Redemptions</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Stock Options and RSUs(1)</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31,679,816</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Earnout Shares</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17,600,000</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Warrants</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28,750,000</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Private Warrants</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898,250</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128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b/>
              </w:rPr>
            </w:pPr>
            <w:r>
              <w:rPr>
                <w:b/>
              </w:rPr>
              <w:t>78,928,066</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double" w:sz="6" w:space="1" w:color="000000"/>
              </w:pBdr>
              <w:bidi w:val="0"/>
              <w:spacing w:before="0" w:after="0"/>
              <w:jc w:val="left"/>
              <w:rPr/>
            </w:pPr>
            <w:r>
              <w:rPr/>
              <w:t> </w:t>
            </w:r>
          </w:p>
        </w:tc>
        <w:tc>
          <w:tcPr>
            <w:tcW w:w="128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gives effect to the net impact of (399,000) options that have been granted or cancelled from January 1, 2025 through the date of this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99.3 </w:t>
      </w:r>
    </w:p>
    <w:p>
      <w:pPr>
        <w:pStyle w:val="TextBody"/>
        <w:bidi w:val="0"/>
        <w:spacing w:before="240" w:after="0"/>
        <w:jc w:val="center"/>
        <w:rPr>
          <w:rFonts w:ascii="Times New Roman" w:hAnsi="Times New Roman"/>
          <w:b/>
          <w:sz w:val="20"/>
        </w:rPr>
      </w:pPr>
      <w:bookmarkStart w:id="13" w:name="tx934548_11"/>
      <w:bookmarkEnd w:id="13"/>
      <w:r>
        <w:rPr>
          <w:rFonts w:ascii="Times New Roman" w:hAnsi="Times New Roman"/>
          <w:b/>
          <w:sz w:val="20"/>
        </w:rPr>
        <w:t xml:space="preserve">BLAIZE MANAGEMENT’S DISCUSSION AND ANALYSIS </w:t>
      </w:r>
    </w:p>
    <w:p>
      <w:pPr>
        <w:pStyle w:val="TextBody"/>
        <w:bidi w:val="0"/>
        <w:spacing w:before="0" w:after="0"/>
        <w:jc w:val="center"/>
        <w:rPr>
          <w:rFonts w:ascii="Times New Roman" w:hAnsi="Times New Roman"/>
          <w:b/>
          <w:sz w:val="20"/>
        </w:rPr>
      </w:pPr>
      <w:r>
        <w:rPr>
          <w:rFonts w:ascii="Times New Roman" w:hAnsi="Times New Roman"/>
          <w:b/>
          <w:sz w:val="20"/>
        </w:rPr>
        <w:t xml:space="preserve">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the financial condition and results of operations of Blaize Inc., (“us”, “our”, “we” and “Blaize”) should be read together with our audited consolidated financial statements and related notes filed as Exhibit 99.1 to this prospectus. Some of the information contained in this discussion and analysis, including information with respect to our plans, objectives, expectations, projections, and strategy for our business, includes forward-looking statements that involve risks and uncertainties. As a result of many factors, including those factors set out in the “Risk Factors” section of this prospectus for the year ended December 31, 2024 (our “Annual Report”), our actual results could differ materially from the results described in or implied by these forward-looking statements. See also the section entitled “Cautionary Statement Regarding Forward-Looking Statements” in our Annual Report.” Certain amounts may not foot due to rounding, and all figures presented are in thousands.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references to the “Company,” “we,” “us,” and “our” in this section generally refer to Blaize, Inc. before the Business Combination (as defined below) or, from and after the Business Combination, Blaize Holdings Inc.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240" w:after="0"/>
        <w:jc w:val="left"/>
        <w:rPr>
          <w:rFonts w:ascii="Times New Roman" w:hAnsi="Times New Roman"/>
          <w:sz w:val="20"/>
        </w:rPr>
      </w:pPr>
      <w:r>
        <w:rPr>
          <w:rFonts w:ascii="Times New Roman" w:hAnsi="Times New Roman"/>
          <w:sz w:val="20"/>
        </w:rPr>
        <w:t xml:space="preserve">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 time insights and decision-making capabilities with substantial speed and efficiency.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 </w:t>
      </w:r>
    </w:p>
    <w:p>
      <w:pPr>
        <w:pStyle w:val="TextBody"/>
        <w:bidi w:val="0"/>
        <w:spacing w:before="360" w:after="0"/>
        <w:jc w:val="left"/>
        <w:rPr>
          <w:rFonts w:ascii="Times New Roman" w:hAnsi="Times New Roman"/>
          <w:b/>
          <w:sz w:val="20"/>
        </w:rPr>
      </w:pPr>
      <w:r>
        <w:rPr>
          <w:rFonts w:ascii="Times New Roman" w:hAnsi="Times New Roman"/>
          <w:b/>
          <w:sz w:val="20"/>
        </w:rPr>
        <w:t xml:space="preserve">Growth Strategy and Outlook </w:t>
      </w:r>
    </w:p>
    <w:p>
      <w:pPr>
        <w:pStyle w:val="TextBody"/>
        <w:bidi w:val="0"/>
        <w:spacing w:before="120" w:after="0"/>
        <w:jc w:val="left"/>
        <w:rPr>
          <w:rFonts w:ascii="Times New Roman" w:hAnsi="Times New Roman"/>
          <w:sz w:val="20"/>
        </w:rPr>
      </w:pPr>
      <w:r>
        <w:rPr>
          <w:rFonts w:ascii="Times New Roman" w:hAnsi="Times New Roman"/>
          <w:sz w:val="20"/>
        </w:rPr>
        <w:t xml:space="preserve">The key elements of our strategy for growth include focusing on the following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Scaling through expansion of our current products to reach deeper into our own industry’s verticals and expanding into adjacent verticals.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Growing our ecosystem of hardware manufacturers and independent software vendors specializing across a variety of industry verticals and form new partnerships with them to bring innovative turn-key solutions to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Continuing to enhance the features available in AI Studio in order to target a wider community of developers, including universities and other institutes of higher education.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market AI trends into the design of our next-generation SoC to further expand our total addressable market.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pipeline continues to expand, driven by strong and accelerating market interest in Edge AI, and ongoing engagement with high-quality prospective customers across key sectors, including, but not limited to, Smart Cities, defense, and the automotive industry.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Joint technology agreement with KAIST to produce new edge AI computing applications across biomedical, neuromorphic, photovoltaics, thermoelectrics and green hydrogen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 with alwaysAI to revolutionize real-time insights with AI Edge Computing and advanced computer vision applications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 with VSBLTY to develop new AI-enabled hybrid technology for large-scale global safety and security solutions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 with Turbo Federal to procure contracts to accelerate AI solutions for the U.S. Department of Defense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as amended on April 22, 2024, October 24, 2024 and November 21, 2024, the Company entered into a Merger Agreement with BurTech Merger Sub, Inc (“Merger Sub”), Blaize, Inc. (“Legacy Blaize”), and solely for the limited purposes of the transaction, Burkhan Capital LLC, a Delaware limited liability company and affiliate of BurTech (“Burkhan”), pursuant to which Merger Sub would merge with and into Legacy Blaize, with Legacy Blaize surviving the Business Combination as a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and around December 31, 2024, the Company and certain unaffiliated stockholders of the Company named therein (each, an “Investor” and collectively, the “Investors”), entered into agreements (each, a “Non-Redemption Agreement” and collectively, the “Non-Redemption Agreements”) pursuant to which the Investors agreed not to redeem (or validly rescind any redemption requests on) their shares of Common Stock (“Non-Redeemed Shares”) and, in exchange,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December 31, 2024 through January 13, 2025, BurTech Acquisition Corp. (“BurTech”), Legacy Blaize and certain subscribers (each, a “Subscriber” and collectively, the “Subscribers”) entered into subscription agreements (each, a “PIPE Subscription Agreement” and collectively, the “PIPE Subscription Agreements”) pursuant to which BurTech issued and sold to the Subscribers, immediately prior to the closing of the Business Combination, collectively, 1,540,300, shares of Class A Stock (the “PIPE Shares”) at a price per share equal to $10.00 (the “PIPE Investment”). </w:t>
      </w:r>
    </w:p>
    <w:p>
      <w:pPr>
        <w:pStyle w:val="TextBody"/>
        <w:bidi w:val="0"/>
        <w:spacing w:before="240" w:after="0"/>
        <w:jc w:val="left"/>
        <w:rPr>
          <w:rFonts w:ascii="Times New Roman" w:hAnsi="Times New Roman"/>
          <w:sz w:val="20"/>
        </w:rPr>
      </w:pPr>
      <w:r>
        <w:rPr>
          <w:rFonts w:ascii="Times New Roman" w:hAnsi="Times New Roman"/>
          <w:sz w:val="20"/>
        </w:rPr>
        <w:t xml:space="preserve">Immediately before the closing of the Business Combination and pursuant to the terms of the Merger Agreement, the Legacy Blaize convertible notes outstanding plus all accrued and unpaid interest, each of the issued and outstanding shares of redeemable convertible preferred stock, and all outstanding warrants, net exercised, were automatically converted into shares of the Company’s common stock. Upon the consummation of the Business Combination, each share of Blaize common stock issued and outstanding were canceled and converted into the right to receive shares of Blaize Holdings Class A common stock and each share of Merger Sub Capital Stock was converted into one share of Blaize Holdings Class A common stock, par value $0.0001. 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 (ii) each Company RSU granted was converted into (a) the right to receive a number of Blaize Holdings Earnout Shares and (b) a Blaize Holdings restricted stock unit (“RSU”), upon substantially the same terms and conditions as in effect with respect to the corresponding Blaize RSU.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consummation of the Business Combination and pursuant to the terms of the Merger Agreement, on January 13, 2025, BurTech, Merger Sub, Blaize and Burkhan confirmed to one another that all conditions to the closing set forth in Article IX of the Merger Agreement have been satisfied, and expressly waived the conditions that remained unsatisfied on such date through the execution of that certain Letter Agreement (the “Letter Agreement”), dated as of January 13, 2025, by and among BurTech, Merger Sub, Blaize, Burkhan, and BurTech’s sponsor, BurTech LP LLC, a Delaware corporation (the “ Sponsor”) which is attached hereto as Exhibit 10.15 to this Report, and which is incorporated herein by reference. Pursuant to the Letter Agreement, Blaize waived the conditions to Closing (1) under Section 9.3(d) of the Merger Agreement that BurTech have available proceeds of not less than $125,000,000 remaining upon the consummation of the Merger, and (2) under Section 9.3(f) of the Merger Agreement that the sum of the BurTech trust account plus the amount of immediately available funds received by BurTech pursuant to purchases of shares of Class A Stock on the terms provided in the Backstop Subscription Agreement (the “Backstop Agreement”), dated as of April 22, 2024, by and among BurTech, Blaize and the Sponsor, shall be no less than $30,000,000, to allow the parties to proceed to Closing. Pursuant to the Letter Agreement, BurTech waived the obligations of the Sponsor under the Backstop Agreement and, in lieu of such obligations, Burkhan entered into a PIPE Subscription Agreement to purchase an aggregate of 1,200,000 shares of Class A Stock at a purchase price of $10.00 per share for aggregate proceeds of $12,000,000 to the Company. Pursuant to the Letter Agreement, the Company agreed to register for resale within four (4) business days of the closing of the Business Combination, pursuant to the Securities Act, certain shares of the Sponsor and the Sponsor Group (as defined in the A&amp;R Registration Rights Agreement) on the same terms and subject to the same conditions as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Blaize and certain stockholders of Legacy Blaize entered into that certain Registration Rights Agreement (the “Ava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certain former Legacy Blaize stockholders entered into that certain Lock-Up Agreement (the “Stockholder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date that is 180 days after the Closing Date (the period from the date of the agreement until such date, the “Lock-Up Period”). At Closing, approximately 34.39% of the total issued and outstanding shares of Common Stock are subject to lock-up restrictions in connection with the Stockholder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certain former Legacy Blaize convertible noteholders entered into that certain Lock-Up Agreement (the “Noteholder Lock-Up Agreement”) pursuant to which they each agreed, subject to certain customary exceptions, not to (i) 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date that is 180 days after the Closing Date (the period from the date of the agreement until such date, the “Noteholder Lock-Up Period”).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upon closing of the Business Combination, 28,750,000 of public warrants and 898,250 of private warrants of BurTech that were outstanding immediately before to the Merger became warrants of Blaize Holdings.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Business Combination, holders of Blaize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3,750,000 Earnout Shares will be issued upon the occurrence of the first date during the Earnout Period on which the closing stock price of Blaize Holdings Class A Common Stock is greater than or equal to $12.50 per share for twenty (20) trading days within a thirty (30) consecutive trading day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3,750,000 Earnout Shares will be issued upon the occurrence of the first date during the Earnout Period on which the closing stock price of Blaize Holdings Class A Common Stock is greater than or equal to $15.00 per share for twenty (20) trading days within a thirty (30) consecutive trading day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3,750,000 Earnout Shares will be issued upon the occurrence of the first date during the Earnout Period on which the closing stock price of Blaize Holdings Class A Common Stock is greater than or equal to $17.50 per share for twenty (20) trading days within a thirty (30) consecutive trading day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3,750,000 Earnout Shares will be issued upon the occurrence of the first date during the Earnout Period on which the closing stock price of Blaize Holdings Class A Common Stock is greater than or equal to $20.00 per share for twenty (20) trading days within a thirty (30) consecutive trading 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pursuant to the Merger Agreement, Merger Sub merged with and into Legacy Blaize (the “Merger”), the separate corporate existence of Merger Sub ceased and Legacy Blaize survived as a wholly owned subsidiary of the Company (collectively, the Business Combination”). Following the closing of the Business Combination, we changed our name to Blaize Holdings, Inc. While we are the legal acquiror of Legacy Blaize in the Business Combination, Legacy Blaize is deemed to be the accounting acquiror, and the historical financial statements of Legacy Blaize became the historical financial statements of the Company upon the closing of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Capital Markets Advisor Fees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BurTech engaged Jefferies as capital markets advisor. Pursuant to the engagement, Jefferies is entitled to receive a fee of $4.5 million upon the Closing of the Business Combination, with the option for the Company to defer up to $1 million of this fee for up to 12 months post-closing. As of the date of this prospectus, no fees have been paid to Jefferies under its engagement.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of Blaize and through December 31, 2024, we have funded our operations primarily with cash flows from contributions from founders or other investors and other financing activities. We have incurred recurring losses and negative cash flows since our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b/>
          <w:sz w:val="20"/>
        </w:rPr>
        <w:t>The 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December 22, 2023, as amended on April 22, 2024, October 24, 2024 and November 21, 2024, we entered into the Merger Agreement with BurTech, Merger Sub, and, solely for the limited purposes of the transaction, Burkhan. On January 13, 2025, upon closing of the Business Combination, Merger Sub merged with and into Blaize, with Blaize surviving as the surviving company as a direct, wholly owned subsidiary of BurTech.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accounted for as a reverse recapitalization. Under this method of accounting, Blaize is treated as the accounting acquirer and BurTech is treated as the acquired company for financial statement reporting purposes. We are deemed as the accounting acquirer and the successor SEC registrant, meaning that our financial statements for previous periods will be disclosed in the registrant’s future periodic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As a consequence of the Business Combination, Blaize is the successor to an SEC-registered and Nasdaq- listed company, which requires Blaize to hire additional personnel and implement procedures and processes to address public company regulatory requirements and customary practices. We will incur additional annual expenses as a public company for, among other things, directors’ and officers’ liability insurance, director fees and additional internal and external accounting and legal and administrative resources, including increased audit and legal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Business Metrics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Pipeline </w:t>
      </w:r>
    </w:p>
    <w:p>
      <w:pPr>
        <w:pStyle w:val="TextBody"/>
        <w:bidi w:val="0"/>
        <w:spacing w:before="120" w:after="0"/>
        <w:jc w:val="left"/>
        <w:rPr>
          <w:rFonts w:ascii="Times New Roman" w:hAnsi="Times New Roman"/>
          <w:sz w:val="20"/>
        </w:rPr>
      </w:pPr>
      <w:r>
        <w:rPr>
          <w:rFonts w:ascii="Times New Roman" w:hAnsi="Times New Roman"/>
          <w:sz w:val="20"/>
        </w:rPr>
        <w:t xml:space="preserve">We have identified a potential $458 million of future business opportunities that could significantly accelerate growth through near-term customer implementations. Although Blaize is under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 </w:t>
      </w:r>
    </w:p>
    <w:p>
      <w:pPr>
        <w:pStyle w:val="TextBody"/>
        <w:bidi w:val="0"/>
        <w:spacing w:before="360" w:after="0"/>
        <w:jc w:val="left"/>
        <w:rPr>
          <w:rFonts w:ascii="Times New Roman" w:hAnsi="Times New Roman"/>
          <w:i/>
          <w:sz w:val="20"/>
        </w:rPr>
      </w:pPr>
      <w:r>
        <w:rPr>
          <w:rFonts w:ascii="Times New Roman" w:hAnsi="Times New Roman"/>
          <w:i/>
          <w:sz w:val="20"/>
        </w:rPr>
        <w:t xml:space="preserve">Proof of Concept Stage </w:t>
      </w:r>
    </w:p>
    <w:p>
      <w:pPr>
        <w:pStyle w:val="TextBody"/>
        <w:bidi w:val="0"/>
        <w:spacing w:before="120" w:after="0"/>
        <w:jc w:val="left"/>
        <w:rPr>
          <w:rFonts w:ascii="Times New Roman" w:hAnsi="Times New Roman"/>
          <w:sz w:val="20"/>
        </w:rPr>
      </w:pPr>
      <w:r>
        <w:rPr>
          <w:rFonts w:ascii="Times New Roman" w:hAnsi="Times New Roman"/>
          <w:sz w:val="20"/>
        </w:rPr>
        <w:t xml:space="preserve">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November 11, 2024, a total of 23 POCs have been initiated or are in progress with a potential customer. </w:t>
      </w:r>
    </w:p>
    <w:p>
      <w:pPr>
        <w:pStyle w:val="TextBody"/>
        <w:bidi w:val="0"/>
        <w:spacing w:before="360" w:after="0"/>
        <w:jc w:val="left"/>
        <w:rPr>
          <w:rFonts w:ascii="Times New Roman" w:hAnsi="Times New Roman"/>
          <w:i/>
          <w:sz w:val="20"/>
        </w:rPr>
      </w:pPr>
      <w:r>
        <w:rPr>
          <w:rFonts w:ascii="Times New Roman" w:hAnsi="Times New Roman"/>
          <w:i/>
          <w:sz w:val="20"/>
        </w:rPr>
        <w:t xml:space="preserve">Partners </w:t>
      </w:r>
    </w:p>
    <w:p>
      <w:pPr>
        <w:pStyle w:val="TextBody"/>
        <w:bidi w:val="0"/>
        <w:spacing w:before="120" w:after="0"/>
        <w:jc w:val="left"/>
        <w:rPr>
          <w:rFonts w:ascii="Times New Roman" w:hAnsi="Times New Roman"/>
          <w:sz w:val="20"/>
        </w:rPr>
      </w:pPr>
      <w:r>
        <w:rPr>
          <w:rFonts w:ascii="Times New Roman" w:hAnsi="Times New Roman"/>
          <w:sz w:val="20"/>
        </w:rPr>
        <w:t xml:space="preserve">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October 25, 2024, Blaize has a total of 30 Partners. </w:t>
      </w:r>
    </w:p>
    <w:p>
      <w:pPr>
        <w:pStyle w:val="TextBody"/>
        <w:bidi w:val="0"/>
        <w:spacing w:before="360" w:after="0"/>
        <w:jc w:val="left"/>
        <w:rPr>
          <w:rFonts w:ascii="Times New Roman" w:hAnsi="Times New Roman"/>
          <w:i/>
          <w:sz w:val="20"/>
        </w:rPr>
      </w:pPr>
      <w:r>
        <w:rPr>
          <w:rFonts w:ascii="Times New Roman" w:hAnsi="Times New Roman"/>
          <w:i/>
          <w:sz w:val="20"/>
        </w:rPr>
        <w:t xml:space="preserve">Design Wins </w:t>
      </w:r>
    </w:p>
    <w:p>
      <w:pPr>
        <w:pStyle w:val="TextBody"/>
        <w:bidi w:val="0"/>
        <w:spacing w:before="120" w:after="0"/>
        <w:jc w:val="left"/>
        <w:rPr>
          <w:rFonts w:ascii="Times New Roman" w:hAnsi="Times New Roman"/>
          <w:sz w:val="20"/>
        </w:rPr>
      </w:pPr>
      <w:r>
        <w:rPr>
          <w:rFonts w:ascii="Times New Roman" w:hAnsi="Times New Roman"/>
          <w:sz w:val="20"/>
        </w:rPr>
        <w:t xml:space="preserve">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November 11, 2024, a total of 11 Design Wins have been confirmed with a Partner or customer. </w:t>
      </w:r>
    </w:p>
    <w:p>
      <w:pPr>
        <w:pStyle w:val="TextBody"/>
        <w:bidi w:val="0"/>
        <w:spacing w:before="240" w:after="0"/>
        <w:jc w:val="left"/>
        <w:rPr>
          <w:rFonts w:ascii="Times New Roman" w:hAnsi="Times New Roman"/>
          <w:b/>
          <w:sz w:val="20"/>
        </w:rPr>
      </w:pPr>
      <w:r>
        <w:rPr>
          <w:rFonts w:ascii="Times New Roman" w:hAnsi="Times New Roman"/>
          <w:b/>
          <w:sz w:val="20"/>
        </w:rPr>
        <w:t xml:space="preserve">Key Financial Definitions/Components of Results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derive revenue through a combination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Engineering services revenue, this involves providing customized design services to our customers, tailored to their specific requirements.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Hardware revenue — this encompasses the sale of our semiconductor products through various supply agreements.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cost of revenue (exclusive of depreciation and amortization) also includes direct labor costs associated with the servicing of our engineering services revenue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Selling, general and administrative expense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primarily consists of personnel-related expenses for our finance human resources, information technology, and legal organizations. These expenses also include non- personnel costs, such as legal, audit, accounting services, advertising expenses, other professional fees as well as certain tax, corporate software licenses, and insurance-related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consists of depreciation and amortization on long-lived assets such as computer equipment, capitalized software licenses, furniture and fixtures, leasehold improvements, office equipment and vehicles. </w:t>
      </w:r>
    </w:p>
    <w:p>
      <w:pPr>
        <w:pStyle w:val="TextBody"/>
        <w:bidi w:val="0"/>
        <w:spacing w:before="360" w:after="0"/>
        <w:jc w:val="left"/>
        <w:rPr>
          <w:rFonts w:ascii="Times New Roman" w:hAnsi="Times New Roman"/>
          <w:i/>
          <w:sz w:val="20"/>
        </w:rPr>
      </w:pPr>
      <w:r>
        <w:rPr>
          <w:rFonts w:ascii="Times New Roman" w:hAnsi="Times New Roman"/>
          <w:i/>
          <w:sz w:val="20"/>
        </w:rPr>
        <w:t xml:space="preserve">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Loss on purchase commitments consists of contractual obligations to procure inventory from our third-party contract manufacturer and other suppliers that are in excess of expected demand and where the value of these purchase commitments may not be recoverable.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primarily consist of legal fees, consultant fees and other direct costs incurred to explore prior potential merger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set forth the results of our operations for the periods presented, as well as the changes between periods. The period-to-period comparison of financial results is not necessarily indicative of future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Year ended December 31, 2024 compared to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Blaize’s consolidated statements of operations data for the years ended December 31, 2024 and 2023, respectively. </w:t>
      </w:r>
    </w:p>
    <w:p>
      <w:pPr>
        <w:pStyle w:val="TextBody"/>
        <w:bidi w:val="0"/>
        <w:spacing w:before="0" w:after="0"/>
        <w:jc w:val="left"/>
        <w:rPr/>
      </w:pPr>
      <w:r>
        <w:rPr/>
        <w:t> </w:t>
      </w:r>
    </w:p>
    <w:tbl>
      <w:tblPr>
        <w:tblW w:w="9915" w:type="dxa"/>
        <w:jc w:val="left"/>
        <w:tblInd w:w="0" w:type="dxa"/>
        <w:tblLayout w:type="fixed"/>
        <w:tblCellMar>
          <w:top w:w="0" w:type="dxa"/>
          <w:left w:w="0" w:type="dxa"/>
          <w:bottom w:w="0" w:type="dxa"/>
          <w:right w:w="0" w:type="dxa"/>
        </w:tblCellMar>
      </w:tblPr>
      <w:tblGrid>
        <w:gridCol w:w="4955"/>
        <w:gridCol w:w="120"/>
        <w:gridCol w:w="140"/>
        <w:gridCol w:w="755"/>
        <w:gridCol w:w="155"/>
        <w:gridCol w:w="60"/>
        <w:gridCol w:w="140"/>
        <w:gridCol w:w="755"/>
        <w:gridCol w:w="155"/>
        <w:gridCol w:w="60"/>
        <w:gridCol w:w="140"/>
        <w:gridCol w:w="755"/>
        <w:gridCol w:w="155"/>
        <w:gridCol w:w="60"/>
        <w:gridCol w:w="133"/>
        <w:gridCol w:w="1012"/>
        <w:gridCol w:w="365"/>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b/>
              </w:rPr>
            </w:pPr>
            <w:r>
              <w:rPr>
                <w:b/>
              </w:rPr>
              <w:t>Year Ended December 31, (in thousands)</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Dollar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Percentage</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1,525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3,840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(60</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81</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(2,302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(60</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(84</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39</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17,303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5,110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30</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(57</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(100</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107</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42,384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6,805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16</w:t>
            </w:r>
          </w:p>
        </w:tc>
        <w:tc>
          <w:tcPr>
            <w:tcW w:w="36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(47,635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(38,528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24</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(85</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846</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foreign exchange transactions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556</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5</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(5,701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4,756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503</w:t>
            </w:r>
          </w:p>
        </w:tc>
        <w:tc>
          <w:tcPr>
            <w:tcW w:w="36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(49,659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(35,147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(71</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(62,147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(88,187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(26,040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(30</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59</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(87,589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(30</w:t>
            </w:r>
          </w:p>
        </w:tc>
        <w:tc>
          <w:tcPr>
            <w:tcW w:w="36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decreased 60% to $1.6 million for the year ended December 31, 2024 compared to approximately $3.9 million for the year ended 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(excluding depreciation and amortization) for the year ended December 31, 2024 reflects a decrease of $3.1 million, or 84%, compared to the year ended December 31, 2023. This decrease was primarily driven by a $2.9 million decrease in charges for excess inventory and a $0.4 million decrease in direct labor costs commensurate with the decrease in engineering services revenue, partially offset by a $0.1 million increase in costs for inventory carrying costs with an outside supplier and a $0.1 reduction in other miscellaneous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 </w:t>
      </w:r>
    </w:p>
    <w:p>
      <w:pPr>
        <w:pStyle w:val="TextBody"/>
        <w:bidi w:val="0"/>
        <w:spacing w:before="360" w:after="0"/>
        <w:jc w:val="left"/>
        <w:rPr>
          <w:rFonts w:ascii="Times New Roman" w:hAnsi="Times New Roman"/>
          <w:i/>
          <w:sz w:val="20"/>
        </w:rPr>
      </w:pPr>
      <w:r>
        <w:rPr>
          <w:rFonts w:ascii="Times New Roman" w:hAnsi="Times New Roman"/>
          <w:i/>
          <w:sz w:val="20"/>
        </w:rPr>
        <w:t xml:space="preserve">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record a loss on purchase commitments for the year ended December 31, 2024 as compared to $1.2 million for the year ended December 31, 2023 as a result of not having any additional purchase commitments requiring a loss on purchase commitment accrual. </w:t>
      </w:r>
    </w:p>
    <w:p>
      <w:pPr>
        <w:pStyle w:val="TextBody"/>
        <w:bidi w:val="0"/>
        <w:spacing w:before="360" w:after="0"/>
        <w:jc w:val="left"/>
        <w:rPr>
          <w:rFonts w:ascii="Times New Roman" w:hAnsi="Times New Roman"/>
          <w:i/>
          <w:sz w:val="20"/>
        </w:rPr>
      </w:pPr>
      <w:r>
        <w:rPr>
          <w:rFonts w:ascii="Times New Roman" w:hAnsi="Times New Roman"/>
          <w:i/>
          <w:sz w:val="20"/>
        </w:rPr>
        <w:t xml:space="preserve">Total other expense </w:t>
      </w:r>
    </w:p>
    <w:p>
      <w:pPr>
        <w:pStyle w:val="TextBody"/>
        <w:bidi w:val="0"/>
        <w:spacing w:before="120" w:after="0"/>
        <w:jc w:val="left"/>
        <w:rPr>
          <w:rFonts w:ascii="Times New Roman" w:hAnsi="Times New Roman"/>
          <w:sz w:val="20"/>
        </w:rPr>
      </w:pPr>
      <w:r>
        <w:rPr>
          <w:rFonts w:ascii="Times New Roman" w:hAnsi="Times New Roman"/>
          <w:sz w:val="20"/>
        </w:rPr>
        <w:t xml:space="preserve">Total other expense for the years ended December 31, 2024 and 2023 amounted to a net expense of $14.5 million and $49.7 million, respectively, for a decrease of net expense period over period of $35.1 million.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 for the year ended December 31, 2024 was primarily comprised of the total net change in fair value of our convertible notes and warrant liabilities of $15.7 million, additional expenses of $0.7 million, offset by other income from investments of $1.9 million.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 the Pay-to-Play equity financing charge and the valuation allowance which is driven by the deferred tax assets arising from capitalized research and experimental expenditures and the net operating losses. </w:t>
      </w:r>
    </w:p>
    <w:p>
      <w:pPr>
        <w:pStyle w:val="TextBody"/>
        <w:bidi w:val="0"/>
        <w:spacing w:before="360" w:after="0"/>
        <w:jc w:val="left"/>
        <w:rPr>
          <w:rFonts w:ascii="Times New Roman" w:hAnsi="Times New Roman"/>
          <w:i/>
          <w:sz w:val="20"/>
        </w:rPr>
      </w:pPr>
      <w:r>
        <w:rPr>
          <w:rFonts w:ascii="Times New Roman" w:hAnsi="Times New Roman"/>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Blaize’s consolidated financial statements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of Blaize and through December 31, 2024, we have funded our operations primarily with cash flows from contributions from founders or other investors and other financing activities. We have incurred recurring losses and negative cash flows since its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While we are currently taking actions to source cash through a combination of the issuances of additional debt financing and public or private equity offerings or other means, we cannot be assured that we will be able to enter into any such contracts or raise capital on terms acceptable to the Company.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consolidated financial statements were available to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Financings </w:t>
      </w:r>
    </w:p>
    <w:p>
      <w:pPr>
        <w:pStyle w:val="TextBody"/>
        <w:bidi w:val="0"/>
        <w:spacing w:before="120" w:after="0"/>
        <w:jc w:val="left"/>
        <w:rPr>
          <w:rFonts w:ascii="Times New Roman" w:hAnsi="Times New Roman"/>
          <w:sz w:val="20"/>
        </w:rPr>
      </w:pPr>
      <w:r>
        <w:rPr>
          <w:rFonts w:ascii="Times New Roman" w:hAnsi="Times New Roman"/>
          <w:sz w:val="20"/>
        </w:rPr>
        <w:t xml:space="preserve">We were a party to the following debt financing agreements during the years ended December 31, 2024 and 2023: </w:t>
      </w:r>
    </w:p>
    <w:p>
      <w:pPr>
        <w:pStyle w:val="TextBody"/>
        <w:bidi w:val="0"/>
        <w:spacing w:before="120" w:after="0"/>
        <w:jc w:val="left"/>
        <w:rPr>
          <w:rFonts w:ascii="Times New Roman" w:hAnsi="Times New Roman"/>
          <w:i/>
          <w:sz w:val="20"/>
        </w:rPr>
      </w:pPr>
      <w:r>
        <w:rPr>
          <w:rFonts w:ascii="Times New Roman" w:hAnsi="Times New Roman"/>
          <w:i/>
          <w:sz w:val="20"/>
        </w:rPr>
        <w:t xml:space="preserve">Convertible Notes Under the July 2023 Note Purchase Agreement (as amended and restated, the “2023-2024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July 2023, we entered into a Note Purchase Agreement, as amended on August 1, 2023 and as amended and restated on April 22, 2024 (the “2023 NPA”). During the year ended December 31, 2024, we issued approximately a total of $110.7 million in convertible notes under the 2023 NPA, of which $11.5 million in convertible notes under the 2023 NPA to the Sponsor. During the year ended December 31, 2023, we issued approximately $12.3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2023-2024 Convertible Notes provides that the notes may be converted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therein), Maturity Conversion (as defined therein), SPAC Conversion (as defined therein) or repayment has not occurred wherein the Next Equity Financing, defined as the next sale of Company equity securities or other securities issued in connection with Senior Indebtedness, following the date of the 2023-2024 Convertible Notes for the purpose of raising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 diluted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Blaize’s existing certificate of incorporation), the 2023-2024 Convertible Notes shall be repaid as follows at the closing of the Corporate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before July 3, 2023, in respect of a Corporate Transaction that occurs on or before July 3, 2024, an amount equal to the then accrued but unpaid interest plus three (3) times the then outstanding principal.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before July 3, 2023, in respect of a Corporate Transaction that occurs following July 3, 2024, an amount equal to the then accrued but unpaid interest plus five (5) times the then outstanding principal.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note after July 3, 2023, in respect of any such Corporate Transaction, an amount equal to the then accrued but unpaid interest plus one and a half (1.5) times the then outstanding principal.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Next Equity Financing Conversion, the per share issue price by new money investors for the equity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Maturity Conversion, a per share price mutually agreed upon by the Company and the Requisite Noteholders;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SPAC Conversion, $11.50 per share and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Corporate Transaction, the Corporate Transaction Exercise Price, as defined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expiration date of the warrants was amended in April 2022 from 10 years to 5 years from the original date of issuance.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as provided by the terms of the 2023-2024 Convertible Notes, the outstanding notes were converted, at the option of the holders, to common stock upon the execution of the Merger. </w:t>
      </w:r>
    </w:p>
    <w:p>
      <w:pPr>
        <w:pStyle w:val="TextBody"/>
        <w:bidi w:val="0"/>
        <w:spacing w:before="360" w:after="0"/>
        <w:jc w:val="left"/>
        <w:rPr>
          <w:rFonts w:ascii="Times New Roman" w:hAnsi="Times New Roman"/>
          <w:i/>
          <w:sz w:val="20"/>
        </w:rPr>
      </w:pPr>
      <w:r>
        <w:rPr>
          <w:rFonts w:ascii="Times New Roman" w:hAnsi="Times New Roman"/>
          <w:i/>
          <w:sz w:val="20"/>
          <w:u w:val="single"/>
        </w:rPr>
        <w:t>Demand Notes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 </w:t>
      </w:r>
    </w:p>
    <w:p>
      <w:pPr>
        <w:pStyle w:val="TextBody"/>
        <w:bidi w:val="0"/>
        <w:spacing w:before="360" w:after="0"/>
        <w:jc w:val="left"/>
        <w:rPr>
          <w:rFonts w:ascii="Times New Roman" w:hAnsi="Times New Roman"/>
          <w:i/>
          <w:sz w:val="20"/>
        </w:rPr>
      </w:pPr>
      <w:r>
        <w:rPr>
          <w:rFonts w:ascii="Times New Roman" w:hAnsi="Times New Roman"/>
          <w:i/>
          <w:sz w:val="20"/>
          <w:u w:val="single"/>
        </w:rPr>
        <w:t>Pay-to-Play Notes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 </w:t>
      </w:r>
    </w:p>
    <w:p>
      <w:pPr>
        <w:pStyle w:val="TextBody"/>
        <w:bidi w:val="0"/>
        <w:spacing w:before="240" w:after="0"/>
        <w:jc w:val="left"/>
        <w:rPr>
          <w:rFonts w:ascii="Times New Roman" w:hAnsi="Times New Roman"/>
          <w:sz w:val="20"/>
        </w:rPr>
      </w:pPr>
      <w:r>
        <w:rPr>
          <w:rFonts w:ascii="Times New Roman" w:hAnsi="Times New Roman"/>
          <w:sz w:val="20"/>
        </w:rPr>
        <w:t xml:space="preserve">The P2P NPA provides that the P2P Notes may be converted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 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 rata portion.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as provided by the terms of the P2P notes, the outstanding P2P Notes were converted, at the option of the holders, to common stock upon the execution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Financings </w:t>
      </w:r>
    </w:p>
    <w:p>
      <w:pPr>
        <w:pStyle w:val="TextBody"/>
        <w:bidi w:val="0"/>
        <w:spacing w:before="120" w:after="0"/>
        <w:jc w:val="left"/>
        <w:rPr>
          <w:rFonts w:ascii="Times New Roman" w:hAnsi="Times New Roman"/>
          <w:sz w:val="20"/>
        </w:rPr>
      </w:pPr>
      <w:r>
        <w:rPr>
          <w:rFonts w:ascii="Times New Roman" w:hAnsi="Times New Roman"/>
          <w:sz w:val="20"/>
        </w:rPr>
        <w:t xml:space="preserve">We were a party to the following equity financing agreements during the years ended December 31, 2023 and 2022: </w:t>
      </w:r>
    </w:p>
    <w:p>
      <w:pPr>
        <w:pStyle w:val="TextBody"/>
        <w:bidi w:val="0"/>
        <w:spacing w:before="360" w:after="0"/>
        <w:jc w:val="left"/>
        <w:rPr>
          <w:rFonts w:ascii="Times New Roman" w:hAnsi="Times New Roman"/>
          <w:i/>
          <w:sz w:val="20"/>
        </w:rPr>
      </w:pPr>
      <w:r>
        <w:rPr>
          <w:rFonts w:ascii="Times New Roman" w:hAnsi="Times New Roman"/>
          <w:i/>
          <w:sz w:val="20"/>
          <w:u w:val="single"/>
        </w:rPr>
        <w:t>Series D, D-1 and D-2 redeemable convertible preferred stock</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with the conversion of $32.0 million in existing Series D-2 Notes and incremental cash proceeds of $5.6 million, we issued a total of 7,561,820 Series D-2 redeemable convertible preferred stock.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Series D-2 redeemable convertible preferred stock, we amended our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as provided by the terms of the redeemable preferred stock, the outstanding shares were converted, at the option of the holders, to common stock upon the execution of the Merger. </w:t>
      </w:r>
    </w:p>
    <w:p>
      <w:pPr>
        <w:pStyle w:val="TextBody"/>
        <w:bidi w:val="0"/>
        <w:spacing w:before="360" w:after="0"/>
        <w:jc w:val="left"/>
        <w:rPr>
          <w:rFonts w:ascii="Times New Roman" w:hAnsi="Times New Roman"/>
          <w:i/>
          <w:sz w:val="20"/>
        </w:rPr>
      </w:pPr>
      <w:r>
        <w:rPr>
          <w:rFonts w:ascii="Times New Roman" w:hAnsi="Times New Roman"/>
          <w:i/>
          <w:sz w:val="20"/>
          <w:u w:val="single"/>
        </w:rPr>
        <w:t>Shadow Preferred stock</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 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 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 (10) 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as provided by the terms of the redeemable preferred stock, the outstanding shares were converted, at the option of the holders, to common stock upon the execution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December 31, 2023, we had outstanding purchase orders and contractual obligations totaling $0.2 million and $4.4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December 31, 2024, the liability balance of our accrued loss on accrued purchase commitments equaled $0.6 million. As of December 31, 2023 the liability balance of our accrued losses on accrued purchase commitments equaled $3.6 million. The accrued losses on accrued purchase commitments as of December 31, 2024 and 2023 are included in the purchase orders and contractual obligations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flows for the years ended December 31, 2024 and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from operating, investing and financing activities for the years ended December 31, 2024 and 2023: </w:t>
      </w:r>
    </w:p>
    <w:p>
      <w:pPr>
        <w:pStyle w:val="TextBody"/>
        <w:bidi w:val="0"/>
        <w:spacing w:before="0" w:after="0"/>
        <w:jc w:val="left"/>
        <w:rPr/>
      </w:pPr>
      <w:r>
        <w:rPr/>
        <w:t> </w:t>
      </w:r>
    </w:p>
    <w:tbl>
      <w:tblPr>
        <w:tblW w:w="5975" w:type="dxa"/>
        <w:jc w:val="left"/>
        <w:tblInd w:w="0" w:type="dxa"/>
        <w:tblLayout w:type="fixed"/>
        <w:tblCellMar>
          <w:top w:w="0" w:type="dxa"/>
          <w:left w:w="0" w:type="dxa"/>
          <w:bottom w:w="0" w:type="dxa"/>
          <w:right w:w="0" w:type="dxa"/>
        </w:tblCellMar>
      </w:tblPr>
      <w:tblGrid>
        <w:gridCol w:w="3380"/>
        <w:gridCol w:w="120"/>
        <w:gridCol w:w="140"/>
        <w:gridCol w:w="800"/>
        <w:gridCol w:w="155"/>
        <w:gridCol w:w="120"/>
        <w:gridCol w:w="140"/>
        <w:gridCol w:w="950"/>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b/>
              </w:rPr>
            </w:pPr>
            <w:r>
              <w:rPr>
                <w:b/>
              </w:rPr>
              <w:t>For the years ended</w:t>
            </w:r>
          </w:p>
        </w:tc>
        <w:tc>
          <w:tcPr>
            <w:tcW w:w="120" w:type="dxa"/>
            <w:tcBorders/>
            <w:vAlign w:val="center"/>
          </w:tcPr>
          <w:p>
            <w:pPr>
              <w:pStyle w:val="TableContents"/>
              <w:bidi w:val="0"/>
              <w:spacing w:before="0" w:after="283"/>
              <w:jc w:val="left"/>
              <w:rPr/>
            </w:pPr>
            <w:r>
              <w:rPr/>
              <w:t>  </w:t>
            </w:r>
          </w:p>
        </w:tc>
        <w:tc>
          <w:tcPr>
            <w:tcW w:w="23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(53,532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$(27,955)</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(220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101,709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26,475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Cash flows used in 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 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 $13.4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2024 and 2023, we used $ 0.9 million and $0.2 million of cash to purchase property and equipment, respectively. The increase of $0.7 million during the year ended December 31, 2024 was primarily due to the licensing of 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 </w:t>
      </w:r>
    </w:p>
    <w:p>
      <w:pPr>
        <w:pStyle w:val="TextBody"/>
        <w:bidi w:val="0"/>
        <w:spacing w:before="360" w:after="0"/>
        <w:jc w:val="left"/>
        <w:rPr>
          <w:rFonts w:ascii="Times New Roman" w:hAnsi="Times New Roman"/>
          <w:b/>
          <w:sz w:val="20"/>
        </w:rPr>
      </w:pPr>
      <w:r>
        <w:rPr>
          <w:rFonts w:ascii="Times New Roman" w:hAnsi="Times New Roman"/>
          <w:b/>
          <w:sz w:val="20"/>
        </w:rPr>
        <w:t xml:space="preserve">Off balance-sheet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 </w:t>
      </w:r>
    </w:p>
    <w:p>
      <w:pPr>
        <w:pStyle w:val="TextBody"/>
        <w:bidi w:val="0"/>
        <w:spacing w:before="240" w:after="0"/>
        <w:jc w:val="left"/>
        <w:rPr>
          <w:rFonts w:ascii="Times New Roman" w:hAnsi="Times New Roman"/>
          <w:sz w:val="20"/>
        </w:rPr>
      </w:pPr>
      <w:r>
        <w:rPr>
          <w:rFonts w:ascii="Times New Roman" w:hAnsi="Times New Roman"/>
          <w:sz w:val="20"/>
        </w:rPr>
        <w:t xml:space="preserve">Currently we do not engage in off-balance sheet financing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t>
      </w:r>
    </w:p>
    <w:p>
      <w:pPr>
        <w:pStyle w:val="TextBody"/>
        <w:bidi w:val="0"/>
        <w:spacing w:before="240" w:after="0"/>
        <w:jc w:val="left"/>
        <w:rPr>
          <w:rFonts w:ascii="Times New Roman" w:hAnsi="Times New Roman"/>
          <w:sz w:val="20"/>
        </w:rPr>
      </w:pPr>
      <w:r>
        <w:rPr>
          <w:rFonts w:ascii="Times New Roman" w:hAnsi="Times New Roman"/>
          <w:sz w:val="20"/>
        </w:rPr>
        <w:t xml:space="preserve">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expose us to a variety of market risks. We monitor and manage these financial exposures as an integral part of our overall risk management program.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Exchange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foreign currency exchange rate risk by virtue of our international operations. This risk arises because we use different currencies to recognize revenue and pay operating expenses. We derived 21.8% and less than 1% of our revenue for the years ended December 31,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 </w:t>
      </w:r>
    </w:p>
    <w:p>
      <w:pPr>
        <w:pStyle w:val="TextBody"/>
        <w:bidi w:val="0"/>
        <w:spacing w:before="240" w:after="0"/>
        <w:jc w:val="left"/>
        <w:rPr>
          <w:rFonts w:ascii="Times New Roman" w:hAnsi="Times New Roman"/>
          <w:sz w:val="20"/>
        </w:rPr>
      </w:pPr>
      <w:r>
        <w:rPr>
          <w:rFonts w:ascii="Times New Roman" w:hAnsi="Times New Roman"/>
          <w:sz w:val="20"/>
        </w:rPr>
        <w:t xml:space="preserve">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 </w:t>
      </w:r>
    </w:p>
    <w:p>
      <w:pPr>
        <w:pStyle w:val="TextBody"/>
        <w:bidi w:val="0"/>
        <w:spacing w:before="240" w:after="0"/>
        <w:jc w:val="left"/>
        <w:rPr>
          <w:rFonts w:ascii="Times New Roman" w:hAnsi="Times New Roman"/>
          <w:sz w:val="20"/>
        </w:rPr>
      </w:pPr>
      <w:r>
        <w:rPr>
          <w:rFonts w:ascii="Times New Roman" w:hAnsi="Times New Roman"/>
          <w:sz w:val="20"/>
        </w:rPr>
        <w:t xml:space="preserve">Changes in exchange rates between the applicable foreign currency and the U.S. dollar will affect the remeasurement of our foreign subsidiaries’ financial results into U.S. dollars for purposes of reporting our consolidated financial results. For the year ended December 31, 2024, the loss on foreign exchange transactions was $0.2 million. For the year ended December 31, 2023, the gain on foreign exchange transactions was not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maintain cash in checking and savings accounts. We investment securities in U.S. government treasury securities, U.S. government money market funds, and mutual funds. We do not enter into investments for trading or speculative purposes and have not used any derivative financial instruments to manage our interest rate risk exposure.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Our cash accounts in financial institutions may at times exceed the Federal Depository Insurance coverage of $250,000.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one customer accounted for approximately 98% of our total accounts receivable. As of December 31, 2023, one customer, a related party, accounted for approximately 98% of our total accounts receivable. </w:t>
      </w:r>
    </w:p>
    <w:p>
      <w:pPr>
        <w:pStyle w:val="TextBody"/>
        <w:bidi w:val="0"/>
        <w:spacing w:before="24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our revenue. For the year ended December 31, 2024, two customers, both related parties, accounted for approximately 77% and 21% of our revenue. For the year ended December 31, 2023, one customer, a related party, accounted for nearly 100% of our revenue. </w:t>
      </w:r>
    </w:p>
    <w:p>
      <w:pPr>
        <w:pStyle w:val="TextBody"/>
        <w:bidi w:val="0"/>
        <w:spacing w:before="360" w:after="0"/>
        <w:jc w:val="left"/>
        <w:rPr>
          <w:rFonts w:ascii="Times New Roman" w:hAnsi="Times New Roman"/>
          <w:i/>
          <w:sz w:val="20"/>
        </w:rPr>
      </w:pPr>
      <w:r>
        <w:rPr>
          <w:rFonts w:ascii="Times New Roman" w:hAnsi="Times New Roman"/>
          <w:i/>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generally accepted accounting principles in the United States of America (“US GAAP”) requires us to make estimates and assumptions that affect the reported amount of assets and liabilities, the disclosure of contingent assets and liabilities and the reported amounts of revenues and expenses during the reported periods. The more critical accounting estimates include estimates related to revenue, the valuation of accounts receivable, research and development costs, the net realizable value of inventories, impairment of long-lived assets, the fair value of convertible notes and related financing charges, the fair value of warrant liabilities, the valuation of stock-based compensation awards and the accounting for income taxes. These estimates and assumptions are based on historical experience and on various other factors which we believe to be reasonable under the circumstances. We engage, as needed, third-party valuation specialists to assist with estimates related to the valuation of our convertible notes and related financing charges, the valuation of warrant liabilities and the valuation assumptions underlying our stock-based compensation. </w:t>
      </w:r>
    </w:p>
    <w:p>
      <w:pPr>
        <w:pStyle w:val="TextBody"/>
        <w:bidi w:val="0"/>
        <w:spacing w:before="360" w:after="0"/>
        <w:jc w:val="left"/>
        <w:rPr>
          <w:rFonts w:ascii="Times New Roman" w:hAnsi="Times New Roman"/>
          <w:sz w:val="20"/>
        </w:rPr>
      </w:pPr>
      <w:r>
        <w:rPr>
          <w:rFonts w:ascii="Times New Roman" w:hAnsi="Times New Roman"/>
          <w:i/>
          <w:sz w:val="20"/>
        </w:rPr>
        <w:t>Revenue Recognition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derive revenue from product sales, software license and development arrangements, joint marketing arrangements and cloud services. We recognize revenue under ASC Topic 606, </w:t>
      </w:r>
      <w:r>
        <w:rPr>
          <w:rFonts w:ascii="Times New Roman" w:hAnsi="Times New Roman"/>
          <w:i/>
          <w:sz w:val="20"/>
        </w:rPr>
        <w:t>Revenue from Contracts with</w:t>
      </w:r>
      <w:r>
        <w:rPr>
          <w:rFonts w:ascii="Times New Roman" w:hAnsi="Times New Roman"/>
          <w:sz w:val="20"/>
        </w:rPr>
        <w:t xml:space="preserve"> </w:t>
      </w:r>
      <w:r>
        <w:rPr>
          <w:rFonts w:ascii="Times New Roman" w:hAnsi="Times New Roman"/>
          <w:i/>
          <w:sz w:val="20"/>
        </w:rPr>
        <w:t xml:space="preserve">Customers </w:t>
      </w:r>
      <w:r>
        <w:rPr>
          <w:rFonts w:ascii="Times New Roman" w:hAnsi="Times New Roman"/>
          <w:sz w:val="20"/>
        </w:rPr>
        <w:t xml:space="preserve">(ASC 606), in which it determines revenue recognition through the following steps: </w:t>
      </w:r>
    </w:p>
    <w:p>
      <w:pPr>
        <w:pStyle w:val="TextBody"/>
        <w:bidi w:val="0"/>
        <w:spacing w:before="360" w:after="0"/>
        <w:jc w:val="left"/>
        <w:rPr>
          <w:rFonts w:ascii="Times New Roman" w:hAnsi="Times New Roman"/>
          <w:sz w:val="20"/>
        </w:rPr>
      </w:pPr>
      <w:r>
        <w:rPr>
          <w:rFonts w:ascii="Times New Roman" w:hAnsi="Times New Roman"/>
          <w:i/>
          <w:sz w:val="20"/>
        </w:rPr>
        <w:t>Step 1: Identify the contract with the customer.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consider the terms and conditions of the engagement in identifying the contracts. We determine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sz w:val="20"/>
        </w:rPr>
      </w:pPr>
      <w:r>
        <w:rPr>
          <w:rFonts w:ascii="Times New Roman" w:hAnsi="Times New Roman"/>
          <w:i/>
          <w:sz w:val="20"/>
        </w:rPr>
        <w:t>Step 2: Identify the performance obligations in the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we and are distinct in the context of the contract. </w:t>
      </w:r>
    </w:p>
    <w:p>
      <w:pPr>
        <w:pStyle w:val="TextBody"/>
        <w:bidi w:val="0"/>
        <w:spacing w:before="360" w:after="0"/>
        <w:jc w:val="left"/>
        <w:rPr>
          <w:rFonts w:ascii="Times New Roman" w:hAnsi="Times New Roman"/>
          <w:sz w:val="20"/>
        </w:rPr>
      </w:pPr>
      <w:r>
        <w:rPr>
          <w:rFonts w:ascii="Times New Roman" w:hAnsi="Times New Roman"/>
          <w:i/>
          <w:sz w:val="20"/>
        </w:rPr>
        <w:t>Step 3: Determine the transaction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Step 4: Allocate the transaction price to the performance obligations in the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360" w:after="0"/>
        <w:jc w:val="left"/>
        <w:rPr>
          <w:rFonts w:ascii="Times New Roman" w:hAnsi="Times New Roman"/>
          <w:sz w:val="20"/>
        </w:rPr>
      </w:pPr>
      <w:r>
        <w:rPr>
          <w:rFonts w:ascii="Times New Roman" w:hAnsi="Times New Roman"/>
          <w:i/>
          <w:sz w:val="20"/>
        </w:rPr>
        <w:t>Step 5: Recognize revenue when we satisfy a performance obligation.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we provide services over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Revenue from hardware sales is recognized upon transfer of control of products to customers in an amount that reflects the consideration we expect to receive in exchange for the hardware. We offer unspecified upgrades and support on certain products; however, the related revenue has historically not been significant. Our software license and development arrangements entail revenue from the licensing of our intellectual property (“IP”) and also include nonrecurring engineering development services to configure our IP and hardware to a customer’s needs. For each contract, we consider the promise to deliver a license that grants the customer the right to use the IP, as well as any professional services provided under the contract, as distinct performance obligations. We recognize licensing revenue from such arrangements over the term of the arrangements and recognize professional services over time as the services are provided. We measure progress to completion based on actual costs incurred to date as a percentage of the estimated total cost required to complete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timing of our revenue recognition may differ from the timing of payment by its customers. An unbilled receivable is recorded when revenue is recognized prior to invoicing and we have an unconditional right to payment. Alternatively, when payment precedes the provision of the related services, we record deferred revenue until the performance obligations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We defer incremental costs of obtaining a customer contract and amortize the deferred costs over the period that the related revenue is recognized. We had no material incremental costs to obtain customer contracts in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account for shipping and handling fees as fulfillment activities and not separate performance obligations. Accordingly, these fees are reflected in revenue and the related fulfillment costs are accrued as cost of goods sold as the related fulfillment costs incurred. We offer a standard assurance type warranty to customers for hardware sales. </w:t>
      </w:r>
    </w:p>
    <w:p>
      <w:pPr>
        <w:pStyle w:val="TextBody"/>
        <w:bidi w:val="0"/>
        <w:spacing w:before="360" w:after="0"/>
        <w:jc w:val="left"/>
        <w:rPr>
          <w:rFonts w:ascii="Times New Roman" w:hAnsi="Times New Roman"/>
          <w:sz w:val="20"/>
        </w:rPr>
      </w:pPr>
      <w:r>
        <w:rPr>
          <w:rFonts w:ascii="Times New Roman" w:hAnsi="Times New Roman"/>
          <w:i/>
          <w:sz w:val="20"/>
        </w:rPr>
        <w:t>Research and Development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Costs related to our research and development (“R&amp;D”) activities are expensed as incurred. R&amp;D expense consists primarily of personnel costs for our R&amp;D activities. R&amp;D expense also includes costs associated with the design and development of our application-specific integrated circuit (“ASIC”) and IP solutions, such as third-party foundry costs, third-party computer-aided design tools and software licenses, third-party IP licenses, reference design development, and allocated costs, such as facilities and information technology costs. </w:t>
      </w:r>
    </w:p>
    <w:p>
      <w:pPr>
        <w:pStyle w:val="TextBody"/>
        <w:bidi w:val="0"/>
        <w:spacing w:before="360" w:after="0"/>
        <w:jc w:val="left"/>
        <w:rPr>
          <w:rFonts w:ascii="Times New Roman" w:hAnsi="Times New Roman"/>
          <w:sz w:val="20"/>
        </w:rPr>
      </w:pPr>
      <w:r>
        <w:rPr>
          <w:rFonts w:ascii="Times New Roman" w:hAnsi="Times New Roman"/>
          <w:i/>
          <w:sz w:val="20"/>
        </w:rPr>
        <w:t>Accounts Receivable,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net is recorded at the invoiced amount and does not accrue interest. The allowance for credit losses represents our estimate of the amount of probable credit losses in our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w:t>
      </w:r>
    </w:p>
    <w:p>
      <w:pPr>
        <w:pStyle w:val="TextBody"/>
        <w:bidi w:val="0"/>
        <w:spacing w:before="360" w:after="0"/>
        <w:jc w:val="left"/>
        <w:rPr>
          <w:rFonts w:ascii="Times New Roman" w:hAnsi="Times New Roman"/>
          <w:sz w:val="20"/>
        </w:rPr>
      </w:pPr>
      <w:r>
        <w:rPr>
          <w:rFonts w:ascii="Times New Roman" w:hAnsi="Times New Roman"/>
          <w:i/>
          <w:sz w:val="20"/>
        </w:rPr>
        <w:t>Inventories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a part of cost of revenue in the consolidated statement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Impairment of Long-Lived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which primarily consist of property and equipment and operating lease right-of-use assets are reviewed for impairment whenever events or changes in circumstances indicate that the carrying amount of long-lived assets may not be recoverable. If the sum of the expected undiscounted future cash flows is less than the carrying amount of those assets, we recognize an impairment loss based on the excess of the carrying amount over the fair value of the assets. We estimate the expected undiscounted future cash flows from the use of those assets and their eventual disposition. </w:t>
      </w:r>
    </w:p>
    <w:p>
      <w:pPr>
        <w:pStyle w:val="TextBody"/>
        <w:bidi w:val="0"/>
        <w:spacing w:before="360" w:after="0"/>
        <w:jc w:val="left"/>
        <w:rPr>
          <w:rFonts w:ascii="Times New Roman" w:hAnsi="Times New Roman"/>
          <w:sz w:val="20"/>
        </w:rPr>
      </w:pPr>
      <w:r>
        <w:rPr>
          <w:rFonts w:ascii="Times New Roman" w:hAnsi="Times New Roman"/>
          <w:i/>
          <w:sz w:val="20"/>
        </w:rPr>
        <w:t>Convertible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our convertible notes, some of which contain, complex conversion features or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hAnsi="Times New Roman"/>
          <w:i/>
          <w:sz w:val="20"/>
        </w:rPr>
        <w:t xml:space="preserve">Debt </w:t>
      </w:r>
      <w:r>
        <w:rPr>
          <w:rFonts w:ascii="Times New Roman" w:hAnsi="Times New Roman"/>
          <w:sz w:val="20"/>
        </w:rPr>
        <w:t xml:space="preserve">— </w:t>
      </w:r>
      <w:r>
        <w:rPr>
          <w:rFonts w:ascii="Times New Roman" w:hAnsi="Times New Roman"/>
          <w:i/>
          <w:sz w:val="20"/>
        </w:rPr>
        <w:t>Debt with Conversion and</w:t>
      </w:r>
      <w:r>
        <w:rPr>
          <w:rFonts w:ascii="Times New Roman" w:hAnsi="Times New Roman"/>
          <w:sz w:val="20"/>
        </w:rPr>
        <w:t xml:space="preserve"> </w:t>
      </w:r>
      <w:r>
        <w:rPr>
          <w:rFonts w:ascii="Times New Roman" w:hAnsi="Times New Roman"/>
          <w:i/>
          <w:sz w:val="20"/>
        </w:rPr>
        <w:t xml:space="preserve">Other Options (Subtopic 470-20), Derivatives and Hedging </w:t>
      </w:r>
      <w:r>
        <w:rPr>
          <w:rFonts w:ascii="Times New Roman" w:hAnsi="Times New Roman"/>
          <w:sz w:val="20"/>
        </w:rPr>
        <w:t xml:space="preserve">— </w:t>
      </w:r>
      <w:r>
        <w:rPr>
          <w:rFonts w:ascii="Times New Roman" w:hAnsi="Times New Roman"/>
          <w:i/>
          <w:sz w:val="20"/>
        </w:rPr>
        <w:t>Contracts in Entity</w:t>
      </w:r>
      <w:r>
        <w:rPr>
          <w:rFonts w:ascii="Times New Roman" w:hAnsi="Times New Roman"/>
          <w:sz w:val="20"/>
        </w:rPr>
        <w:t>’</w:t>
      </w:r>
      <w:r>
        <w:rPr>
          <w:rFonts w:ascii="Times New Roman" w:hAnsi="Times New Roman"/>
          <w:i/>
          <w:sz w:val="20"/>
        </w:rPr>
        <w:t>s Own Equity (Subtopic</w:t>
      </w:r>
      <w:r>
        <w:rPr>
          <w:rFonts w:ascii="Times New Roman" w:hAnsi="Times New Roman"/>
          <w:sz w:val="20"/>
        </w:rPr>
        <w:t xml:space="preserve"> </w:t>
      </w:r>
      <w:r>
        <w:rPr>
          <w:rFonts w:ascii="Times New Roman" w:hAnsi="Times New Roman"/>
          <w:i/>
          <w:sz w:val="20"/>
        </w:rPr>
        <w:t xml:space="preserve">815-40) </w:t>
      </w:r>
      <w:r>
        <w:rPr>
          <w:rFonts w:ascii="Times New Roman" w:hAnsi="Times New Roman"/>
          <w:sz w:val="20"/>
        </w:rPr>
        <w:t xml:space="preserve">and </w:t>
      </w:r>
      <w:r>
        <w:rPr>
          <w:rFonts w:ascii="Times New Roman" w:hAnsi="Times New Roman"/>
          <w:i/>
          <w:sz w:val="20"/>
        </w:rPr>
        <w:t>Accounting for Convertible Instruments and Contracts in an Entity</w:t>
      </w:r>
      <w:r>
        <w:rPr>
          <w:rFonts w:ascii="Times New Roman" w:hAnsi="Times New Roman"/>
          <w:sz w:val="20"/>
        </w:rPr>
        <w:t>’</w:t>
      </w:r>
      <w:r>
        <w:rPr>
          <w:rFonts w:ascii="Times New Roman" w:hAnsi="Times New Roman"/>
          <w:i/>
          <w:sz w:val="20"/>
        </w:rPr>
        <w:t xml:space="preserve">s Own Equity </w:t>
      </w:r>
      <w:r>
        <w:rPr>
          <w:rFonts w:ascii="Times New Roman" w:hAnsi="Times New Roman"/>
          <w:sz w:val="20"/>
        </w:rPr>
        <w:t xml:space="preserve">(ASU 2020-06). We record the convertible note liability at fair value at each period end. Changes in the fair value are recorded as change in fair value of convertible notes in the consolidated statements of operations. </w:t>
      </w:r>
    </w:p>
    <w:p>
      <w:pPr>
        <w:pStyle w:val="TextBody"/>
        <w:bidi w:val="0"/>
        <w:spacing w:before="360" w:after="0"/>
        <w:jc w:val="left"/>
        <w:rPr>
          <w:rFonts w:ascii="Times New Roman" w:hAnsi="Times New Roman"/>
          <w:sz w:val="20"/>
        </w:rPr>
      </w:pPr>
      <w:r>
        <w:rPr>
          <w:rFonts w:ascii="Times New Roman" w:hAnsi="Times New Roman"/>
          <w:i/>
          <w:sz w:val="20"/>
        </w:rPr>
        <w:t>Warrant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issued freestanding warrants in connection with certain convertible debt arrangements and preferred stock issuances which have been recorded as liabilities in the consolidated balance sheets at their estimated fair value. At initial recognition, the warrants are recorded at their estimated fair value calculated using the Black-Scholes-Merton (“Black-Scholes”) option pricing model wherein, depending on the terms of the warrants, certain inputs to the Black-Scholes model are required to be determined via a Monte Carlo Simulation model. The liability associated with these warrants is subject to remeasurement at each balance sheet date, with changes in fair value recorded as remeasurement of warrant liability in the consolidated statements of operations. The warrants continue to be remeasured until the earlier of the expiration or exercise of the warrants. </w:t>
      </w:r>
    </w:p>
    <w:p>
      <w:pPr>
        <w:pStyle w:val="TextBody"/>
        <w:bidi w:val="0"/>
        <w:spacing w:before="360" w:after="0"/>
        <w:jc w:val="left"/>
        <w:rPr>
          <w:rFonts w:ascii="Times New Roman" w:hAnsi="Times New Roman"/>
          <w:sz w:val="20"/>
        </w:rPr>
      </w:pPr>
      <w:r>
        <w:rPr>
          <w:rFonts w:ascii="Times New Roman" w:hAnsi="Times New Roman"/>
          <w:i/>
          <w:sz w:val="20"/>
        </w:rPr>
        <w:t>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income taxes in the United States and various foreign jurisdictions. We use the asset 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 We are subject to tax audits in various jurisdictions. We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We include interest expense and penalties related to its uncertain tax positions in income tax expense. </w:t>
      </w:r>
    </w:p>
    <w:p>
      <w:pPr>
        <w:pStyle w:val="TextBody"/>
        <w:bidi w:val="0"/>
        <w:spacing w:before="360" w:after="0"/>
        <w:jc w:val="left"/>
        <w:rPr>
          <w:rFonts w:ascii="Times New Roman" w:hAnsi="Times New Roman"/>
          <w:sz w:val="20"/>
        </w:rPr>
      </w:pPr>
      <w:r>
        <w:rPr>
          <w:rFonts w:ascii="Times New Roman" w:hAnsi="Times New Roman"/>
          <w:i/>
          <w:sz w:val="20"/>
        </w:rPr>
        <w:t>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stock options to our employees, non-employee consultants and non-employee directors in exchange for services pursuant to the 2011 Plan, which vest upon satisfaction of service-based conditions. We recognize the cost of such stock options based on the fair value of those awards at the date of grant over the requisite service period. The fair value of the stock options granted is determined using the Black-Scholes option pricing model using various inputs, including our estimates of expected stock price volatility, term, risk-free rate and future dividends. We have elected the simplified method to determine the expected term of the stock option grants. We have also granted RSUs to employees and directors in exchange for services pursuant to the 2011 Plan, which vest upon the satisfaction of both a service-based condition and a liquidity event condition, as defined. The fair value of restricted stock units is determined based on our estimated fair value of common stock at the date of grant. We have not recorded any stock-based compensation expense associated with these RSUs as a liquidity event has not occurred. If a liquidity event occurs in the future, we will record service condition has been satisfied prior to the liquidity event, and we will record the remaining unrecognized stock-based compensation over the remainder of the requisite service period.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This ASU improves reportable segment disclosure requirements, primarily through enhanced disclosures about significant segment expenses. We adopted this standard during the year ended December 31, 2024. The adoption resulted in expanded disclosures for the Company’s single reportable segment, but did not have a material impact on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We adopted this standard as of January 1, 2024. The adoption of this standard did not have an impact on our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and Related Person Transactions — Blaize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Preferred Stock 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Blaize is a party to the P2P NPA, pursuant to which Blaize issued, in accordance with the exchange formula therein and the subsequent rights offering completed in November 2023 (the “Rights Offering”), the following shadow preferred shares: (i) an aggregate of 2,020,309 shares of Blaize Series Seed Shadow Preferred Stock in exchange for Blaize’s common stock acquired upon conversion of Blaize Series Seed Preferred Stock; (ii) an aggregate of 4,573,935 shares of Blaize Series A Shadow Preferred Stock in exchange for Blaize’s common stock acquired upon conversion of Blaize Series A Preferred Stock; (iii) an aggregate of 12,234,661 shares of Blaize Series B Shadow Preferred Stock in exchange for Blaize’s common stock acquired upon conversion of Blaize Series B Preferred Stock; (iv) an aggregate of 10,211,548 shares of Blaize Series C Shadow Preferred Stock in exchange for Blaize’s common stock acquired upon conversion of Blaize Series C Preferred Stock; (v) an aggregate of 239,405 shares of Blaize Series D Exchange Shadow Preferred Stock in exchange for Blaize’s common stock acquired upon conversion of Blaize Series D Exchange Preferred Stock; (vi) an aggregate of 3,990,707 shares of Blaize Series D Shadow Preferred Stock in exchange for Blaize’s common stock acquired upon conversion of Blaize Series D Preferred Stock; (vii) an aggregate of 3,662,318 shares of Blaize Series D-1 Shadow Preferred Stock in exchange for Blaize’s common stock acquired upon conversion of Blaize Series D-1 Preferred Stock; and (viii) an aggregate of 7,561,820 shares of Blaize Series D-2 Shadow Preferred Stock in exchange for Blaize’s common stock acquired upon conversion of Blaize Series D-2 Preferred Stock (collectively, the “Conversion and Exchange”). Collectively, Blaize issued P2P Notes in connection with the Conversion and Exchange in the aggregate principal amount of $12.2 million, plus interest.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Conversion and Exchange by Blaize’s related persons and their affiliated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Bess Ventures and Advisory, LLC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5"/>
        <w:gridCol w:w="120"/>
        <w:gridCol w:w="108"/>
        <w:gridCol w:w="1772"/>
        <w:gridCol w:w="60"/>
        <w:gridCol w:w="120"/>
        <w:gridCol w:w="173"/>
        <w:gridCol w:w="1737"/>
        <w:gridCol w:w="60"/>
        <w:gridCol w:w="120"/>
        <w:gridCol w:w="92"/>
        <w:gridCol w:w="1503"/>
        <w:gridCol w:w="60"/>
        <w:gridCol w:w="120"/>
        <w:gridCol w:w="106"/>
        <w:gridCol w:w="1744"/>
        <w:gridCol w:w="75"/>
      </w:tblGrid>
      <w:tr>
        <w:trPr/>
        <w:tc>
          <w:tcPr>
            <w:tcW w:w="2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Shares</w:t>
            </w:r>
            <w:r>
              <w:rPr/>
              <w:br/>
            </w:r>
            <w:r>
              <w:rPr>
                <w:b/>
              </w:rPr>
              <w:t>of Preferred</w:t>
            </w:r>
            <w:r>
              <w:rPr/>
              <w:br/>
            </w:r>
            <w:r>
              <w:rPr>
                <w:b/>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283"/>
              <w:jc w:val="center"/>
              <w:rPr/>
            </w:pPr>
            <w:r>
              <w:rPr>
                <w:b/>
              </w:rPr>
              <w:t>Purchase Price for</w:t>
            </w:r>
            <w:r>
              <w:rPr/>
              <w:br/>
            </w:r>
            <w:r>
              <w:rPr>
                <w:b/>
              </w:rPr>
              <w:t>Original Preferred</w:t>
            </w:r>
            <w:r>
              <w:rPr/>
              <w:br/>
            </w:r>
            <w:r>
              <w:rPr>
                <w:b/>
              </w:rPr>
              <w:t>Stock Pre-</w:t>
              <w:br/>
              <w:t>Conversion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Shares of</w:t>
            </w:r>
            <w:r>
              <w:rPr/>
              <w:br/>
            </w:r>
            <w:r>
              <w:rPr>
                <w:b/>
              </w:rPr>
              <w:t>Common Stock</w:t>
            </w:r>
            <w:r>
              <w:rPr/>
              <w:br/>
            </w:r>
            <w:r>
              <w:rPr>
                <w:b/>
              </w:rPr>
              <w:t>issued upon</w:t>
            </w:r>
            <w:r>
              <w:rPr/>
              <w:br/>
            </w:r>
            <w:r>
              <w:rPr>
                <w:b/>
              </w:rPr>
              <w:t>Conversion</w:t>
            </w:r>
            <w:r>
              <w:rPr/>
              <w:br/>
            </w:r>
            <w:r>
              <w:rPr>
                <w:b/>
              </w:rPr>
              <w:t>(Note Purchase</w:t>
            </w:r>
            <w:r>
              <w:rPr/>
              <w:br/>
            </w:r>
            <w:r>
              <w:rPr>
                <w:b/>
              </w:rPr>
              <w:t>and Exchange)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 of</w:t>
            </w:r>
            <w:r>
              <w:rPr/>
              <w:br/>
            </w:r>
            <w:r>
              <w:rPr>
                <w:b/>
              </w:rPr>
              <w:t>Shares of Shadow</w:t>
            </w:r>
            <w:r>
              <w:rPr/>
              <w:br/>
            </w:r>
            <w:r>
              <w:rPr>
                <w:b/>
              </w:rPr>
              <w:t>Preferred Stock</w:t>
            </w:r>
            <w:r>
              <w:rPr/>
              <w:br/>
            </w:r>
            <w:r>
              <w:rPr>
                <w:b/>
              </w:rPr>
              <w:t>Acquired upon</w:t>
            </w:r>
            <w:r>
              <w:rPr/>
              <w:br/>
            </w:r>
            <w:r>
              <w:rPr>
                <w:b/>
              </w:rPr>
              <w:t>Exchange (Note</w:t>
            </w:r>
            <w:r>
              <w:rPr/>
              <w:br/>
            </w:r>
            <w:r>
              <w:rPr>
                <w:b/>
              </w:rPr>
              <w:t>Purchase and</w:t>
            </w:r>
            <w:r>
              <w:rPr/>
              <w:br/>
            </w:r>
            <w:r>
              <w:rPr>
                <w:b/>
              </w:rPr>
              <w:t>Exchange)</w:t>
            </w:r>
          </w:p>
        </w:tc>
        <w:tc>
          <w:tcPr>
            <w:tcW w:w="75"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D-2 Shadow Preferred Stock(2)</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4,167,698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20,720,547.94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4,167,698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4,167,698</w:t>
            </w:r>
          </w:p>
        </w:tc>
        <w:tc>
          <w:tcPr>
            <w:tcW w:w="75"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single" w:sz="2" w:space="1" w:color="000000"/>
              </w:pBdr>
              <w:bidi w:val="0"/>
              <w:spacing w:before="0" w:after="0"/>
              <w:jc w:val="left"/>
              <w:rPr/>
            </w:pPr>
            <w:r>
              <w:rPr/>
              <w:t> </w:t>
            </w:r>
          </w:p>
        </w:tc>
        <w:tc>
          <w:tcPr>
            <w:tcW w:w="177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single" w:sz="2" w:space="1" w:color="000000"/>
              </w:pBdr>
              <w:bidi w:val="0"/>
              <w:spacing w:before="0" w:after="0"/>
              <w:jc w:val="left"/>
              <w:rPr/>
            </w:pPr>
            <w:r>
              <w:rPr/>
              <w:t> </w:t>
            </w:r>
          </w:p>
        </w:tc>
        <w:tc>
          <w:tcPr>
            <w:tcW w:w="17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0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pBdr>
                <w:top w:val="single" w:sz="2" w:space="1" w:color="000000"/>
              </w:pBdr>
              <w:bidi w:val="0"/>
              <w:spacing w:before="0" w:after="0"/>
              <w:jc w:val="left"/>
              <w:rPr/>
            </w:pPr>
            <w:r>
              <w:rPr/>
              <w:t> </w:t>
            </w:r>
          </w:p>
        </w:tc>
        <w:tc>
          <w:tcPr>
            <w:tcW w:w="1744"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b/>
              </w:rPr>
            </w:pPr>
            <w:r>
              <w:rPr>
                <w:b/>
              </w:rPr>
              <w:t>4,167,698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b/>
              </w:rPr>
            </w:pPr>
            <w:r>
              <w:rPr>
                <w:b/>
              </w:rPr>
              <w:t>$</w:t>
            </w:r>
          </w:p>
        </w:tc>
        <w:tc>
          <w:tcPr>
            <w:tcW w:w="1737" w:type="dxa"/>
            <w:tcBorders/>
            <w:vAlign w:val="center"/>
          </w:tcPr>
          <w:p>
            <w:pPr>
              <w:pStyle w:val="TableContents"/>
              <w:bidi w:val="0"/>
              <w:spacing w:before="0" w:after="283"/>
              <w:jc w:val="right"/>
              <w:rPr>
                <w:b/>
              </w:rPr>
            </w:pPr>
            <w:r>
              <w:rPr>
                <w:b/>
              </w:rPr>
              <w:t>20,720,547.94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b/>
              </w:rPr>
            </w:pPr>
            <w:r>
              <w:rPr>
                <w:b/>
              </w:rPr>
              <w:t>4,167,698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b/>
              </w:rPr>
            </w:pPr>
            <w:r>
              <w:rPr>
                <w:b/>
              </w:rPr>
              <w:t>4,167,698</w:t>
            </w:r>
          </w:p>
        </w:tc>
        <w:tc>
          <w:tcPr>
            <w:tcW w:w="75"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double" w:sz="6" w:space="1" w:color="000000"/>
              </w:pBdr>
              <w:bidi w:val="0"/>
              <w:spacing w:before="0" w:after="0"/>
              <w:jc w:val="left"/>
              <w:rPr/>
            </w:pPr>
            <w:r>
              <w:rPr/>
              <w:t> </w:t>
            </w:r>
          </w:p>
        </w:tc>
        <w:tc>
          <w:tcPr>
            <w:tcW w:w="177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double" w:sz="6" w:space="1" w:color="000000"/>
              </w:pBdr>
              <w:bidi w:val="0"/>
              <w:spacing w:before="0" w:after="0"/>
              <w:jc w:val="left"/>
              <w:rPr/>
            </w:pPr>
            <w:r>
              <w:rPr/>
              <w:t> </w:t>
            </w:r>
          </w:p>
        </w:tc>
        <w:tc>
          <w:tcPr>
            <w:tcW w:w="173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0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pBdr>
                <w:top w:val="double" w:sz="6" w:space="1" w:color="000000"/>
              </w:pBdr>
              <w:bidi w:val="0"/>
              <w:spacing w:before="0" w:after="0"/>
              <w:jc w:val="left"/>
              <w:rPr/>
            </w:pPr>
            <w:r>
              <w:rPr/>
              <w:t> </w:t>
            </w:r>
          </w:p>
        </w:tc>
        <w:tc>
          <w:tcPr>
            <w:tcW w:w="1744"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Lane Bess is a member of the Blaize board of directors and is affiliated with Bess Ventures and Advisory, LLC (“Bess Ventures”). As of December 31, 2024, Bess Ventures held more than 5% of Blaize’s outstanding capital stock.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Bess Ventures received 4,167,698 shares of Blaize Series D-2 Preferred Stock upon conversion of certain convertible securities in the aggregate principal amount of $20,720,547.94, including interest, pursuant to that certain Series D-2 Preferred Stock Purchase Agreement, dated September 19, 2022, between Blaize and certain investors of Blaize listed on Schedule A thereto (the “Series D-2 Purchase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Franklin Strategic Series — Franklin Small-Mid Cap Growth Fund and Franklin Templeton Variable Insurance products Trust — Franklin Small-Mid Cap Growth VIP Fund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0"/>
        <w:gridCol w:w="120"/>
        <w:gridCol w:w="65"/>
        <w:gridCol w:w="1065"/>
        <w:gridCol w:w="60"/>
        <w:gridCol w:w="120"/>
        <w:gridCol w:w="173"/>
        <w:gridCol w:w="1737"/>
        <w:gridCol w:w="60"/>
        <w:gridCol w:w="120"/>
        <w:gridCol w:w="92"/>
        <w:gridCol w:w="1503"/>
        <w:gridCol w:w="60"/>
        <w:gridCol w:w="120"/>
        <w:gridCol w:w="90"/>
        <w:gridCol w:w="1475"/>
        <w:gridCol w:w="60"/>
        <w:gridCol w:w="120"/>
        <w:gridCol w:w="140"/>
        <w:gridCol w:w="1100"/>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Preferred</w:t>
            </w:r>
            <w:r>
              <w:rPr/>
              <w:br/>
            </w:r>
            <w:r>
              <w:rPr>
                <w:b/>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283"/>
              <w:jc w:val="center"/>
              <w:rPr/>
            </w:pPr>
            <w:r>
              <w:rPr>
                <w:b/>
              </w:rPr>
              <w:t>Purchase Price for</w:t>
            </w:r>
            <w:r>
              <w:rPr/>
              <w:br/>
            </w:r>
            <w:r>
              <w:rPr>
                <w:b/>
              </w:rPr>
              <w:t>Original Preferred</w:t>
            </w:r>
            <w:r>
              <w:rPr/>
              <w:br/>
            </w:r>
            <w:r>
              <w:rPr>
                <w:b/>
              </w:rPr>
              <w:t>Stock Pre-</w:t>
              <w:br/>
              <w:t>Conversion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Shares of</w:t>
            </w:r>
            <w:r>
              <w:rPr/>
              <w:br/>
            </w:r>
            <w:r>
              <w:rPr>
                <w:b/>
              </w:rPr>
              <w:t>Common Stock</w:t>
            </w:r>
            <w:r>
              <w:rPr/>
              <w:br/>
            </w:r>
            <w:r>
              <w:rPr>
                <w:b/>
              </w:rPr>
              <w:t>issued upon</w:t>
            </w:r>
            <w:r>
              <w:rPr/>
              <w:br/>
            </w:r>
            <w:r>
              <w:rPr>
                <w:b/>
              </w:rPr>
              <w:t>Conversion</w:t>
            </w:r>
            <w:r>
              <w:rPr/>
              <w:br/>
            </w:r>
            <w:r>
              <w:rPr>
                <w:b/>
              </w:rPr>
              <w:t>(Note Purchase</w:t>
            </w:r>
            <w:r>
              <w:rPr/>
              <w:br/>
            </w:r>
            <w:r>
              <w:rPr>
                <w:b/>
              </w:rPr>
              <w:t>and Exchange)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w:t>
            </w:r>
            <w:r>
              <w:rPr/>
              <w:br/>
            </w:r>
            <w:r>
              <w:rPr>
                <w:b/>
              </w:rPr>
              <w:t>of Shares of</w:t>
            </w:r>
            <w:r>
              <w:rPr/>
              <w:br/>
            </w:r>
            <w:r>
              <w:rPr>
                <w:b/>
              </w:rPr>
              <w:t>Shadow</w:t>
            </w:r>
            <w:r>
              <w:rPr/>
              <w:br/>
            </w:r>
            <w:r>
              <w:rPr>
                <w:b/>
              </w:rPr>
              <w:t>Preferred</w:t>
            </w:r>
            <w:r>
              <w:rPr/>
              <w:br/>
            </w:r>
            <w:r>
              <w:rPr>
                <w:b/>
              </w:rPr>
              <w:t>Stock</w:t>
            </w:r>
            <w:r>
              <w:rPr/>
              <w:br/>
            </w:r>
            <w:r>
              <w:rPr>
                <w:b/>
              </w:rPr>
              <w:t>Acquired upon</w:t>
            </w:r>
            <w:r>
              <w:rPr/>
              <w:br/>
            </w:r>
            <w:r>
              <w:rPr>
                <w:b/>
              </w:rPr>
              <w:t>Exchange</w:t>
            </w:r>
            <w:r>
              <w:rPr/>
              <w:br/>
            </w:r>
            <w:r>
              <w:rPr>
                <w:b/>
              </w:rPr>
              <w:t>(Note</w:t>
            </w:r>
            <w:r>
              <w:rPr/>
              <w:br/>
            </w:r>
            <w:r>
              <w:rPr>
                <w:b/>
              </w:rPr>
              <w:t>Purchase and</w:t>
            </w:r>
            <w:r>
              <w:rPr/>
              <w:br/>
            </w:r>
            <w:r>
              <w:rPr>
                <w:b/>
              </w:rPr>
              <w:t>Exchange)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P2P Note</w:t>
            </w:r>
            <w:r>
              <w:rPr/>
              <w:br/>
            </w:r>
            <w:r>
              <w:rPr>
                <w:b/>
              </w:rPr>
              <w:t>Principal</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D Exchange Shadow Preferred Stock(2)</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239,405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239,405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239,405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D Shadow Preferred Stock(3)</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1,915,251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737" w:type="dxa"/>
            <w:tcBorders/>
            <w:vAlign w:val="center"/>
          </w:tcPr>
          <w:p>
            <w:pPr>
              <w:pStyle w:val="TableContents"/>
              <w:bidi w:val="0"/>
              <w:spacing w:before="0" w:after="283"/>
              <w:jc w:val="right"/>
              <w:rPr/>
            </w:pPr>
            <w:r>
              <w:rPr/>
              <w:t>22,500,008.58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1,915,251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1,915,251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D-2 Shadow Preferred Stock(4)</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1,550,417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7,708,213.67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1,550,417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1,550,417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pBdr>
                <w:top w:val="single" w:sz="2" w:space="1" w:color="000000"/>
              </w:pBdr>
              <w:bidi w:val="0"/>
              <w:spacing w:before="0" w:after="0"/>
              <w:jc w:val="left"/>
              <w:rPr/>
            </w:pPr>
            <w:r>
              <w:rPr/>
              <w:t> </w:t>
            </w:r>
          </w:p>
        </w:tc>
        <w:tc>
          <w:tcPr>
            <w:tcW w:w="106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single" w:sz="2" w:space="1" w:color="000000"/>
              </w:pBdr>
              <w:bidi w:val="0"/>
              <w:spacing w:before="0" w:after="0"/>
              <w:jc w:val="left"/>
              <w:rPr/>
            </w:pPr>
            <w:r>
              <w:rPr/>
              <w:t> </w:t>
            </w:r>
          </w:p>
        </w:tc>
        <w:tc>
          <w:tcPr>
            <w:tcW w:w="17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0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single" w:sz="2" w:space="1" w:color="000000"/>
              </w:pBdr>
              <w:bidi w:val="0"/>
              <w:spacing w:before="0" w:after="0"/>
              <w:jc w:val="left"/>
              <w:rPr/>
            </w:pPr>
            <w:r>
              <w:rPr/>
              <w:t> </w:t>
            </w:r>
          </w:p>
        </w:tc>
        <w:tc>
          <w:tcPr>
            <w:tcW w:w="14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Total</w:t>
            </w:r>
            <w:r>
              <w:rPr>
                <w:rFonts w:ascii="Times New Roman" w:hAnsi="Times New Roman"/>
                <w:sz w:val="20"/>
              </w:rPr>
              <w:t xml:space="preserve">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b/>
              </w:rPr>
            </w:pPr>
            <w:r>
              <w:rPr>
                <w:b/>
              </w:rPr>
              <w:t>3,705,073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b/>
              </w:rPr>
            </w:pPr>
            <w:r>
              <w:rPr>
                <w:b/>
              </w:rPr>
              <w:t>$</w:t>
            </w:r>
          </w:p>
        </w:tc>
        <w:tc>
          <w:tcPr>
            <w:tcW w:w="1737" w:type="dxa"/>
            <w:tcBorders/>
            <w:vAlign w:val="center"/>
          </w:tcPr>
          <w:p>
            <w:pPr>
              <w:pStyle w:val="TableContents"/>
              <w:bidi w:val="0"/>
              <w:spacing w:before="0" w:after="283"/>
              <w:jc w:val="right"/>
              <w:rPr>
                <w:b/>
              </w:rPr>
            </w:pPr>
            <w:r>
              <w:rPr>
                <w:b/>
              </w:rPr>
              <w:t>30,208,222.25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b/>
              </w:rPr>
            </w:pPr>
            <w:r>
              <w:rPr>
                <w:b/>
              </w:rPr>
              <w:t>3,705,073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b/>
              </w:rPr>
            </w:pPr>
            <w:r>
              <w:rPr>
                <w:b/>
              </w:rPr>
              <w:t>3,705,073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1100" w:type="dxa"/>
            <w:tcBorders/>
            <w:vAlign w:val="center"/>
          </w:tcPr>
          <w:p>
            <w:pPr>
              <w:pStyle w:val="TableContents"/>
              <w:bidi w:val="0"/>
              <w:spacing w:before="0" w:after="283"/>
              <w:jc w:val="right"/>
              <w:rPr>
                <w:b/>
              </w:rPr>
            </w:pPr>
            <w:r>
              <w:rPr>
                <w:b/>
              </w:rPr>
              <w:t>634,489.56</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pBdr>
                <w:top w:val="double" w:sz="6" w:space="1" w:color="000000"/>
              </w:pBdr>
              <w:bidi w:val="0"/>
              <w:spacing w:before="0" w:after="0"/>
              <w:jc w:val="left"/>
              <w:rPr/>
            </w:pPr>
            <w:r>
              <w:rPr/>
              <w:t> </w:t>
            </w:r>
          </w:p>
        </w:tc>
        <w:tc>
          <w:tcPr>
            <w:tcW w:w="106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double" w:sz="6" w:space="1" w:color="000000"/>
              </w:pBdr>
              <w:bidi w:val="0"/>
              <w:spacing w:before="0" w:after="0"/>
              <w:jc w:val="left"/>
              <w:rPr/>
            </w:pPr>
            <w:r>
              <w:rPr/>
              <w:t> </w:t>
            </w:r>
          </w:p>
        </w:tc>
        <w:tc>
          <w:tcPr>
            <w:tcW w:w="173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0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double" w:sz="6" w:space="1" w:color="000000"/>
              </w:pBdr>
              <w:bidi w:val="0"/>
              <w:spacing w:before="0" w:after="0"/>
              <w:jc w:val="left"/>
              <w:rPr/>
            </w:pPr>
            <w:r>
              <w:rPr/>
              <w:t> </w:t>
            </w:r>
          </w:p>
        </w:tc>
        <w:tc>
          <w:tcPr>
            <w:tcW w:w="14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Franklin Strategic Series — Franklin Small-Mid Cap Growth Fund and Franklin Templeton Variable Insurance Products Trust — Franklin Small-Mid Growth VIP Fund (collectively, “Franklin Funds”) beneficially owned more than 5% of Blaize’s outstanding capital stock.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Franklin Funds received 239,405 shares of Blaize Series D Exchange Preferred Stock in exchange for Blaize Series D Preferred Stock in accordance with the exchange pro rata share, pursuant to the Series D-2 Purchase Agreement.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Franklin Funds received 1,915,251 shares of Blaize Series D Preferred Stock upon the purchase and conversion of certain convertible securities in the aggregate principal amount of $22,500,008.58, including interest, pursuant to that certain Series D Preferred Stock Purchase Agreement, dated March 22, 2021, between Blaize and certain investors of Blaize listed on Schedule A thereto (the “Series D Purchase Agreement”).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Franklin Funds received 1,550,417 shares of Blaize Series D-2 Preferred Stock upon the purchase and conversion of certain convertible securities in the aggregate principal amount of $7,708,213.67, including interest, pursuant to the Series D-2 Purchase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Anderson Investments Pte. Ltd.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29"/>
        <w:gridCol w:w="120"/>
        <w:gridCol w:w="61"/>
        <w:gridCol w:w="1008"/>
        <w:gridCol w:w="60"/>
        <w:gridCol w:w="120"/>
        <w:gridCol w:w="173"/>
        <w:gridCol w:w="1737"/>
        <w:gridCol w:w="60"/>
        <w:gridCol w:w="120"/>
        <w:gridCol w:w="92"/>
        <w:gridCol w:w="1503"/>
        <w:gridCol w:w="60"/>
        <w:gridCol w:w="120"/>
        <w:gridCol w:w="90"/>
        <w:gridCol w:w="1475"/>
        <w:gridCol w:w="60"/>
        <w:gridCol w:w="120"/>
        <w:gridCol w:w="140"/>
        <w:gridCol w:w="1280"/>
        <w:gridCol w:w="77"/>
      </w:tblGrid>
      <w:tr>
        <w:trPr/>
        <w:tc>
          <w:tcPr>
            <w:tcW w:w="1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72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Preferred</w:t>
            </w:r>
            <w:r>
              <w:rPr/>
              <w:br/>
            </w:r>
            <w:r>
              <w:rPr>
                <w:b/>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283"/>
              <w:jc w:val="center"/>
              <w:rPr/>
            </w:pPr>
            <w:r>
              <w:rPr>
                <w:b/>
              </w:rPr>
              <w:t>Purchase Price for</w:t>
            </w:r>
            <w:r>
              <w:rPr/>
              <w:br/>
            </w:r>
            <w:r>
              <w:rPr>
                <w:b/>
              </w:rPr>
              <w:t>Original Preferred</w:t>
            </w:r>
            <w:r>
              <w:rPr/>
              <w:br/>
            </w:r>
            <w:r>
              <w:rPr>
                <w:b/>
              </w:rPr>
              <w:t>Stock Pre-</w:t>
              <w:br/>
              <w:t>Conversion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Shares of</w:t>
            </w:r>
            <w:r>
              <w:rPr/>
              <w:br/>
            </w:r>
            <w:r>
              <w:rPr>
                <w:b/>
              </w:rPr>
              <w:t>Common Stock</w:t>
            </w:r>
            <w:r>
              <w:rPr/>
              <w:br/>
            </w:r>
            <w:r>
              <w:rPr>
                <w:b/>
              </w:rPr>
              <w:t>issued upon</w:t>
            </w:r>
            <w:r>
              <w:rPr/>
              <w:br/>
            </w:r>
            <w:r>
              <w:rPr>
                <w:b/>
              </w:rPr>
              <w:t>Conversion</w:t>
            </w:r>
            <w:r>
              <w:rPr/>
              <w:br/>
            </w:r>
            <w:r>
              <w:rPr>
                <w:b/>
              </w:rPr>
              <w:t>(Note Purchase</w:t>
            </w:r>
            <w:r>
              <w:rPr/>
              <w:br/>
            </w:r>
            <w:r>
              <w:rPr>
                <w:b/>
              </w:rPr>
              <w:t>and Exchange)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w:t>
            </w:r>
            <w:r>
              <w:rPr/>
              <w:br/>
            </w:r>
            <w:r>
              <w:rPr>
                <w:b/>
              </w:rPr>
              <w:t>of Shares of</w:t>
            </w:r>
            <w:r>
              <w:rPr/>
              <w:br/>
            </w:r>
            <w:r>
              <w:rPr>
                <w:b/>
              </w:rPr>
              <w:t>Shadow</w:t>
            </w:r>
            <w:r>
              <w:rPr/>
              <w:br/>
            </w:r>
            <w:r>
              <w:rPr>
                <w:b/>
              </w:rPr>
              <w:t>Preferred</w:t>
            </w:r>
            <w:r>
              <w:rPr/>
              <w:br/>
            </w:r>
            <w:r>
              <w:rPr>
                <w:b/>
              </w:rPr>
              <w:t>Stock</w:t>
            </w:r>
            <w:r>
              <w:rPr/>
              <w:br/>
            </w:r>
            <w:r>
              <w:rPr>
                <w:b/>
              </w:rPr>
              <w:t>Acquired upon</w:t>
            </w:r>
            <w:r>
              <w:rPr/>
              <w:br/>
            </w:r>
            <w:r>
              <w:rPr>
                <w:b/>
              </w:rPr>
              <w:t>Exchange</w:t>
            </w:r>
            <w:r>
              <w:rPr/>
              <w:br/>
            </w:r>
            <w:r>
              <w:rPr>
                <w:b/>
              </w:rPr>
              <w:t>(Note</w:t>
            </w:r>
            <w:r>
              <w:rPr/>
              <w:br/>
            </w:r>
            <w:r>
              <w:rPr>
                <w:b/>
              </w:rPr>
              <w:t>Purchase and</w:t>
            </w:r>
            <w:r>
              <w:rPr/>
              <w:br/>
            </w:r>
            <w:r>
              <w:rPr>
                <w:b/>
              </w:rPr>
              <w:t>Exchange)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pPr>
            <w:r>
              <w:rPr>
                <w:b/>
              </w:rPr>
              <w:t>P2P Note</w:t>
            </w:r>
            <w:r>
              <w:rPr/>
              <w:br/>
            </w:r>
            <w:r>
              <w:rPr>
                <w:b/>
              </w:rPr>
              <w:t>Principal</w:t>
            </w:r>
          </w:p>
        </w:tc>
        <w:tc>
          <w:tcPr>
            <w:tcW w:w="77" w:type="dxa"/>
            <w:tcBorders/>
            <w:vAlign w:val="center"/>
          </w:tcPr>
          <w:p>
            <w:pPr>
              <w:pStyle w:val="TableContents"/>
              <w:bidi w:val="0"/>
              <w:spacing w:before="0" w:after="283"/>
              <w:jc w:val="left"/>
              <w:rPr/>
            </w:pPr>
            <w:r>
              <w:rPr/>
              <w:t> </w:t>
            </w:r>
          </w:p>
        </w:tc>
      </w:tr>
      <w:tr>
        <w:trPr/>
        <w:tc>
          <w:tcPr>
            <w:tcW w:w="17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C Shadow Preferred Stock(2)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3,147,755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14,999,996.91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3,147,755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3,147,755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D Shadow Preferred Stock(3)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1,436,437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737" w:type="dxa"/>
            <w:tcBorders/>
            <w:vAlign w:val="center"/>
          </w:tcPr>
          <w:p>
            <w:pPr>
              <w:pStyle w:val="TableContents"/>
              <w:bidi w:val="0"/>
              <w:spacing w:before="0" w:after="283"/>
              <w:jc w:val="right"/>
              <w:rPr/>
            </w:pPr>
            <w:r>
              <w:rPr/>
              <w:t>14,999,993.38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1,436,437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1,436,437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17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D-1 Shadow Preferred Stock(3)</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2,394,063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20,000,000.00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2,394,063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2,394,063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single" w:sz="2" w:space="1" w:color="000000"/>
              </w:pBdr>
              <w:bidi w:val="0"/>
              <w:spacing w:before="0" w:after="0"/>
              <w:jc w:val="left"/>
              <w:rPr/>
            </w:pPr>
            <w:r>
              <w:rPr/>
              <w:t> </w:t>
            </w:r>
          </w:p>
        </w:tc>
        <w:tc>
          <w:tcPr>
            <w:tcW w:w="17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0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single" w:sz="2" w:space="1" w:color="000000"/>
              </w:pBdr>
              <w:bidi w:val="0"/>
              <w:spacing w:before="0" w:after="0"/>
              <w:jc w:val="left"/>
              <w:rPr/>
            </w:pPr>
            <w:r>
              <w:rPr/>
              <w:t> </w:t>
            </w:r>
          </w:p>
        </w:tc>
        <w:tc>
          <w:tcPr>
            <w:tcW w:w="14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80"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Total</w:t>
            </w:r>
            <w:r>
              <w:rPr>
                <w:rFonts w:ascii="Times New Roman" w:hAnsi="Times New Roman"/>
                <w:sz w:val="20"/>
              </w:rPr>
              <w:t xml:space="preserve">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b/>
              </w:rPr>
            </w:pPr>
            <w:r>
              <w:rPr>
                <w:b/>
              </w:rPr>
              <w:t>6,978,255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b/>
              </w:rPr>
            </w:pPr>
            <w:r>
              <w:rPr>
                <w:b/>
              </w:rPr>
              <w:t>$</w:t>
            </w:r>
          </w:p>
        </w:tc>
        <w:tc>
          <w:tcPr>
            <w:tcW w:w="1737" w:type="dxa"/>
            <w:tcBorders/>
            <w:vAlign w:val="center"/>
          </w:tcPr>
          <w:p>
            <w:pPr>
              <w:pStyle w:val="TableContents"/>
              <w:bidi w:val="0"/>
              <w:spacing w:before="0" w:after="283"/>
              <w:jc w:val="right"/>
              <w:rPr>
                <w:b/>
              </w:rPr>
            </w:pPr>
            <w:r>
              <w:rPr>
                <w:b/>
              </w:rPr>
              <w:t>49,999,990.29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b/>
              </w:rPr>
            </w:pPr>
            <w:r>
              <w:rPr>
                <w:b/>
              </w:rPr>
              <w:t>6,978,255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b/>
              </w:rPr>
            </w:pPr>
            <w:r>
              <w:rPr>
                <w:b/>
              </w:rPr>
              <w:t>6,978,255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1280" w:type="dxa"/>
            <w:tcBorders/>
            <w:vAlign w:val="center"/>
          </w:tcPr>
          <w:p>
            <w:pPr>
              <w:pStyle w:val="TableContents"/>
              <w:bidi w:val="0"/>
              <w:spacing w:before="0" w:after="283"/>
              <w:jc w:val="right"/>
              <w:rPr>
                <w:b/>
              </w:rPr>
            </w:pPr>
            <w:r>
              <w:rPr>
                <w:b/>
              </w:rPr>
              <w:t>2,312,010.00</w:t>
            </w:r>
          </w:p>
        </w:tc>
        <w:tc>
          <w:tcPr>
            <w:tcW w:w="77" w:type="dxa"/>
            <w:tcBorders/>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pBdr>
                <w:top w:val="double" w:sz="6" w:space="1" w:color="000000"/>
              </w:pBdr>
              <w:bidi w:val="0"/>
              <w:spacing w:before="0" w:after="0"/>
              <w:jc w:val="left"/>
              <w:rPr/>
            </w:pPr>
            <w:r>
              <w:rPr/>
              <w:t> </w:t>
            </w:r>
          </w:p>
        </w:tc>
        <w:tc>
          <w:tcPr>
            <w:tcW w:w="100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double" w:sz="6" w:space="1" w:color="000000"/>
              </w:pBdr>
              <w:bidi w:val="0"/>
              <w:spacing w:before="0" w:after="0"/>
              <w:jc w:val="left"/>
              <w:rPr/>
            </w:pPr>
            <w:r>
              <w:rPr/>
              <w:t> </w:t>
            </w:r>
          </w:p>
        </w:tc>
        <w:tc>
          <w:tcPr>
            <w:tcW w:w="173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0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double" w:sz="6" w:space="1" w:color="000000"/>
              </w:pBdr>
              <w:bidi w:val="0"/>
              <w:spacing w:before="0" w:after="0"/>
              <w:jc w:val="left"/>
              <w:rPr/>
            </w:pPr>
            <w:r>
              <w:rPr/>
              <w:t> </w:t>
            </w:r>
          </w:p>
        </w:tc>
        <w:tc>
          <w:tcPr>
            <w:tcW w:w="14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80"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Anderson Investments Pte. Ltd. (“Anderson Investments”) held more than 5% of Blaize’s outstanding capital stock.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Anderson Investments received 3,147,755 shares of Blaize Series C Preferred Stock upon the purchase of certain convertible securities in the aggregate principal amount of $14,999,996.91, pursuant to that certain Series C Preferred Stock Purchase Agreement, dated July 6, 2018, between ThinCI, Inc. and certain investors of Blaize listed on Schedule A thereto (the “Series C Purchase Agreement”).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Anderson Investments received 1,436,437 shares of Blaize Series D Preferred Stock and 2,394,063 shares of Blaize Series D-1 Preferred Stock upon the purchase and conversion of certain convertible securities in the aggregate principal amount of $34,999,993.38, pursuant to the Series D Purchase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 certain related party and its affiliate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29"/>
        <w:gridCol w:w="120"/>
        <w:gridCol w:w="61"/>
        <w:gridCol w:w="1008"/>
        <w:gridCol w:w="60"/>
        <w:gridCol w:w="120"/>
        <w:gridCol w:w="173"/>
        <w:gridCol w:w="1737"/>
        <w:gridCol w:w="60"/>
        <w:gridCol w:w="120"/>
        <w:gridCol w:w="92"/>
        <w:gridCol w:w="1503"/>
        <w:gridCol w:w="60"/>
        <w:gridCol w:w="120"/>
        <w:gridCol w:w="90"/>
        <w:gridCol w:w="1475"/>
        <w:gridCol w:w="60"/>
        <w:gridCol w:w="120"/>
        <w:gridCol w:w="140"/>
        <w:gridCol w:w="1280"/>
        <w:gridCol w:w="77"/>
      </w:tblGrid>
      <w:tr>
        <w:trPr/>
        <w:tc>
          <w:tcPr>
            <w:tcW w:w="1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72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Preferred</w:t>
            </w:r>
            <w:r>
              <w:rPr/>
              <w:br/>
            </w:r>
            <w:r>
              <w:rPr>
                <w:b/>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283"/>
              <w:jc w:val="center"/>
              <w:rPr/>
            </w:pPr>
            <w:r>
              <w:rPr>
                <w:b/>
              </w:rPr>
              <w:t>Purchase Price for</w:t>
            </w:r>
            <w:r>
              <w:rPr/>
              <w:br/>
            </w:r>
            <w:r>
              <w:rPr>
                <w:b/>
              </w:rPr>
              <w:t>Original Preferred</w:t>
            </w:r>
            <w:r>
              <w:rPr/>
              <w:br/>
            </w:r>
            <w:r>
              <w:rPr>
                <w:b/>
              </w:rPr>
              <w:t>Stock Pre-</w:t>
              <w:br/>
              <w:t>Conversion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Shares of</w:t>
            </w:r>
            <w:r>
              <w:rPr/>
              <w:br/>
            </w:r>
            <w:r>
              <w:rPr>
                <w:b/>
              </w:rPr>
              <w:t>Common Stock</w:t>
            </w:r>
            <w:r>
              <w:rPr/>
              <w:br/>
            </w:r>
            <w:r>
              <w:rPr>
                <w:b/>
              </w:rPr>
              <w:t>issued upon</w:t>
            </w:r>
            <w:r>
              <w:rPr/>
              <w:br/>
            </w:r>
            <w:r>
              <w:rPr>
                <w:b/>
              </w:rPr>
              <w:t>Conversion</w:t>
            </w:r>
            <w:r>
              <w:rPr/>
              <w:br/>
            </w:r>
            <w:r>
              <w:rPr>
                <w:b/>
              </w:rPr>
              <w:t>(Note Purchase</w:t>
            </w:r>
            <w:r>
              <w:rPr/>
              <w:br/>
            </w:r>
            <w:r>
              <w:rPr>
                <w:b/>
              </w:rPr>
              <w:t>and Exchange)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w:t>
            </w:r>
            <w:r>
              <w:rPr/>
              <w:br/>
            </w:r>
            <w:r>
              <w:rPr>
                <w:b/>
              </w:rPr>
              <w:t>of Shares of</w:t>
            </w:r>
            <w:r>
              <w:rPr/>
              <w:br/>
            </w:r>
            <w:r>
              <w:rPr>
                <w:b/>
              </w:rPr>
              <w:t>Shadow</w:t>
            </w:r>
            <w:r>
              <w:rPr/>
              <w:br/>
            </w:r>
            <w:r>
              <w:rPr>
                <w:b/>
              </w:rPr>
              <w:t>Preferred</w:t>
            </w:r>
            <w:r>
              <w:rPr/>
              <w:br/>
            </w:r>
            <w:r>
              <w:rPr>
                <w:b/>
              </w:rPr>
              <w:t>Stock</w:t>
            </w:r>
            <w:r>
              <w:rPr/>
              <w:br/>
            </w:r>
            <w:r>
              <w:rPr>
                <w:b/>
              </w:rPr>
              <w:t>Acquired upon</w:t>
            </w:r>
            <w:r>
              <w:rPr/>
              <w:br/>
            </w:r>
            <w:r>
              <w:rPr>
                <w:b/>
              </w:rPr>
              <w:t>Exchange</w:t>
            </w:r>
            <w:r>
              <w:rPr/>
              <w:br/>
            </w:r>
            <w:r>
              <w:rPr>
                <w:b/>
              </w:rPr>
              <w:t>(Note</w:t>
            </w:r>
            <w:r>
              <w:rPr/>
              <w:br/>
            </w:r>
            <w:r>
              <w:rPr>
                <w:b/>
              </w:rPr>
              <w:t>Purchase and</w:t>
            </w:r>
            <w:r>
              <w:rPr/>
              <w:br/>
            </w:r>
            <w:r>
              <w:rPr>
                <w:b/>
              </w:rPr>
              <w:t>Exchange)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pPr>
            <w:r>
              <w:rPr>
                <w:b/>
              </w:rPr>
              <w:t>P2P Note</w:t>
            </w:r>
            <w:r>
              <w:rPr/>
              <w:br/>
            </w:r>
            <w:r>
              <w:rPr>
                <w:b/>
              </w:rPr>
              <w:t>Principal</w:t>
            </w:r>
          </w:p>
        </w:tc>
        <w:tc>
          <w:tcPr>
            <w:tcW w:w="77" w:type="dxa"/>
            <w:tcBorders/>
            <w:vAlign w:val="center"/>
          </w:tcPr>
          <w:p>
            <w:pPr>
              <w:pStyle w:val="TableContents"/>
              <w:bidi w:val="0"/>
              <w:spacing w:before="0" w:after="283"/>
              <w:jc w:val="left"/>
              <w:rPr/>
            </w:pPr>
            <w:r>
              <w:rPr/>
              <w:t> </w:t>
            </w:r>
          </w:p>
        </w:tc>
      </w:tr>
      <w:tr>
        <w:trPr/>
        <w:tc>
          <w:tcPr>
            <w:tcW w:w="17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B Shadow Preferred Stock(2)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5,797,101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3,999,999.69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5,797,101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5,797,101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C Shadow Preferred Stock(3)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3,147,755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737" w:type="dxa"/>
            <w:tcBorders/>
            <w:vAlign w:val="center"/>
          </w:tcPr>
          <w:p>
            <w:pPr>
              <w:pStyle w:val="TableContents"/>
              <w:bidi w:val="0"/>
              <w:spacing w:before="0" w:after="283"/>
              <w:jc w:val="right"/>
              <w:rPr/>
            </w:pPr>
            <w:r>
              <w:rPr/>
              <w:t>15,000,000.00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3,147,755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3,147,755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17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Blaize Series D-1 Shadow Preferred Stock(4)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957,625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8,000,000.00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957,625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957,625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single" w:sz="2" w:space="1" w:color="000000"/>
              </w:pBdr>
              <w:bidi w:val="0"/>
              <w:spacing w:before="0" w:after="0"/>
              <w:jc w:val="left"/>
              <w:rPr/>
            </w:pPr>
            <w:r>
              <w:rPr/>
              <w:t> </w:t>
            </w:r>
          </w:p>
        </w:tc>
        <w:tc>
          <w:tcPr>
            <w:tcW w:w="17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0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single" w:sz="2" w:space="1" w:color="000000"/>
              </w:pBdr>
              <w:bidi w:val="0"/>
              <w:spacing w:before="0" w:after="0"/>
              <w:jc w:val="left"/>
              <w:rPr/>
            </w:pPr>
            <w:r>
              <w:rPr/>
              <w:t> </w:t>
            </w:r>
          </w:p>
        </w:tc>
        <w:tc>
          <w:tcPr>
            <w:tcW w:w="14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80"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Total</w:t>
            </w:r>
            <w:r>
              <w:rPr>
                <w:rFonts w:ascii="Times New Roman" w:hAnsi="Times New Roman"/>
                <w:sz w:val="20"/>
              </w:rPr>
              <w:t xml:space="preserve">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b/>
              </w:rPr>
            </w:pPr>
            <w:r>
              <w:rPr>
                <w:b/>
              </w:rPr>
              <w:t>9,902,481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b/>
              </w:rPr>
            </w:pPr>
            <w:r>
              <w:rPr>
                <w:b/>
              </w:rPr>
              <w:t>$</w:t>
            </w:r>
          </w:p>
        </w:tc>
        <w:tc>
          <w:tcPr>
            <w:tcW w:w="1737" w:type="dxa"/>
            <w:tcBorders/>
            <w:vAlign w:val="center"/>
          </w:tcPr>
          <w:p>
            <w:pPr>
              <w:pStyle w:val="TableContents"/>
              <w:bidi w:val="0"/>
              <w:spacing w:before="0" w:after="283"/>
              <w:jc w:val="right"/>
              <w:rPr>
                <w:b/>
              </w:rPr>
            </w:pPr>
            <w:r>
              <w:rPr>
                <w:b/>
              </w:rPr>
              <w:t>26,999,999.69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b/>
              </w:rPr>
            </w:pPr>
            <w:r>
              <w:rPr>
                <w:b/>
              </w:rPr>
              <w:t>9,902,481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b/>
              </w:rPr>
            </w:pPr>
            <w:r>
              <w:rPr>
                <w:b/>
              </w:rPr>
              <w:t>9,902,481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1280" w:type="dxa"/>
            <w:tcBorders/>
            <w:vAlign w:val="center"/>
          </w:tcPr>
          <w:p>
            <w:pPr>
              <w:pStyle w:val="TableContents"/>
              <w:bidi w:val="0"/>
              <w:spacing w:before="0" w:after="283"/>
              <w:jc w:val="right"/>
              <w:rPr>
                <w:b/>
              </w:rPr>
            </w:pPr>
            <w:r>
              <w:rPr>
                <w:b/>
              </w:rPr>
              <w:t>1,920,674.00</w:t>
            </w:r>
          </w:p>
        </w:tc>
        <w:tc>
          <w:tcPr>
            <w:tcW w:w="77" w:type="dxa"/>
            <w:tcBorders/>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pBdr>
                <w:top w:val="double" w:sz="6" w:space="1" w:color="000000"/>
              </w:pBdr>
              <w:bidi w:val="0"/>
              <w:spacing w:before="0" w:after="0"/>
              <w:jc w:val="left"/>
              <w:rPr/>
            </w:pPr>
            <w:r>
              <w:rPr/>
              <w:t> </w:t>
            </w:r>
          </w:p>
        </w:tc>
        <w:tc>
          <w:tcPr>
            <w:tcW w:w="100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double" w:sz="6" w:space="1" w:color="000000"/>
              </w:pBdr>
              <w:bidi w:val="0"/>
              <w:spacing w:before="0" w:after="0"/>
              <w:jc w:val="left"/>
              <w:rPr/>
            </w:pPr>
            <w:r>
              <w:rPr/>
              <w:t> </w:t>
            </w:r>
          </w:p>
        </w:tc>
        <w:tc>
          <w:tcPr>
            <w:tcW w:w="173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0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double" w:sz="6" w:space="1" w:color="000000"/>
              </w:pBdr>
              <w:bidi w:val="0"/>
              <w:spacing w:before="0" w:after="0"/>
              <w:jc w:val="left"/>
              <w:rPr/>
            </w:pPr>
            <w:r>
              <w:rPr/>
              <w:t> </w:t>
            </w:r>
          </w:p>
        </w:tc>
        <w:tc>
          <w:tcPr>
            <w:tcW w:w="14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80"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Tony Cannestra is a member of the Blaize board of directors and is affiliated with DENSO, DENSO Corporation and NSITEXE, Inc. (“NSITEXE”). As of December 31, 2024, DENSO and its affiliate, DENSO Corporation (previously held by NSITEXE, which was absorbed by and merged into DENSO on January 1, 2024), held approximately 5% of Blaize’s outstanding capital stock.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DENSO received 5,797,101 shares of Blaize Series B Preferred Stock upon the purchase of certain convertible securities in the aggregate principal amount of $3,999,999.69, pursuant to that certain Series B Preferred Stock Purchase Agreement, dated August 25, 2016, between ThinCI, Inc. and certain investors of Blaize listed on Schedule A thereto (the “Series B Purchase Agreement”).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NSITEXE received 3,147,755 shares of Blaize Series C Preferred Stock upon the purchase and conversion of certain convertible securities in the aggregate principal amount of $15,000,000.00, pursuant to the Series C Purchase Agreement. Subsequent to the Conversion and Exchange, the affiliate of the certain related party transferred 3,147,755 shares of Series C Shadow Preferred Stock to DENSO Corporation pursuant to that certain Stock Transfer Agreement, dated December 31, 2023, by and between NSITEXE and DENSO Corporation (the “DENSO Transfer Agreement”).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Conversion and Exchange, NSITEXE received 957,625 shares of Blaize Series D-1 Preferred Stock upon the purchase and conversion of certain convertible securities in the aggregate principal amount of $8,000,000.00, pursuant to the Series D Purchase Agreement. Subsequent to the Conversion and Exchange, the affiliate transferred 957,625 shares of Series D-1 Shadow Preferred Stock to DENSO Corporation pursuant to the DENSO Transfer Agreement.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Agreements with Shareholders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Common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P2P NPA, Blaize completed the Rights Offering in November 2023, whereby any common stockholder of Blaize that held shares of common stock as of immediately prior to the 10:1 reverse stock split completed in November 2022 had the opportunity to purchase a pro-rata portion of the P2P Notes and partially or fully undo the effects of the reverse stock split. The P2P Notes bore simple interest at a rate of ten percent (10%) and, unless converted earlier into shares pursuant to the P2P NPA, was payable on the earlier of (i) immediately prior to Blaize’s consummation of a transaction defined as a “Liquidation Event” in the Certificate of Incorporation of Blaize or (ii) an event of default with respect to the P2P Notes. Proceeds received under the Rights Offering totaled $0.1 million. Under the Rights Offering, Satyaki Koneru, the Chief Technical Officer of Blaize, purchased a P2P Note in the aggregate principal amount of $28,924.76; Ke Yin, the Vice President of Engineering of Blaize purchased a P2P Note in the aggregate principal amount of $28,924.76; and Dinakar Munagala, Chief Executive Officer and a member of the Blaize board of directors, purchased two P2P Notes in the aggregate principal amounts of $19,637.14 and $7,797.04, respectively. Since January 1, 2023, the largest aggregate amount of principal outstanding under the P2P Notes was approximately $12.4 million, and no amount of principal or interest has been paid under the P2P Notes. As of June 24, 2024, Blaize had approximately $12.4 million in borrowings outstanding under the P2P Notes, inclusive of P2P Notes issued under the Rights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Blaize is a party to the Amended and Restated Investors’ Rights Agreement, dated September 19, 2022, as amended by that certain Omnibus Amendment and Agreement, dated December 8, 2022, which provides, among other things, that certain holders of its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a member of the Blaize board of directors, have the right to demand that Blaize file a registration statement or request that their shares of Blaize capital stock be covered by a registration statement that Blaize is otherwise filing. This agreement will terminate upon completion of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Refusal and Co-Sale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certain agreements with its stockholders, including the Amended and Restated First Refusal and Co-sale Agreement, dated September 19, 2022, as amended by that certain Omnibus Amendment and Agreement, dated December 8, 2022 (the “ROFR Agreement”), Blaize or its assignees have the right to (i) purchase shares of Blaize capital stock which certain stockholders propose to sell to other parties and (ii) participate in the sale of shares of Blaize capital stock alongside certain stockholders. Certain holders of Blaize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Director of Blaize, have rights of first refusal and co-sale under the ROFR Agreement. The ROFR Agreement will terminate upon completion of the Business Combination. </w:t>
      </w:r>
    </w:p>
    <w:p>
      <w:pPr>
        <w:pStyle w:val="TextBody"/>
        <w:bidi w:val="0"/>
        <w:spacing w:before="360" w:after="0"/>
        <w:jc w:val="left"/>
        <w:rPr>
          <w:rFonts w:ascii="Times New Roman" w:hAnsi="Times New Roman"/>
          <w:sz w:val="20"/>
        </w:rPr>
      </w:pPr>
      <w:r>
        <w:rPr>
          <w:rFonts w:ascii="Times New Roman" w:hAnsi="Times New Roman"/>
          <w:b/>
          <w:i/>
          <w:sz w:val="20"/>
        </w:rPr>
        <w:t>Voting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Blaize is a party to the Amended and Restated Voting Agreement, dated September 19, 2022, as amended by that certain Omnibus Amendment and Agreement, dated December 8, 2022, and as further amended by that certain Amendment, dated July 3, 2023, pursuant to which certain holders of its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a member of the Blaize board of directors, have agreed to vote their shares of our capital stock on certain matters, including with respect to the board size and the election of directors. This agreement will terminate upon completion of the Business Combination. </w:t>
      </w:r>
    </w:p>
    <w:p>
      <w:pPr>
        <w:pStyle w:val="TextBody"/>
        <w:bidi w:val="0"/>
        <w:spacing w:before="360" w:after="0"/>
        <w:jc w:val="left"/>
        <w:rPr>
          <w:rFonts w:ascii="Times New Roman" w:hAnsi="Times New Roman"/>
          <w:sz w:val="20"/>
        </w:rPr>
      </w:pPr>
      <w:r>
        <w:rPr>
          <w:rFonts w:ascii="Times New Roman" w:hAnsi="Times New Roman"/>
          <w:b/>
          <w:i/>
          <w:sz w:val="20"/>
        </w:rPr>
        <w:t>Stockholder Support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Blaize is a party to the Stockholder Support Agreement, dated December 22, 2023 (the “Company Support Agreement”), pursuant to which certain holders of its capital stock, including Dinakar Munagala, Chief Executive Officer and a member of the Blaize board of directors, and entities affiliated with NSITEXE and DENSO, which are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have agreed to, among other things: (i) support and vote in favor of (a) the approval and adoption of the Merger Agreement and the Business Combination, (b) the conversion of each issued and outstanding share of Blaize Preferred Stock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Business Combination,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Blaize Capital Stock, subject to certain exceptions, and termination of certain stockholder agreements and other affiliate agreements of Blaize. This agreement will terminate upon completion of the Business Combination. </w:t>
      </w:r>
    </w:p>
    <w:p>
      <w:pPr>
        <w:pStyle w:val="TextBody"/>
        <w:bidi w:val="0"/>
        <w:spacing w:before="360" w:after="0"/>
        <w:jc w:val="left"/>
        <w:rPr>
          <w:rFonts w:ascii="Times New Roman" w:hAnsi="Times New Roman"/>
          <w:sz w:val="20"/>
        </w:rPr>
      </w:pPr>
      <w:r>
        <w:rPr>
          <w:rFonts w:ascii="Times New Roman" w:hAnsi="Times New Roman"/>
          <w:b/>
          <w:i/>
          <w:sz w:val="20"/>
        </w:rPr>
        <w:t>Side Letters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Bess Note (as defined below), pursuant to which Blaize has borrowed an aggregate principal amount of $5,000,000 from Bess Ventures, Blaize and Bess Ventures, which is affiliated with a member of the Blaize board of directors, Lane Bess, and currently holds more than 5% of Blaize’s outstanding capital stock, entered into a Management and Board Observer Rights Agreement, dated as of July 3, 2023 (the “Bess Side Letter”), pursuant to which Blaize has agreed to grant certain management consultation rights, access to books and records rights, inspection rights and board observer rights to Bess Ventures. The Bess Side Letter terminates upon the earlier to occur of (i) the consummation of the sale of Blaize’s securities pursuant to a registration statement in connection with a firm commitment underwritten offering of its securities to the general public or (ii) the date upon which Bess Ventures ceases to hold any shares of Blaize.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Note Purchase and Exchange Agreement, pursuant to which Blaize has borrowed an aggregate principal amount of $634,489.56 in aggregate from Franklin Funds, Blaize and Franklin Advisers, Inc., as the investment manager on behalf of Franklin Funds, which held within Blaize’s last fiscal year more than 5% of Blaize’s outstanding capital stock (collectively, the “Franklin Parties”), entered into a Side Letter, dated as of January 19, 2023 (the “Franklin P2P Side Letter”), pursuant to which Blaize has agreed to waive the lock-up provisions applicable to Blaize’s common stock or its convertible securities acquired by the Franklin Parties following the effective date of the first firm commitment underwritten public offering of Blaize’s securities. The Franklin P2P Side Letter terminates upon the earliest to occur of (i) immediately prior to such underwritten public offering, (ii) immediately prior to the consummation of a direct listing, (iii) such time as all of the Franklin Parties no longer hold any of the notes pursuant to the Note Purchase and Exchange Agreement or (iv) immediately prior to Blaize’s consummation of a transaction defined as a “Liquidation Event” in the Certificate of Incorporation of Blaize.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Note Purchase Agreement, dated as of July 3, 2023 (as amended and restated on April 22, 2024, the “Amended and Restated Note Purchase Agreement”), pursuant to which Blaize has borrowed an aggregate principal amount of $2,000,000 in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Franklin Funds, Blaize and the Franklin Parties, entered into a Side Letter, dated as of August 23, 2023 (the “Franklin 2023 Side Letter”), pursuant to which Blaize has agreed to the satisfaction of certain investment obligations of the Franklin Parties, and to waive the lock-up provisions applicable to Blaize’s common stock or its convertible securities acquired by the Franklin Parties following the effective date of the first firm commitment underwritten public offering of Blaize’s securities. The Franklin 2023 Side Letter terminates upon the earliest to occur of (i) immediately prior to such underwritten public offering, (ii) immediately prior to the consummation of a direct listing, (iii) such time as all of the Franklin Parties no longer hold any of the notes pursuant to the Amended and Restated Note Purchase Agreement or (iv) immediately prior to Blaize’s consummation of a transaction defined as a “Liquidation Event” in the Certificate of Incorporation of Blaize. </w:t>
      </w:r>
    </w:p>
    <w:p>
      <w:pPr>
        <w:pStyle w:val="TextBody"/>
        <w:bidi w:val="0"/>
        <w:spacing w:before="240" w:after="0"/>
        <w:jc w:val="left"/>
        <w:rPr>
          <w:rFonts w:ascii="Times New Roman" w:hAnsi="Times New Roman"/>
          <w:sz w:val="20"/>
        </w:rPr>
      </w:pPr>
      <w:r>
        <w:rPr>
          <w:rFonts w:ascii="Times New Roman" w:hAnsi="Times New Roman"/>
          <w:sz w:val="20"/>
        </w:rPr>
        <w:t xml:space="preserve">Blaize is a party to the Blaize 2011 Stock Plan Notice of Restricted Stock Unit Award, dated as of July 3, 2023 (the “Bess RSU Agreement”), pursuant to which Blaize granted 6,000,000 restricted stock units representing common stock of Blaize (the “Bess RSUs”), with a deemed grant date value of $2.6 million and an additional value of $1.7 million associated with a subsequent acceleration of vesting, to Bess Ventures, which is affiliated with a member of the Blaize board of directors, Lane Bess, and currently holds more than 5% of Blaize’s outstanding capital stock. The Bess RSUs are subject to various anti-dilution protections, and under the original terms vested upon the earlier to occur of (i) July 3, 2024, provided that Bess Ventures remains in continuous service as an employee, consultant or outside director through such date or (ii) Blaize’s completion of an initial public offering, a SPAC IPO (as defined in the Bess RSU Agreement), direct listing or sale event. On December 20, 2023, the Blaize Board unanimously approved a modification to the Bess RSU terms to immediately accelerate the vesting of the 6.0 million awards outstanding and issue 6.0 million shares of common stock, which were otherwise set to fully vest on July 3, 2024 on the terms of the Bess RSU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and Operating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Blaize is a party to a Long-Term Joint Development Agreement with an affiliate of a certain related party, dated as of February 15, 2022, pursuant to which Blaize and an affiliate of a certain related party, which held more than 5% of Blaize’s outstanding capital stock within Blaize’s last fiscal year and is affiliated with a member of the Blaize board of directors, Tony Cannestra, have agreed to jointly develop AI solutions based on one or more Blaize Products and market and sell the AI solutions to customers in various automotive market segments until the end of December 2029. Blaize has not recognized any revenue to date associated with the Long-Term Joint Development Agreement as it has yet to be commercialized. </w:t>
      </w:r>
    </w:p>
    <w:p>
      <w:pPr>
        <w:pStyle w:val="TextBody"/>
        <w:bidi w:val="0"/>
        <w:spacing w:before="240" w:after="0"/>
        <w:jc w:val="left"/>
        <w:rPr>
          <w:rFonts w:ascii="Times New Roman" w:hAnsi="Times New Roman"/>
          <w:sz w:val="20"/>
        </w:rPr>
      </w:pPr>
      <w:r>
        <w:rPr>
          <w:rFonts w:ascii="Times New Roman" w:hAnsi="Times New Roman"/>
          <w:sz w:val="20"/>
        </w:rPr>
        <w:t xml:space="preserve">Blaize expects commercialization of the Long-Term Joint Development Agreement to begin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Intercompany Transactions, Accounts Payable and Account Receivable </w:t>
      </w:r>
    </w:p>
    <w:p>
      <w:pPr>
        <w:pStyle w:val="TextBody"/>
        <w:bidi w:val="0"/>
        <w:spacing w:before="120" w:after="0"/>
        <w:jc w:val="left"/>
        <w:rPr>
          <w:rFonts w:ascii="Times New Roman" w:hAnsi="Times New Roman"/>
          <w:sz w:val="20"/>
        </w:rPr>
      </w:pPr>
      <w:r>
        <w:rPr>
          <w:rFonts w:ascii="Times New Roman" w:hAnsi="Times New Roman"/>
          <w:sz w:val="20"/>
        </w:rPr>
        <w:t xml:space="preserve">Pursuant to an Intercompany Service Agreement, dated February 25, 2020, by and between Blaize and Blaize New Computing Technologies India Private Limited, a subsidiary of Blaize (“Blaize India”), Blaize India has agreed to provide software development services to Blaize in exchange for a fee equal to Blaize India’s costs plus a markup of approximately 15%. The Intercompany Service Agreement remains in effect and the amounts expensed by Blaize to Blaize India under this agreement were approximately $13.5 million and $11.5 million for the fiscal years ended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Blaize is a party to the Research and Development Services Agreement, dated as of June 15, 2019, pursuant to which Blaize U.K. Limited f/k/a ThinCI Limited, a subsidiary of Blaize (“Blaize UK”), has agreed to perform certain research and development services for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amounts expensed by Blaize to Blaize UK under this agreement were approximately $6.6 million and $6.1 million for the fiscal years ended December 31,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Licensing and Trademark Agreements </w:t>
      </w:r>
    </w:p>
    <w:p>
      <w:pPr>
        <w:pStyle w:val="TextBody"/>
        <w:bidi w:val="0"/>
        <w:spacing w:before="120" w:after="0"/>
        <w:jc w:val="left"/>
        <w:rPr>
          <w:rFonts w:ascii="Times New Roman" w:hAnsi="Times New Roman"/>
          <w:sz w:val="20"/>
        </w:rPr>
      </w:pPr>
      <w:r>
        <w:rPr>
          <w:rFonts w:ascii="Times New Roman" w:hAnsi="Times New Roman"/>
          <w:sz w:val="20"/>
        </w:rPr>
        <w:t xml:space="preserve">Blaize is a party to the Blaize-DENSO Compiler Project Statement of Work, dated as of February 4, 2024, pursuant to which DENSO Corporation, an affiliate of Blaize which beneficially owns more than 5% of Blaize’s outstanding capital stock through its subsidiary, DENSO, and is affiliated with a member of the Blaize board of directors, Tony Cannestra, has agreed to jointly develop certain AI projects with Blaize. The approximate dollar value of the amount involved in the transaction is $326,658.60.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Loans </w:t>
      </w:r>
    </w:p>
    <w:p>
      <w:pPr>
        <w:pStyle w:val="TextBody"/>
        <w:bidi w:val="0"/>
        <w:spacing w:before="120" w:after="0"/>
        <w:jc w:val="left"/>
        <w:rPr>
          <w:rFonts w:ascii="Times New Roman" w:hAnsi="Times New Roman"/>
          <w:sz w:val="20"/>
        </w:rPr>
      </w:pPr>
      <w:r>
        <w:rPr>
          <w:rFonts w:ascii="Times New Roman" w:hAnsi="Times New Roman"/>
          <w:sz w:val="20"/>
        </w:rPr>
        <w:t xml:space="preserve">Blaize is a party to that certain intercompany Loan Agreement, dated June 14, 2019, between Blaize, Inc. (formerly known as M/s ThinCI Inc.), as lender, and Blaize New Computing Technologies India Private Limited (formerly known as M/s ThinCI Semiconductor Technologies India Private Limited), as borrower, in the initial principal amount of $4,462,416 (the “Blaize India Loan”). The Blaize India Loan bore simple interest at a rate of 7.99 percent (7.99%) and was payable within seven (7) working days from the expiry of interest period of six consecutive months. Since January 1, 2024, the largest aggregate amount of principal outstanding under the Blaize India Loan was $3,123,690. The amount of principal and interest paid under the Blaize India Loan since the inception of loan to date amounts to $446,242 and $356,418, respectively. As of December 31, 2024, Blaize India had $2,677,448 of borrowings outstanding under the Blaize India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Blaize is a party to the Note Purchase and Exchange Agreement, pursuant to which Blaize has borrowed an aggregate principal amount of $12,244,033.56 from certain holders of its capital stock, including the following related persons and their affiliated entities: (i) $2,312,010.00 from Anderson Investments (the related note, the “Anderson Note”), which currently holds more than 5% of Blaize’s outstanding capital stock, (ii) $3,280,853.00 from DENSO Corporation (the related note, the “DENSO Note”), an affiliate of Blaize which beneficially owns more than 5% of Blaize’s outstanding capital stock together with its subsidiary, DENSO, and is affiliated with a member of the Blaize board of directors, Tony Cannestra, and (iii) $634,489.56 in aggregate from Franklin Funds (the related notes, the “Franklin 2022 Notes”), which held within Blaize’s last fiscal year more than 5% of Blaize’s outstanding capital stock. The notes issued pursuant to such Note Purchase and Exchange Agreement are convertible, bear simple interest at a rate of ten percent (10%) and are payable on the earlier of (i) Blaize’s consummation of a transaction defined as a “Liquidation Event” in the Certificate of Incorporation of Blaize or (ii) an event of default with respect to the notes. Since January 1, 2023, the largest aggregate amount of principal outstanding under the Anderson Note was $2,312,010.00, and no amount of principal or interest has been paid under the Anderson Note. As of December 31, 2024, Blaize had $2,312,010.00 of borrowings outstanding under the Anderson Note. Since January 1, 2023, the largest aggregate amount of principal outstanding under the DENSO Note was $3,280,853.00, and no amount of principal or interest has been paid under the DENSO Note. As of December 31, 2024, Blaize had $3,280,853.00 of borrowings outstanding under the DENSO Note. Since January 1, 2023, the largest aggregate amount of principal outstanding under the Franklin 2022 Notes was $634,489.56, and no amount of principal or interest has been paid under the Franklin 2022 Notes. As of December 31, 2024, Blaize had $634,489.56 of borrowings outstanding under the Franklin 2022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Note Purchase and Exchange Agreement, warrants previously granted on September 19, 2022 to purchase Blaize Series D-2 preferred stock were amended to be exercisable into Blaize Series D-2 Shadow Preferred Stock. Of these warrants, Bess Ventures held a warrant exercisable into 416,769 shares of Blaize Series D-2 Shadow Preferred Stock and the Franklin Funds held four warrants exercisable into 155,040 Blaize Series D-2 Shadow Preferred Stock. In connection the Note Purchase and Exchange Agreement, warrants previously granted on February 28, 2021 and November 9, 2021 to purchase Blaize Series D preferred stock were amended to be exercisable into Blaize Series D Shadow Preferred Stock. Of these warrants, the Franklin Funds held four warrants exercisable for an aggregate of 287,289 shares of Series D Shadow Preferred Stock (the “Series D Warrants”). These Series D Warrants expired on February 28, 2024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Blaize is a party to the Amended and Restated Note Purchase Agreement pursuant to which Blaize has borrowed an aggregate principal amount of approximately $122.9 million from certain holders of its capital stock, including the following related persons and their affiliated entities: (i) $99.4 million from the RT Parties, (ii) $5,000,000 from Bess Ventures (the related note, the “Bess Note”), which is affiliated with a member of the Blaize board of directors, Lane Bess, and currently holds more than 5% of Blaize’s outstanding capital stock, (iii) $2,000,000 in aggregate from Franklin Funds (the related notes, the “Franklin Notes”), which held within Blaize’s last fiscal year more than 5% of Blaize’s outstanding capital stock and (iv) $16,500,000 from the Sponsor (the related notes, the “Sponsor Notes”), which currently holds more than 5% of Blaize’s outstanding capital stock. The notes issued pursuant to such Amended and Restated Note Purchase Agreement are convertible, bear interest at a rate of ten percent (10%) compounded annually and are payable on the earlier of (i) Blaize’s consummation of a transaction defined as a “Liquidation Event” in the Certificate of Incorporation of Blaize, (ii) an event of default with respect to the note or (iii) January 3, 2025. Since January 1, 2023, the largest aggregate amount of principal outstanding under the Bess Note was $5,000,000, and no amount of principal or interest has been paid under the Bess Note. As of December 31, 2024, Blaize had $5,000,000 of borrowings outstanding under the Bess Note. Since January 1, 2023, the largest aggregate amount of principal outstanding under the Franklin Notes was $2,000,000, and no amount of principal or interest has been paid under the Franklin Notes. As of December 31, 2024, Blaize had $2,000,000 of borrowings outstanding under the Franklin Notes. Since January 1, 2023, the largest aggregate amount of principal outstanding under the Sponsor Notes was $16,500,000, and no amount of principal or interest has been paid under the Sponsor Notes. As of December 31, 2024, Blaize had $16,500,000 of borrowings outstanding under the Sponsor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Amended and Restated Note Purchase Agreement, the noteholders were also granted warrants to purchase shares of Blaize preferred stock, with Bess Ventures receiving a warrant to purchase shares of Blaize preferred stock, dated September 19, 2022, exercisable for an aggregate of 416,769 shares of Blaize Series D-2 Preferred Stock, and the Franklin Funds receiving four (4) warrants to purchase shares of Blaize preferred stock, with two (2) dated February 28, 2021 and two (2) dated November 9, 2021, exercisable for an aggregate of 287,289 shares of Blaize Series D Preferred Stock (the “Franklin Warrants”). The Franklin Warrants expired on February 28, 2024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due under the Amended and Restated Note Purchase Agreement and the Bess Note are secured by the Amended and Restated Security Agreement, dated as of April 22, 2024 (the “A&amp;R Security Agreement”) and the Intellectual Property Security Agreement, dated as of July 3, 2023 (the “IP Security Agreement”), pursuant to which Blaize has granted, respectively, (i) a continuing security interest in and lien on all of Blaize’s property described therein and (ii) a security interest in all of Blaize’s right, title and interest in, to and under its intellectual property, to certain holders of its capital stock, including the following related persons and their affiliated entities: (a) Bess Ventures, which is affiliated with a member of the Blaize board of directors, Lane Bess, and currently holds more than 5% of Blaize’s outstanding capital stock, and (b) Franklin Funds, which held within Blaize’s last fiscal year more than 5% of Blaize’s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Blaize is a party to the Promissory Note, dated as of November 22, 2023, pursuant to which Blaize has borrowed an aggregate principal amount of $750,000 from Juergen Hambrecht, a member of the board of directors of Blaize.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$750,000, the amount of principal paid under the note was $750,000 and the amount of interest paid under the note was $38,466. As of December 31, 2024, Blaize had no borrowings outstanding under the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Blaize is a party to the Promissory Note, dated as of June 12, 2023, pursuant to which Blaize has borrowed an aggregate principal amount of $175,000 from Juergen Hambrecht, a member of the Blaize board of directors. The note bore simple interest at a rate of five percent (5%) and was payable on the earlier of (i) immediately following the initial closing of Blaize’s next convertible note or equity financing with aggregate proceeds of at least $5,000,000 or (ii) June 12, 2024. Since January 1, 2023, the largest aggregate amount of principal outstanding under the note was $175,000, the amount of principal paid under the note was $175,000 and the amount of interest paid under the note was $719. As of December 31, 2024, Blaize had no borrowings outstanding under the note. </w:t>
      </w:r>
    </w:p>
    <w:p>
      <w:pPr>
        <w:pStyle w:val="TextBody"/>
        <w:bidi w:val="0"/>
        <w:spacing w:before="240" w:after="0"/>
        <w:jc w:val="left"/>
        <w:rPr>
          <w:rFonts w:ascii="Times New Roman" w:hAnsi="Times New Roman"/>
          <w:sz w:val="20"/>
        </w:rPr>
      </w:pPr>
      <w:r>
        <w:rPr>
          <w:rFonts w:ascii="Times New Roman" w:hAnsi="Times New Roman"/>
          <w:sz w:val="20"/>
        </w:rPr>
        <w:t xml:space="preserve">Blaize is a party to the Promissory Note, dated as of November 22, 2023, pursuant to which Blaize has borrowed an aggregate principal amount of $4,000,000 from Bess Ventures, which is affiliated with a member of the Blaize board of directors, Lane Bess, and currently holds more than 5% of Blaize’s outstanding capital stock.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$4,000,000, the amount of principal paid under the note was $4,000,000 and the amount of interest paid under the note was $206,466. As of December 31, 2024, Blaize had no borrowings outstanding under the note. </w:t>
      </w:r>
    </w:p>
    <w:p>
      <w:pPr>
        <w:pStyle w:val="TextBody"/>
        <w:bidi w:val="0"/>
        <w:spacing w:before="240" w:after="0"/>
        <w:jc w:val="left"/>
        <w:rPr>
          <w:rFonts w:ascii="Times New Roman" w:hAnsi="Times New Roman"/>
          <w:sz w:val="20"/>
        </w:rPr>
      </w:pPr>
      <w:r>
        <w:rPr>
          <w:rFonts w:ascii="Times New Roman" w:hAnsi="Times New Roman"/>
          <w:sz w:val="20"/>
        </w:rPr>
        <w:t xml:space="preserve">Blaize is a party to the Promissory Note, dated as of June 5, 2023, pursuant to which Blaize has borrowed an aggregate principal amount of $175,000 from Bess Ventures, which is affiliated with a member of the Blaize board of directors, Lane Bess, and currently holds more than 5% of Blaize’s outstanding capital stock. The note bore simple interest at a rate of five percent (5%) and was payable on the earlier of (i) immediately following the initial closing of Blaize’s next convertible note or equity financing with aggregate proceeds of at least $5,000,000 or (ii) June 5, 2024. Since January 1, 2023, the largest aggregate amount of principal outstanding under the note was $175,000, the amount of principal paid under the note was $175,000 and the amount of interest paid under the note was $2,062. As of December 31, 2024, Blaize had no borrowings outstanding under the note. </w:t>
      </w:r>
    </w:p>
    <w:p>
      <w:pPr>
        <w:pStyle w:val="TextBody"/>
        <w:bidi w:val="0"/>
        <w:spacing w:before="240" w:after="0"/>
        <w:jc w:val="left"/>
        <w:rPr>
          <w:rFonts w:ascii="Times New Roman" w:hAnsi="Times New Roman"/>
          <w:sz w:val="20"/>
        </w:rPr>
      </w:pPr>
      <w:r>
        <w:rPr>
          <w:rFonts w:ascii="Times New Roman" w:hAnsi="Times New Roman"/>
          <w:sz w:val="20"/>
        </w:rPr>
        <w:t xml:space="preserve">Blaize is a party to the Convertible Promissory Note, dated as of January 19, 2023, pursuant to which Blaize has borrowed an aggregate principal amount of $415,000 from JIH, which is affiliated with a member of the Blaize board of directors, Juergen Hambrecht. The note bore simple interest at a rate of ten percent (10%) and, unless converted earlier into shares pursuant to the Note Purchase and Exchange Agreement, was payable on the earlier of (i) immediately prior to Blaize’s consummation of a transaction defined as a “Liquidation Event” in the Certificate of Incorporation of Blaize or (ii) an event of default with respect to the notes. Since January 1, 2023, the largest aggregate amount of principal outstanding under the note was $415,000, and no amount of principal or interest has been paid under the note. As of December 31, 2024, Blaize had $415,000 in borrowings outstanding under the note. Bess Ventures, which held within Blaize’s last fiscal year more than 5% of Blaize’s outstanding capital stock and is affiliated with a member of the Blaize board of directors, Lane Bess, is a party to the Promissory Note Agreement, dated as of January 19, 2024 (the “Bess 2024 Note”), pursuant to which the Sponsor, which currently holds more than 5% of Blaize’s outstanding capital stock, has borrowed an aggregate principal amount of $13,000,000 from Bess Ventures, which is affiliated with a member of the Blaize board of directors, Lane Bess, and currently holds more than 5% of Blaize’s outstanding capital stock, in exchange for 500,000 shares of BurTech Class A Common Stock.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As of October 1, 2024, the aggregate amount outstanding under the Bess 2024 Note is approximately $14.2 million, and no payments or interest or principal on the loan have been paid. Further, pursuant to an agreement between the Sponsor and Bess Ventures, the Sponsor shall transfer 500,000 shares of New Blaize Common Stock following the six (6) month anniversary of the closing of the Business Combination and in connection with the termination of the post-closing lock-up obligations of each of the Sponsor and Bess Ventures.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its P2P Note pursuant to the Note Purchase Agreement, in an aggregate principal amount up to $13.0 million, (ii) any securities issued upon the conversion thereof, (iii) all of Sponsor’s rights, title and interests under the Note Purchase Agreement, the A&amp;R Security Agreement, the IP Security Agreement, and all other financing statements, agreements, instruments and documents granting, perfecting or protecting a security interest in Blaize’s assets to secure the P2P Notes and (iv) all proceeds of each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and Bess Ventures, which each held within Blaize’s last fiscal year more than 5% of Blaize’s outstanding capital stock and, solely with respect to Bess Ventures, is affiliated with a member of the Blaize board of directors, Lane Bess, and Blaize entered into a Letter Agreement, dated as of February 15, 2024, pursuant to which Blaize acknowledged and agreed to the grant of security and the obligations set forth in the Bess Security Agreement and other related loan documents, and further agreed to comply with certain instructions and procedures as set forth therein. As of August 31, 2024, Sponsor was in default of the repayment terms in connection with the Bess 2024 Note, the Bess Security Agreement and the Letter Agreement as a result of its failure to make a timely repayment of the outstanding balance that was due on March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16, 2024, Bess Ventures and the Sponsor entered into a forbearance agreement (the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SPAC Transaction (as defined in the Restated Charter). As of October 1, 2024, the forbearance period under the Forbearance Agreement has not expired or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shares of BurTech Class A Common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BurTech Class A Common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of BurTech Class A Common Stock (representing the 500,000 shares required to be transferred to Bess Ventures under the Bess 2025 Note and 2.0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BurTech Class A Common Stock. As of March 25, 2025, the forbearance period under the Second Forbearance Agreement has expired and the Sponsor is under default under the Bess 2025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and Officer Indemnification </w:t>
      </w:r>
    </w:p>
    <w:p>
      <w:pPr>
        <w:pStyle w:val="TextBody"/>
        <w:bidi w:val="0"/>
        <w:spacing w:before="120" w:after="0"/>
        <w:jc w:val="left"/>
        <w:rPr>
          <w:rFonts w:ascii="Times New Roman" w:hAnsi="Times New Roman"/>
          <w:sz w:val="20"/>
        </w:rPr>
      </w:pPr>
      <w:r>
        <w:rPr>
          <w:rFonts w:ascii="Times New Roman" w:hAnsi="Times New Roman"/>
          <w:sz w:val="20"/>
        </w:rPr>
        <w:t>Blaize’s charter and Blaize’s bylaws provide for indemnification and advancement of expenses for its directors and officers to the fullest extent permitted by the DGCL, subject to certain limited exceptions. Blaize has entered into indemnification agreements with certain of the members of its board directors. Following the Business Combination, Blaize expects that these agreements will be replaced with new indemnification agreements for each director and officer of New Blaize. For additional information, see “</w:t>
      </w:r>
      <w:r>
        <w:rPr>
          <w:rFonts w:ascii="Times New Roman" w:hAnsi="Times New Roman"/>
          <w:i/>
          <w:sz w:val="20"/>
        </w:rPr>
        <w:t>Description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BurTech’s</w:t>
      </w:r>
      <w:r>
        <w:rPr>
          <w:rFonts w:ascii="Times New Roman" w:hAnsi="Times New Roman"/>
          <w:sz w:val="20"/>
        </w:rPr>
        <w:t xml:space="preserve"> </w:t>
      </w:r>
      <w:r>
        <w:rPr>
          <w:rFonts w:ascii="Times New Roman" w:hAnsi="Times New Roman"/>
          <w:i/>
          <w:sz w:val="20"/>
        </w:rPr>
        <w:t>Securities</w:t>
      </w:r>
      <w:r>
        <w:rPr>
          <w:rFonts w:ascii="Times New Roman" w:hAnsi="Times New Roman"/>
          <w:sz w:val="20"/>
        </w:rPr>
        <w:t xml:space="preserve"> — </w:t>
      </w:r>
      <w:r>
        <w:rPr>
          <w:rFonts w:ascii="Times New Roman" w:hAnsi="Times New Roman"/>
          <w:i/>
          <w:sz w:val="20"/>
        </w:rPr>
        <w:t>Limitations</w:t>
      </w:r>
      <w:r>
        <w:rPr>
          <w:rFonts w:ascii="Times New Roman" w:hAnsi="Times New Roman"/>
          <w:sz w:val="20"/>
        </w:rPr>
        <w:t xml:space="preserve"> </w:t>
      </w:r>
      <w:r>
        <w:rPr>
          <w:rFonts w:ascii="Times New Roman" w:hAnsi="Times New Roman"/>
          <w:i/>
          <w:sz w:val="20"/>
        </w:rPr>
        <w:t>on</w:t>
      </w:r>
      <w:r>
        <w:rPr>
          <w:rFonts w:ascii="Times New Roman" w:hAnsi="Times New Roman"/>
          <w:sz w:val="20"/>
        </w:rPr>
        <w:t xml:space="preserve"> </w:t>
      </w:r>
      <w:r>
        <w:rPr>
          <w:rFonts w:ascii="Times New Roman" w:hAnsi="Times New Roman"/>
          <w:i/>
          <w:sz w:val="20"/>
        </w:rPr>
        <w:t>Liability</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Indemnification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934548_12"/>
      <w:bookmarkEnd w:id="14"/>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240" w:after="0"/>
        <w:jc w:val="left"/>
        <w:rPr>
          <w:rFonts w:ascii="Times New Roman" w:hAnsi="Times New Roman"/>
          <w:sz w:val="20"/>
        </w:rPr>
      </w:pPr>
      <w:r>
        <w:rPr>
          <w:rFonts w:ascii="Times New Roman" w:hAnsi="Times New Roman"/>
          <w:sz w:val="20"/>
        </w:rPr>
        <w:t xml:space="preserve">Blaize is a groundbreaking semiconductor and software technology company dedicated to revolutionizing the world of AI. Today, we provide AI accelerated computing solutions that deliver transformative value optimized for vision analytics applications at the edge. This capability is very relevant for the mobility and automotive sectors where we can offer solutions for L2+ applications in the near-term and we continue to collaborate with OEMs as they develop their solutions for L4+ applications, which is enabled by our fully auto- grade compliant chip roadmap. Our mission is to empower enterprises to harness the power of AI inference at every step from the edge to the data center, delivering real-time insights and decision-making capabilities with high speed and efficiency. With our unique and innovative hardware and software solutions, we believe we help transform industries and unlock new possibilities for our customers in an increasingly connected and data-driven world and capitalize on the business and revenue opportunities brought by the growing awareness and focus on AI. </w:t>
      </w:r>
    </w:p>
    <w:p>
      <w:pPr>
        <w:pStyle w:val="TextBody"/>
        <w:bidi w:val="0"/>
        <w:spacing w:before="240" w:after="0"/>
        <w:jc w:val="left"/>
        <w:rPr>
          <w:rFonts w:ascii="Times New Roman" w:hAnsi="Times New Roman"/>
          <w:sz w:val="20"/>
        </w:rPr>
      </w:pPr>
      <w:r>
        <w:rPr>
          <w:rFonts w:ascii="Times New Roman" w:hAnsi="Times New Roman"/>
          <w:sz w:val="20"/>
        </w:rPr>
        <w:t xml:space="preserve">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 with a significant purchase order that has multiple use cases leveraging the full-stack capability currently being deployed. </w:t>
      </w:r>
    </w:p>
    <w:p>
      <w:pPr>
        <w:pStyle w:val="TextBody"/>
        <w:bidi w:val="0"/>
        <w:spacing w:before="240" w:after="0"/>
        <w:jc w:val="left"/>
        <w:rPr>
          <w:rFonts w:ascii="Times New Roman" w:hAnsi="Times New Roman"/>
          <w:sz w:val="20"/>
        </w:rPr>
      </w:pPr>
      <w:r>
        <w:rPr>
          <w:rFonts w:ascii="Times New Roman" w:hAnsi="Times New Roman"/>
          <w:sz w:val="20"/>
        </w:rPr>
        <w:t xml:space="preserve">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can help to drive the future of AI accelerated computing at the edge. </w:t>
      </w:r>
    </w:p>
    <w:p>
      <w:pPr>
        <w:pStyle w:val="TextBody"/>
        <w:bidi w:val="0"/>
        <w:spacing w:before="240" w:after="0"/>
        <w:jc w:val="left"/>
        <w:rPr>
          <w:rFonts w:ascii="Times New Roman" w:hAnsi="Times New Roman"/>
          <w:sz w:val="20"/>
        </w:rPr>
      </w:pPr>
      <w:r>
        <w:rPr>
          <w:rFonts w:ascii="Times New Roman" w:hAnsi="Times New Roman"/>
          <w:sz w:val="20"/>
        </w:rPr>
        <w:t xml:space="preserve">The revenue opportunities available to us just based on the current chip are significant with a strong and growing pipeline already in place. Development of our next-generation chip is underway and expected to provide new features and capabilities, in addition to higher compute at leading edge processor node. Further, we plan to provide an intermediate hardware solution for mobility and L2 automotive customers ahead of delivering our auto-grade chip.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Background </w:t>
      </w:r>
    </w:p>
    <w:p>
      <w:pPr>
        <w:pStyle w:val="TextBody"/>
        <w:bidi w:val="0"/>
        <w:spacing w:before="120" w:after="0"/>
        <w:jc w:val="left"/>
        <w:rPr>
          <w:rFonts w:ascii="Times New Roman" w:hAnsi="Times New Roman"/>
          <w:sz w:val="20"/>
        </w:rPr>
      </w:pPr>
      <w:r>
        <w:rPr>
          <w:rFonts w:ascii="Times New Roman" w:hAnsi="Times New Roman"/>
          <w:sz w:val="20"/>
        </w:rPr>
        <w:t xml:space="preserve">Historically, most edge processing solutions were built around a cloud and data center-centric infrastructure. In such solutions, data is collected at the edge and is sent back to a centralized location where the real AI processing happens. This approach is demanding on power,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avoidance of cloud and centralized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we have witnessed AI moving from exploration and innovation to deployment phase across most industries. Business leaders and organizations have started to understand the value, benefits and ROI of AI, leading to a significant growth in adoption of AI and demand for AI accelerator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Blaize is already engaged in various industries with great potential for the widespread adoption of AI such as automotive, defense, enterprise and more. These industries are growing at a healthy rate and are poised to continue to do so in the long term, supported by strong fundamentals such as the adoption of autonomous solutions and generative AI, decentralization of data and AI for data privacy and data ownership and the drive for sustainability. Blaize is well positioned by being able to immediately access the burgeoning AI accelerator market today with software and solutions and follow up with a rich roadmap that greatly increases our SAM. </w:t>
      </w:r>
    </w:p>
    <w:p>
      <w:pPr>
        <w:pStyle w:val="TextBody"/>
        <w:bidi w:val="0"/>
        <w:spacing w:before="240" w:after="0"/>
        <w:jc w:val="left"/>
        <w:rPr>
          <w:rFonts w:ascii="Times New Roman" w:hAnsi="Times New Roman"/>
          <w:sz w:val="20"/>
        </w:rPr>
      </w:pPr>
      <w:r>
        <w:rPr>
          <w:rFonts w:ascii="Times New Roman" w:hAnsi="Times New Roman"/>
          <w:sz w:val="20"/>
        </w:rPr>
        <w:t xml:space="preserve">We expect the AI landscape to continue evolving at a rapid pace. Key trends that will impact the future of our industries include adoption of Generative AI, Large (“LLMs”) and Small Language Models (“SLMs”), vision transformers and multi-modality. The industry will continue to seek alternatives to incumbent architectures such as the GPU and the CPU, prioritizing performance, total cost of ownership and ease of use. These characteristics are just as relevant and necessary for data center inference applications as they are for edge AI vision analytics. As the Blaize chip roadmap is enhanced, the inherent advantages of the GSP architecture and ease of programmability enable Blaize to remain relevant to market and customer evolution. </w:t>
      </w:r>
    </w:p>
    <w:p>
      <w:pPr>
        <w:pStyle w:val="TextBody"/>
        <w:bidi w:val="0"/>
        <w:spacing w:before="360" w:after="0"/>
        <w:jc w:val="left"/>
        <w:rPr>
          <w:rFonts w:ascii="Times New Roman" w:hAnsi="Times New Roman"/>
          <w:b/>
          <w:sz w:val="20"/>
        </w:rPr>
      </w:pPr>
      <w:r>
        <w:rPr>
          <w:rFonts w:ascii="Times New Roman" w:hAnsi="Times New Roman"/>
          <w:b/>
          <w:sz w:val="20"/>
        </w:rPr>
        <w:t xml:space="preserve">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Blaize is well positioned to capitalize on the significant growth opportunity created by artificial intelligence (AI) due to its intellectual capital, innovative products and solutions and emerging position in the market. Through 2027, as much as half of enterprise generated data is forecasted to reside outside a traditional centralized data center or cloud location2. It is anticipated that edge devices will generate over 80 zettabytes (“ZB”) of data by 20253, and this will continue to increase rapidly. This provides a colossal opportunity to capture, process and extract value (monetize) using AI computation close to where the data is being generated. Due to its unique ability to efficiently enable AI at the edge without compromising computing performance, Blaize is strongly positioned to build on its success in this market. </w:t>
      </w:r>
    </w:p>
    <w:p>
      <w:pPr>
        <w:pStyle w:val="TextBody"/>
        <w:bidi w:val="0"/>
        <w:spacing w:before="240" w:after="0"/>
        <w:jc w:val="left"/>
        <w:rPr>
          <w:rFonts w:ascii="Times New Roman" w:hAnsi="Times New Roman"/>
          <w:sz w:val="20"/>
        </w:rPr>
      </w:pPr>
      <w:r>
        <w:rPr>
          <w:rFonts w:ascii="Times New Roman" w:hAnsi="Times New Roman"/>
          <w:sz w:val="20"/>
        </w:rPr>
        <w:t xml:space="preserve">Blaize serves a large and rapidly growing addressable AI market. Based upon industry reports, the total addressable market (“TAM”) for AI accelerators silicon for edge applications is estimated at approximately $34.3 billion in 2024, and expected to grow to over $63.7 billion by 2030.4 Inference processing is expected to dominate the edge silicon market both in terms of unit volume and revenue. Despite the positive outlook, the AI market is subject to rapid technological changes, evolving industry standards, customer needs and preferences and developing regulations in the United States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NTD: Source: https://www.gartner.com/en/newsroom/press-releases/2023-10-30-gartner- says-50-percent-of-critical-enterprise-applications- will-reside-outside-of-centralized-public-cloud-locations- through-2027.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3 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NTD: Source: IDC plus Blaize estimation and forecast. Hojlo, J. (2021). Future of Industry Ecosystems: Shared Insights &amp; Data | IDC Blog. [online] blogs.idc.com. Available at: https://blogs.idc.com/ 2021/01/06/future-of-industry-ecosystems-shared-data-and-insights/. </w:t>
            </w:r>
          </w:p>
        </w:tc>
      </w:tr>
    </w:tbl>
    <w:tbl>
      <w:tblPr>
        <w:tblW w:w="7060" w:type="dxa"/>
        <w:jc w:val="left"/>
        <w:tblInd w:w="0" w:type="dxa"/>
        <w:tblLayout w:type="fixed"/>
        <w:tblCellMar>
          <w:top w:w="0" w:type="dxa"/>
          <w:left w:w="0" w:type="dxa"/>
          <w:bottom w:w="0" w:type="dxa"/>
          <w:right w:w="0" w:type="dxa"/>
        </w:tblCellMar>
      </w:tblPr>
      <w:tblGrid>
        <w:gridCol w:w="215"/>
        <w:gridCol w:w="6845"/>
      </w:tblGrid>
      <w:tr>
        <w:trPr/>
        <w:tc>
          <w:tcPr>
            <w:tcW w:w="215" w:type="dxa"/>
            <w:tcBorders/>
            <w:vAlign w:val="center"/>
          </w:tcPr>
          <w:p>
            <w:pPr>
              <w:pStyle w:val="TableContents"/>
              <w:bidi w:val="0"/>
              <w:spacing w:before="0" w:after="283"/>
              <w:jc w:val="left"/>
              <w:rPr/>
            </w:pPr>
            <w:r>
              <w:rPr/>
              <w:t>4 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NTD: Source: AI Processors for the Edge Forecast Report—2023 Database, OMDIA.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current generation of Blaize products is primarily focused on video analytics applications and AI inference at the edge. This enables Blaize to address a global Serviceable Addressable Market (“SAM”) currently estimated at $26.3 billion, expected to exceed $71.3 billion in 20285. The following verticals are included in this estimation: security and monitoring, which includes tactical edge, smart city and smart retail uses (growing at a compounded average growth rate (“CAGR”) of 21.0%), enterprise edge AI, which includes smart manufacturing and healthcare uses (growing at a CAGR of 19.6%) and autonomous systems, which is further described below. The following verticals are NOT included, as they are not addressable by Blaize technology: HMD and VR headsets, smart speakers and home appliances, laptop and consumer PCs, tablets and smartphones.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AI Edge opportunities above, Blaize’s current technology can address the autonomous systems market for drones and robotics and automotives, including AI accelerators for cockpit, in-cabin and infotainment applications. This addressable market is sized at $947 million today. In the near-term, post-2026, Blaize is planning to support driver-assist features that require auto-grade and safety features. This will extend the addressable market to include L2/L3+ autonomous computing in transportation (buses, cars and trucks) applications and expand the projected addressable market to $17.5 billion by 20286. </w:t>
      </w:r>
    </w:p>
    <w:p>
      <w:pPr>
        <w:pStyle w:val="TextBody"/>
        <w:bidi w:val="0"/>
        <w:spacing w:before="240" w:after="0"/>
        <w:jc w:val="left"/>
        <w:rPr>
          <w:rFonts w:ascii="Times New Roman" w:hAnsi="Times New Roman"/>
          <w:sz w:val="20"/>
        </w:rPr>
      </w:pPr>
      <w:r>
        <w:rPr>
          <w:rFonts w:ascii="Times New Roman" w:hAnsi="Times New Roman"/>
          <w:sz w:val="20"/>
        </w:rPr>
        <w:t xml:space="preserve">The current hardware products place Blaize in a strong position into the burgeoning AI accelerator market today. We have worked with many customers in pilots and technical evaluations across industries, such as enterprise, defense and automotive. In addition to hardware sales, we believe we are well positioned to profit from software and services through our comprehensive, pre-integrated software stack, vertically integrated solutions, AI Studio development platform, and analytics framework and toolkit. This provides a high-margin incremental opportunity to monetize from our growing customer base and ecosystem. </w:t>
      </w:r>
    </w:p>
    <w:p>
      <w:pPr>
        <w:pStyle w:val="TextBody"/>
        <w:bidi w:val="0"/>
        <w:spacing w:before="240" w:after="0"/>
        <w:jc w:val="left"/>
        <w:rPr>
          <w:rFonts w:ascii="Times New Roman" w:hAnsi="Times New Roman"/>
          <w:sz w:val="20"/>
        </w:rPr>
      </w:pPr>
      <w:r>
        <w:rPr>
          <w:rFonts w:ascii="Times New Roman" w:hAnsi="Times New Roman"/>
          <w:sz w:val="20"/>
        </w:rPr>
        <w:t xml:space="preserve">Our target markets are large, growing and sustained by strong fundamentals, which will ensure long term revenues and growth. </w:t>
      </w:r>
    </w:p>
    <w:p>
      <w:pPr>
        <w:pStyle w:val="TextBody"/>
        <w:bidi w:val="0"/>
        <w:spacing w:before="240" w:after="0"/>
        <w:jc w:val="left"/>
        <w:rPr>
          <w:rFonts w:ascii="Times New Roman" w:hAnsi="Times New Roman"/>
          <w:sz w:val="20"/>
        </w:rPr>
      </w:pPr>
      <w:r>
        <w:rPr>
          <w:rFonts w:ascii="Times New Roman" w:hAnsi="Times New Roman"/>
          <w:sz w:val="20"/>
        </w:rPr>
        <w:t xml:space="preserve">The drivers for this growth are mainly attributed to an adoption drive across industries for autonomous solutions, traditional and generative AI applications, the trend towards decentralization of data, data privacy and ownership, and the global appetite for sustainability.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scalable and programmable nature of our product architecture positions us well to capitalize on rapidly changing demands of AI applications, unlike established and emerging competitive alternatives that focus on raw performance for specific and narrow workloads (such as fixed function logic for computer vision, image processing, or legacy designed repurposed for ML). </w:t>
      </w:r>
    </w:p>
    <w:p>
      <w:pPr>
        <w:pStyle w:val="TextBody"/>
        <w:bidi w:val="0"/>
        <w:spacing w:before="240" w:after="0"/>
        <w:jc w:val="left"/>
        <w:rPr>
          <w:rFonts w:ascii="Times New Roman" w:hAnsi="Times New Roman"/>
          <w:sz w:val="20"/>
        </w:rPr>
      </w:pPr>
      <w:r>
        <w:rPr>
          <w:rFonts w:ascii="Times New Roman" w:hAnsi="Times New Roman"/>
          <w:sz w:val="20"/>
        </w:rPr>
        <w:t xml:space="preserve">The existing products will enable Blaize to capture revenue and market share for video analytics applications in verticals such as retail, defense and healthcare by embedding in devices such as surveillance and security cameras, edge servers (including edge datacenters), drones, machine vision (including industrial automation) and robotics. Once these markets are established, Blaize will be able to expand in adjacent verticals, and in future, by intruding updated hardware and software products, expand the SAM, and associated revenue sources. </w:t>
      </w:r>
    </w:p>
    <w:p>
      <w:pPr>
        <w:pStyle w:val="TextBody"/>
        <w:bidi w:val="0"/>
        <w:spacing w:before="360" w:after="0"/>
        <w:jc w:val="left"/>
        <w:rPr>
          <w:rFonts w:ascii="Times New Roman" w:hAnsi="Times New Roman"/>
          <w:b/>
          <w:sz w:val="20"/>
        </w:rPr>
      </w:pPr>
      <w:r>
        <w:rPr>
          <w:rFonts w:ascii="Times New Roman" w:hAnsi="Times New Roman"/>
          <w:b/>
          <w:sz w:val="20"/>
        </w:rPr>
        <w:t xml:space="preserve">Products </w:t>
      </w:r>
    </w:p>
    <w:p>
      <w:pPr>
        <w:pStyle w:val="TextBody"/>
        <w:bidi w:val="0"/>
        <w:spacing w:before="120" w:after="0"/>
        <w:jc w:val="left"/>
        <w:rPr>
          <w:rFonts w:ascii="Times New Roman" w:hAnsi="Times New Roman"/>
          <w:sz w:val="20"/>
        </w:rPr>
      </w:pPr>
      <w:r>
        <w:rPr>
          <w:rFonts w:ascii="Times New Roman" w:hAnsi="Times New Roman"/>
          <w:sz w:val="20"/>
        </w:rPr>
        <w:t xml:space="preserve">Blaize has invested over a decade in the innovation and development of groundbreaking technologies that enable faster and more efficient deployment of advanced applications such as computer vision and machine learning. With years of combined experience across our engineering organization, we have created a new and unique parallel computing architecture that has become the foundation of our products and solutions, delivering incredible value to our customers and the industry.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5 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NTD: Source: AI Processors for the Edge Forecast Report-OMDIA; Gartner (Forecast AI Semiconductors, Worldwide, 2022-2028, 2Q24 Update); plus Blaize estimation and forecast.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6 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NTD: Source: AI Processors for the Edge Forecast Report -OMDIA; Gartner (Forecast AI Semiconductors, Worldwide, 2022- 2028, 2Q24 Update); plus Blaize estimation and forecast.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Blaize has created an innovative type of AI computing accelerator, the GSP. This processor has been designed from the ground up for computer vision and machine learning applications. It is fully programmable, making it flexible and future proof. The GSP leverages parallelism at data, instruction, task, chip and system level—streamlining execution processing and enabling low energy consumption, high performance and scalability. These advantages are demonstrated time and time again through the numerous technical evaluations that customers undertake on their own data. More significantly, as the demands of edge AI inference continue to increase at a rapid pace, and customer data is evolving and changing frequently, our GSP is a key differentiator in enabling customer confidence. </w:t>
      </w:r>
    </w:p>
    <w:p>
      <w:pPr>
        <w:pStyle w:val="TextBody"/>
        <w:bidi w:val="0"/>
        <w:spacing w:before="240" w:after="0"/>
        <w:jc w:val="left"/>
        <w:rPr>
          <w:rFonts w:ascii="Times New Roman" w:hAnsi="Times New Roman"/>
          <w:sz w:val="20"/>
        </w:rPr>
      </w:pPr>
      <w:r>
        <w:rPr>
          <w:rFonts w:ascii="Times New Roman" w:hAnsi="Times New Roman"/>
          <w:sz w:val="20"/>
        </w:rPr>
        <w:t xml:space="preserve">Blaize’s hardware products are compute cards that incorporate the GSP and come in a comprehensive set of commonly used form factors: M.2, EDSFF, PCIe and SOM (system on module).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Blaize that meet the demands of a wide range of customer use cases. </w:t>
      </w:r>
    </w:p>
    <w:p>
      <w:pPr>
        <w:pStyle w:val="TextBody"/>
        <w:bidi w:val="0"/>
        <w:spacing w:before="240" w:after="0"/>
        <w:jc w:val="left"/>
        <w:rPr>
          <w:rFonts w:ascii="Times New Roman" w:hAnsi="Times New Roman"/>
          <w:sz w:val="20"/>
        </w:rPr>
      </w:pPr>
      <w:r>
        <w:rPr>
          <w:rFonts w:ascii="Times New Roman" w:hAnsi="Times New Roman"/>
          <w:sz w:val="20"/>
        </w:rPr>
        <w:t xml:space="preserve">We support industry standard APIs and frameworks, enabling customers to execute current models and develop new applications on our hardware. We also provide a comprehensive software suite, Blaize AI Studio. This is an intuitive and visual non-code environment intended to simplify the creation and deployment of AI models, with the goal of empowering developers and data scientists to build and optimize AI applications more efficiently. AI Studio features a robust set of tools and libraries, and is designed to streamline the development lifecycle, allowing organizations to bring AI-powered solutions to market more quickly. </w:t>
      </w:r>
    </w:p>
    <w:p>
      <w:pPr>
        <w:pStyle w:val="TextBody"/>
        <w:bidi w:val="0"/>
        <w:spacing w:before="240" w:after="0"/>
        <w:jc w:val="left"/>
        <w:rPr>
          <w:rFonts w:ascii="Times New Roman" w:hAnsi="Times New Roman"/>
          <w:sz w:val="20"/>
        </w:rPr>
      </w:pPr>
      <w:r>
        <w:rPr>
          <w:rFonts w:ascii="Times New Roman" w:hAnsi="Times New Roman"/>
          <w:sz w:val="20"/>
        </w:rPr>
        <w:t xml:space="preserve">Collaborating with system integrators, software vendors, and hardware manufacturers, we are continuously expanding our ecosystem to ensure seamless integration and interoperability with existing infrastructure and AI frameworks. This approach enables organizations to leverage their existing investments while adopting cutting- edge AI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Product Target Markets </w:t>
      </w:r>
    </w:p>
    <w:p>
      <w:pPr>
        <w:pStyle w:val="TextBody"/>
        <w:bidi w:val="0"/>
        <w:spacing w:before="120" w:after="0"/>
        <w:jc w:val="left"/>
        <w:rPr>
          <w:rFonts w:ascii="Times New Roman" w:hAnsi="Times New Roman"/>
          <w:sz w:val="20"/>
        </w:rPr>
      </w:pPr>
      <w:r>
        <w:rPr>
          <w:rFonts w:ascii="Times New Roman" w:hAnsi="Times New Roman"/>
          <w:sz w:val="20"/>
        </w:rPr>
        <w:t xml:space="preserve">Our product targets two of AI’s highest-impact verticals that require AI accelerated computing at the edge: short cycle industrial and long cycle automotive.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applications </w:t>
      </w:r>
    </w:p>
    <w:p>
      <w:pPr>
        <w:pStyle w:val="TextBody"/>
        <w:bidi w:val="0"/>
        <w:spacing w:before="120" w:after="0"/>
        <w:jc w:val="left"/>
        <w:rPr>
          <w:rFonts w:ascii="Times New Roman" w:hAnsi="Times New Roman"/>
          <w:sz w:val="20"/>
        </w:rPr>
      </w:pPr>
      <w:r>
        <w:rPr>
          <w:rFonts w:ascii="Times New Roman" w:hAnsi="Times New Roman"/>
          <w:sz w:val="20"/>
        </w:rPr>
        <w:t xml:space="preserve">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address the needs of enterprise, commercial, industrial and defense customers. We have a leading role to develop and deliver a range of complete security solutions for a defense entity that harnesses the full-stack benefits of the Blaize technology. </w:t>
      </w:r>
    </w:p>
    <w:p>
      <w:pPr>
        <w:pStyle w:val="TextBody"/>
        <w:bidi w:val="0"/>
        <w:spacing w:before="240" w:after="0"/>
        <w:jc w:val="left"/>
        <w:rPr>
          <w:rFonts w:ascii="Times New Roman" w:hAnsi="Times New Roman"/>
          <w:sz w:val="20"/>
        </w:rPr>
      </w:pPr>
      <w:r>
        <w:rPr>
          <w:rFonts w:ascii="Times New Roman" w:hAnsi="Times New Roman"/>
          <w:sz w:val="20"/>
        </w:rPr>
        <w:t xml:space="preserve">Furthermore, current solutions in the market are fragmented, with multiple vendor platforms, leaving customers with the complexity and cost associated with making the pieces work together.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uniquely positioned to win because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 programmable hardware and AI Studio software platform enables customers to fully and easily integrate their solutions and deploy to market faster and more efficiently.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ease of use of our products allows customers to quickly deploy, manage, and extract contextual value from their analytics to meet their needs. We enable our customers to easily update their models when new data becomes available, without having to resort to scarce and expensive data science skilled resources.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Blaize’s dynamic hardware and software solutions enable proactive maintenance, ongoing optimization and enhanced security in tailored applications, such as in full-field asset tracking and monitoring functions related to security and monitoring.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Automotive </w:t>
      </w:r>
    </w:p>
    <w:p>
      <w:pPr>
        <w:pStyle w:val="TextBody"/>
        <w:bidi w:val="0"/>
        <w:spacing w:before="120" w:after="0"/>
        <w:jc w:val="left"/>
        <w:rPr>
          <w:rFonts w:ascii="Times New Roman" w:hAnsi="Times New Roman"/>
          <w:sz w:val="20"/>
        </w:rPr>
      </w:pPr>
      <w:r>
        <w:rPr>
          <w:rFonts w:ascii="Times New Roman" w:hAnsi="Times New Roman"/>
          <w:sz w:val="20"/>
        </w:rPr>
        <w:t xml:space="preserve">We believe Blaize GSP provides a more efficient way to run standard and customized neural networks in automobiles and other transportation vehicles. We expect to use our Blaize GSP-based platforms to replace power-consuming GPU and FPGA chips, improving system efficiency advantage and a single scalable architecture across various use cases. In addition, we provide full programmability for a range of platforms, dynamic workloads, and updates. By combining low latency with low power consumption, Blaize GSP is ideal for efficiently processing AI workloads at the automotive edge, either as an embedded or accelerator solution. </w:t>
      </w:r>
    </w:p>
    <w:p>
      <w:pPr>
        <w:pStyle w:val="TextBody"/>
        <w:bidi w:val="0"/>
        <w:spacing w:before="240" w:after="0"/>
        <w:jc w:val="left"/>
        <w:rPr>
          <w:rFonts w:ascii="Times New Roman" w:hAnsi="Times New Roman"/>
          <w:sz w:val="20"/>
        </w:rPr>
      </w:pPr>
      <w:r>
        <w:rPr>
          <w:rFonts w:ascii="Times New Roman" w:hAnsi="Times New Roman"/>
          <w:sz w:val="20"/>
        </w:rPr>
        <w:t xml:space="preserve">We consider our technology to be uniquely positioned to win in this market. The automotive value chain is quickly evolving with profits coming from the ability of automotive OEMs and Tier-1 suppliers to offer software upgrades and new features in the field. The Blaize technology can bring considerable advantages in these applications due to the programmability of the hardware, the support for industry standards and the overall advantage in total cost of ownership. </w:t>
      </w:r>
    </w:p>
    <w:p>
      <w:pPr>
        <w:pStyle w:val="TextBody"/>
        <w:bidi w:val="0"/>
        <w:spacing w:before="240" w:after="0"/>
        <w:jc w:val="left"/>
        <w:rPr>
          <w:rFonts w:ascii="Times New Roman" w:hAnsi="Times New Roman"/>
          <w:sz w:val="20"/>
        </w:rPr>
      </w:pPr>
      <w:r>
        <w:rPr>
          <w:rFonts w:ascii="Times New Roman" w:hAnsi="Times New Roman"/>
          <w:sz w:val="20"/>
        </w:rPr>
        <w:t xml:space="preserve">We understand our roadmap to be robust and able to meet the ever-growing complexity and size of models required to meet the current and future demands of autonomous driving. </w:t>
      </w:r>
    </w:p>
    <w:p>
      <w:pPr>
        <w:pStyle w:val="TextBody"/>
        <w:bidi w:val="0"/>
        <w:spacing w:before="360" w:after="0"/>
        <w:jc w:val="left"/>
        <w:rPr>
          <w:rFonts w:ascii="Times New Roman" w:hAnsi="Times New Roman"/>
          <w:b/>
          <w:sz w:val="20"/>
        </w:rPr>
      </w:pPr>
      <w:r>
        <w:rPr>
          <w:rFonts w:ascii="Times New Roman" w:hAnsi="Times New Roman"/>
          <w:b/>
          <w:sz w:val="20"/>
        </w:rPr>
        <w:t xml:space="preserve">Product Roadmap </w:t>
      </w:r>
    </w:p>
    <w:p>
      <w:pPr>
        <w:pStyle w:val="TextBody"/>
        <w:bidi w:val="0"/>
        <w:spacing w:before="120" w:after="0"/>
        <w:jc w:val="left"/>
        <w:rPr>
          <w:rFonts w:ascii="Times New Roman" w:hAnsi="Times New Roman"/>
          <w:sz w:val="20"/>
        </w:rPr>
      </w:pPr>
      <w:r>
        <w:rPr>
          <w:rFonts w:ascii="Times New Roman" w:hAnsi="Times New Roman"/>
          <w:sz w:val="20"/>
        </w:rPr>
        <w:t xml:space="preserve">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and exceed those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Silicon &amp; Hardware Roadmap </w:t>
      </w:r>
    </w:p>
    <w:p>
      <w:pPr>
        <w:pStyle w:val="TextBody"/>
        <w:bidi w:val="0"/>
        <w:spacing w:before="120" w:after="0"/>
        <w:jc w:val="left"/>
        <w:rPr>
          <w:rFonts w:ascii="Times New Roman" w:hAnsi="Times New Roman"/>
          <w:sz w:val="20"/>
        </w:rPr>
      </w:pPr>
      <w:r>
        <w:rPr>
          <w:rFonts w:ascii="Times New Roman" w:hAnsi="Times New Roman"/>
          <w:sz w:val="20"/>
        </w:rPr>
        <w:t xml:space="preserve">Our hardware roadmap includes: </w:t>
      </w:r>
    </w:p>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system-on-chip (“SoC”) AI accelerators, in the form of integrated circuits;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standard expansion cards and modules that incorporate these AI accelerators; and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complete systems solutions using these cards or modules.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Blaize architecture was designed from the ground-up to allow the targeting of several markets and applications with a single AI accelerator, which allows for a more cost-effective product development and deployment process. </w:t>
      </w:r>
    </w:p>
    <w:p>
      <w:pPr>
        <w:pStyle w:val="TextBody"/>
        <w:bidi w:val="0"/>
        <w:spacing w:before="240" w:after="0"/>
        <w:jc w:val="left"/>
        <w:rPr>
          <w:rFonts w:ascii="Times New Roman" w:hAnsi="Times New Roman"/>
          <w:sz w:val="20"/>
        </w:rPr>
      </w:pPr>
      <w:r>
        <w:rPr>
          <w:rFonts w:ascii="Times New Roman" w:hAnsi="Times New Roman"/>
          <w:sz w:val="20"/>
        </w:rPr>
        <w:t xml:space="preserve">The current generation of hardware enables Blaize to access markets such as enterprise, commercial and industrial.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intend for our next generation of hardware to deliver architectural and performance enhancements to: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target applications from the edge to the data center;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enable automotive and chiplet-based designs; and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improve customer value through new and future AI technologies and innovations.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Software &amp; Solutions Roadmap </w:t>
      </w:r>
    </w:p>
    <w:p>
      <w:pPr>
        <w:pStyle w:val="TextBody"/>
        <w:bidi w:val="0"/>
        <w:spacing w:before="120" w:after="0"/>
        <w:jc w:val="left"/>
        <w:rPr>
          <w:rFonts w:ascii="Times New Roman" w:hAnsi="Times New Roman"/>
          <w:sz w:val="20"/>
        </w:rPr>
      </w:pPr>
      <w:r>
        <w:rPr>
          <w:rFonts w:ascii="Times New Roman" w:hAnsi="Times New Roman"/>
          <w:sz w:val="20"/>
        </w:rPr>
        <w:t xml:space="preserve">Unlike alternative AI hardware vendors, Blaize provides a complete vertically integrated solution of hardware and software that focuses on the developer and customer experience. This makes Blaize compute accelerator platforms easier to use, integrate and deploy. Our customers save valuable development time and are able to get to revenue and scale faster. Non-coders and non-engineers can easily access our platforms and port and deploy their applications with minimal effort. Thus, Blaize’s unique software and solutions approach unlocks new revenue opportunities and simplifies adoption of AI. </w:t>
      </w:r>
    </w:p>
    <w:p>
      <w:pPr>
        <w:pStyle w:val="TextBody"/>
        <w:bidi w:val="0"/>
        <w:spacing w:before="360" w:after="0"/>
        <w:jc w:val="left"/>
        <w:rPr>
          <w:rFonts w:ascii="Times New Roman" w:hAnsi="Times New Roman"/>
          <w:sz w:val="20"/>
        </w:rPr>
      </w:pPr>
      <w:r>
        <w:rPr>
          <w:rFonts w:ascii="Times New Roman" w:hAnsi="Times New Roman"/>
          <w:sz w:val="20"/>
        </w:rPr>
        <w:t xml:space="preserve">Our software roadmap targets two fundamental needs in the marketplace: AI optimized solutions and AI development and deployment. </w:t>
      </w:r>
    </w:p>
    <w:p>
      <w:pPr>
        <w:pStyle w:val="TextBody"/>
        <w:bidi w:val="0"/>
        <w:spacing w:before="240" w:after="0"/>
        <w:jc w:val="left"/>
        <w:rPr>
          <w:rFonts w:ascii="Times New Roman" w:hAnsi="Times New Roman"/>
          <w:sz w:val="20"/>
        </w:rPr>
      </w:pPr>
      <w:r>
        <w:rPr>
          <w:rFonts w:ascii="Times New Roman" w:hAnsi="Times New Roman"/>
          <w:sz w:val="20"/>
        </w:rPr>
        <w:t xml:space="preserve">For AI optimized solutions, our SDK roadmap focuses on library optimization for solutions development and infrastructure optimization for overall solution performance. This includes new enhanced AI, analytics, and high-performance computing libraries that can be directly used by customers while building and deploying their applications and end-uses. The infrastructure optimization includes innovative techniques, which allows for AI model optimization and compilation, and runtime/driver updates to support a variety of new hardware hosts in the market, including but not limited to x64 and ARM-based hosts. </w:t>
      </w:r>
    </w:p>
    <w:p>
      <w:pPr>
        <w:pStyle w:val="TextBody"/>
        <w:bidi w:val="0"/>
        <w:spacing w:before="240" w:after="0"/>
        <w:jc w:val="left"/>
        <w:rPr>
          <w:rFonts w:ascii="Times New Roman" w:hAnsi="Times New Roman"/>
          <w:sz w:val="20"/>
        </w:rPr>
      </w:pPr>
      <w:r>
        <w:rPr>
          <w:rFonts w:ascii="Times New Roman" w:hAnsi="Times New Roman"/>
          <w:sz w:val="20"/>
        </w:rPr>
        <w:t xml:space="preserve">For AI development and deployment needs, our AI Studio solution provides marketplace packaged analytics modules that customers can directly deploy in their applications.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organization utilizes primary and secondary research to identify key markets and sales opportunities across all target verticals. Marketing activities focus on elevating brand, product and value proposition awareness across the broader industry, with prospects in selected target verticals. This includes participation at trade events, demonstration of Blaize technology, collaborations and co-promotions with ecosystem partners, social campaigns, competitive positioning and other marketing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Our go-to-market (“GTM”) strategy focuses on creating a partnership ecosystem to develop and define a portfolio of end-to-end, market ready solutions powered by our products that addresses enterprise customer requirements in the enterprise, commercial, industrial and defense verticals. </w:t>
      </w:r>
    </w:p>
    <w:p>
      <w:pPr>
        <w:pStyle w:val="TextBody"/>
        <w:bidi w:val="0"/>
        <w:spacing w:before="360" w:after="0"/>
        <w:jc w:val="left"/>
        <w:rPr>
          <w:rFonts w:ascii="Times New Roman" w:hAnsi="Times New Roman"/>
          <w:sz w:val="20"/>
        </w:rPr>
      </w:pPr>
      <w:r>
        <w:rPr>
          <w:rFonts w:ascii="Times New Roman" w:hAnsi="Times New Roman"/>
          <w:sz w:val="20"/>
        </w:rPr>
        <w:t xml:space="preserve">We focus our marketing and sales efforts on four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Hardware powered by Blaize</w:t>
            </w:r>
            <w:r>
              <w:rPr>
                <w:rFonts w:ascii="Times New Roman" w:hAnsi="Times New Roman"/>
                <w:sz w:val="20"/>
              </w:rPr>
              <w:t xml:space="preserve">—we build, qualify, and quantify market ready hardware solutions with a large number of OEMs;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2.</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Our unique full stack approach </w:t>
            </w:r>
            <w:r>
              <w:rPr>
                <w:rFonts w:ascii="Times New Roman" w:hAnsi="Times New Roman"/>
                <w:sz w:val="20"/>
              </w:rPr>
              <w:t xml:space="preserve">- we are well positioned to deliver a fully integrated software and hardware solutions which include 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Applications powered by Blaize</w:t>
            </w:r>
            <w:r>
              <w:rPr>
                <w:rFonts w:ascii="Times New Roman" w:hAnsi="Times New Roman"/>
                <w:sz w:val="20"/>
              </w:rPr>
              <w:t xml:space="preserve">—our team concentrates on qualifying with application partners that deliver customer-facing software and services in our focused verticals;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Ecosystem channel delivery</w:t>
            </w:r>
            <w:r>
              <w:rPr>
                <w:rFonts w:ascii="Times New Roman" w:hAnsi="Times New Roman"/>
                <w:sz w:val="20"/>
              </w:rPr>
              <w:t xml:space="preserve">—we contract with cloud, distribution, integration, and value-add resellers already supporting our target markets;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Enterprise adoption </w:t>
            </w:r>
            <w:r>
              <w:rPr>
                <w:rFonts w:ascii="Times New Roman" w:hAnsi="Times New Roman"/>
                <w:sz w:val="20"/>
              </w:rPr>
              <w:t xml:space="preserve">- we promote market ready solutions powered by Blaize and present use cases that meet our customers’ varying budget and deployment requirements.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Customers and Prospective Customers </w:t>
      </w:r>
    </w:p>
    <w:p>
      <w:pPr>
        <w:pStyle w:val="TextBody"/>
        <w:bidi w:val="0"/>
        <w:spacing w:before="120" w:after="0"/>
        <w:jc w:val="left"/>
        <w:rPr>
          <w:rFonts w:ascii="Times New Roman" w:hAnsi="Times New Roman"/>
          <w:sz w:val="20"/>
        </w:rPr>
      </w:pPr>
      <w:r>
        <w:rPr>
          <w:rFonts w:ascii="Times New Roman" w:hAnsi="Times New Roman"/>
          <w:sz w:val="20"/>
        </w:rPr>
        <w:t xml:space="preserve">We are working with multiple customers across various industries globally, including in North America, Japan, Korea, EU and the GCC (Gulf Corporation Countries) Region. We have a multi-million dollar purchase order with a defense entity to provide a host of complete solutions that require low latency, low power and high performance compute in the field, where our technology advantages excel. These solutions can be easily and rapidly offered to other defense entities. </w:t>
      </w:r>
    </w:p>
    <w:p>
      <w:pPr>
        <w:pStyle w:val="TextBody"/>
        <w:bidi w:val="0"/>
        <w:spacing w:before="240" w:after="0"/>
        <w:jc w:val="left"/>
        <w:rPr>
          <w:rFonts w:ascii="Times New Roman" w:hAnsi="Times New Roman"/>
          <w:sz w:val="20"/>
        </w:rPr>
      </w:pPr>
      <w:r>
        <w:rPr>
          <w:rFonts w:ascii="Times New Roman" w:hAnsi="Times New Roman"/>
          <w:sz w:val="20"/>
        </w:rPr>
        <w:t xml:space="preserve">In the automotive sector, our programable hardware technology has been vetted and endorsed through a long-standing partnership with DENSO, one of the world’s largest Tier 1 supplier to Toyota, Honda, GM, and others. Additionally, in 2023 and 2024, we teamed up with Mercedes-Benz and their partner vendors to evaluate their requirements for an advanced L4 platform, intended to be in production by the end of this decade. We believe these collaborations demonstrate a high level of confidence in our architecture and our readiness to provide automotive-grade silicon to the industry. </w:t>
      </w:r>
    </w:p>
    <w:p>
      <w:pPr>
        <w:pStyle w:val="TextBody"/>
        <w:bidi w:val="0"/>
        <w:spacing w:before="240" w:after="0"/>
        <w:jc w:val="left"/>
        <w:rPr>
          <w:rFonts w:ascii="Times New Roman" w:hAnsi="Times New Roman"/>
          <w:sz w:val="20"/>
        </w:rPr>
      </w:pPr>
      <w:r>
        <w:rPr>
          <w:rFonts w:ascii="Times New Roman" w:hAnsi="Times New Roman"/>
          <w:sz w:val="20"/>
        </w:rPr>
        <w:t xml:space="preserve">In the past twelve months, Blaize entered into a Purchase Order Contract Agreement dated May 1, 2024 with a UAE private company (the “POCA Counterparty”) that provides defense solutions (the “POCA”) and is currently negotiating an addendum to the Purchase Order Contract Agreement. The POCA provides solutions to government entities in the UAE. Under the POCA, Blaize will provide numerous solutions to the POCA Counterparty that require low latency, low power and high performance compute in the field. Specifically, the POCA Counterparty, as the Technical Service Provider licensed by the DED AbuDhabi, Government of United Arab Emirates (“TSP”), and Blaize, as the supplier of equipment, software and/or managed services to TSP for the purpose of installation, provision, operations and/or maintenance of TSP’s networks (in such capacity, the “Vendor”), agreed that the Vendor will supply equipment and services to TSP’s clients for consideration of up to $105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 </w:t>
      </w:r>
    </w:p>
    <w:p>
      <w:pPr>
        <w:pStyle w:val="TextBody"/>
        <w:bidi w:val="0"/>
        <w:spacing w:before="240" w:after="0"/>
        <w:jc w:val="left"/>
        <w:rPr>
          <w:rFonts w:ascii="Times New Roman" w:hAnsi="Times New Roman"/>
          <w:sz w:val="20"/>
        </w:rPr>
      </w:pPr>
      <w:r>
        <w:rPr>
          <w:rFonts w:ascii="Times New Roman" w:hAnsi="Times New Roman"/>
          <w:sz w:val="20"/>
        </w:rPr>
        <w:t xml:space="preserve">The POCA establish a timeline for each of the projects, including deadlines for the deliverables that TSP will require, beginning in the third quarter of 2024 through the fourth quarter of 2025. The POCA will continue to be in full force and effect unless terminated earlier by TSP. </w:t>
      </w:r>
    </w:p>
    <w:p>
      <w:pPr>
        <w:pStyle w:val="TextBody"/>
        <w:bidi w:val="0"/>
        <w:spacing w:before="240" w:after="0"/>
        <w:jc w:val="left"/>
        <w:rPr>
          <w:rFonts w:ascii="Times New Roman" w:hAnsi="Times New Roman"/>
          <w:sz w:val="20"/>
        </w:rPr>
      </w:pPr>
      <w:r>
        <w:rPr>
          <w:rFonts w:ascii="Times New Roman" w:hAnsi="Times New Roman"/>
          <w:sz w:val="20"/>
        </w:rPr>
        <w:t xml:space="preserve">Performance of the parties’ obligations under the POCA have been delayed and, as of March 31, 2025, Blaize has not shipped any products nor received any payments from the POCA Counterparty. Under the terms of the POCA, Blaize must receive advance payment by the POCA Counterparty before the shipment of any product. </w:t>
      </w:r>
    </w:p>
    <w:p>
      <w:pPr>
        <w:pStyle w:val="TextBody"/>
        <w:bidi w:val="0"/>
        <w:spacing w:before="240" w:after="0"/>
        <w:jc w:val="left"/>
        <w:rPr>
          <w:rFonts w:ascii="Times New Roman" w:hAnsi="Times New Roman"/>
          <w:sz w:val="20"/>
        </w:rPr>
      </w:pPr>
      <w:r>
        <w:rPr>
          <w:rFonts w:ascii="Times New Roman" w:hAnsi="Times New Roman"/>
          <w:sz w:val="20"/>
        </w:rPr>
        <w:t xml:space="preserve">Though no revenues have been realized under the terms of the POCA to date, Blaize management believes that, if Blaize successfully delivers the updated proof of concept by May 2025, the POCA and the relationship with TSP and TSP’s clients has the potential to generate significant revenues for the company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further believe that the solutions that Blaize is currently developing for TSP and TSP’s clients demonstrate Blaize’s capability to create a full-stack solution for the defense industry, which we believe can be marketed for other defense solutions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Competitive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following key strengths will help us maintain our unique product solutions and continue our growth trajectory moving forward: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Revolutionary Architecture</w:t>
            </w:r>
            <w:r>
              <w:rPr>
                <w:rFonts w:ascii="Times New Roman" w:hAnsi="Times New Roman"/>
                <w:sz w:val="20"/>
              </w:rPr>
              <w:t xml:space="preserve">. We believe our innovative full-stack solution, incorporating and bundling silicon, hardware, and software, at the edge, 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Efficient and Programmable Graph Streaming Processor</w:t>
            </w:r>
            <w:r>
              <w:rPr>
                <w:rFonts w:ascii="Times New Roman" w:hAnsi="Times New Roman"/>
                <w:sz w:val="20"/>
              </w:rPr>
              <w:t xml:space="preserve">. 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 (4) fully programmable.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Task-Level Parallelism through Highly Efficient Streaming of Neural Network Graphs</w:t>
            </w:r>
            <w:r>
              <w:rPr>
                <w:rFonts w:ascii="Times New Roman" w:hAnsi="Times New Roman"/>
                <w:sz w:val="20"/>
              </w:rPr>
              <w:t xml:space="preserve">. Neural network processing lends itself well to four different levels of parallelism: instruction- level, data-level, thread level, and task-level. Our GSP architecture is the only one in the industry to provide all four levels of parallelism: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GSPs offer instruction-level parallelism by scheduling instructions as soon as their dependencies have been met. Each processor executes its instructions independently of any other processor.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GSPs offer thread parallelism, with multiple hardware threads per processor. Within a single clock cycle, our processor can change context either by switching threads or by dispatching a new thread.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GSPs offer data parallelism through special instructions that can operate directly on unaligned blocks of data in a register file. These instructions include 2D block instructions, such as block move and block add, as well as reduction instructions, such as dot product.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Fully Programmable Architecture with Efficient End-to-end Applications</w:t>
            </w:r>
            <w:r>
              <w:rPr>
                <w:rFonts w:ascii="Times New Roman" w:hAnsi="Times New Roman"/>
                <w:sz w:val="20"/>
              </w:rPr>
              <w:t xml:space="preserve">. AI developers today face three major challenges when deploying AI applications in the real-world: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Integration</w:t>
            </w:r>
            <w:r>
              <w:rPr>
                <w:rFonts w:ascii="Times New Roman" w:hAnsi="Times New Roman"/>
                <w:sz w:val="20"/>
              </w:rPr>
              <w:t xml:space="preserve">. Neural network functions are usually part of an overall application; therefore, developers need to be able to easily and efficiently integrate both the neural network and non-neural network functions;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Efficiency</w:t>
            </w:r>
            <w:r>
              <w:rPr>
                <w:rFonts w:ascii="Times New Roman" w:hAnsi="Times New Roman"/>
                <w:sz w:val="20"/>
              </w:rPr>
              <w:t xml:space="preserve">. The entire AI application must run efficiently on the hardware deployed, with high performance, low latency and low power;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Periodic Updates</w:t>
            </w:r>
            <w:r>
              <w:rPr>
                <w:rFonts w:ascii="Times New Roman" w:hAnsi="Times New Roman"/>
                <w:sz w:val="20"/>
              </w:rPr>
              <w:t xml:space="preserve">. It is crucial to be able to update applications and neural networks as more data is collected in the field and new neural network innovations rapidly evolve.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our GSP solves these three major challenges in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Integration</w:t>
            </w:r>
            <w:r>
              <w:rPr>
                <w:rFonts w:ascii="Times New Roman" w:hAnsi="Times New Roman"/>
                <w:sz w:val="20"/>
              </w:rPr>
              <w:t xml:space="preserve">. The GSP architecture is fully programmable, which enables developers to build end-to-end AI applications, integrate non-neural network functions (such as Image Signal Processing) and neural network functions that are built in any Machine Learning framework, and execute these on the same hardware.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Efficiency</w:t>
            </w:r>
            <w:r>
              <w:rPr>
                <w:rFonts w:ascii="Times New Roman" w:hAnsi="Times New Roman"/>
                <w:sz w:val="20"/>
              </w:rPr>
              <w:t xml:space="preserve">. The fully integrated Picasso software development platform and graph framework take care of translating these complex end-to-end AI applications into graphs that run efficiently and performantly on the underlying hardware.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Periodic updates</w:t>
            </w:r>
            <w:r>
              <w:rPr>
                <w:rFonts w:ascii="Times New Roman" w:hAnsi="Times New Roman"/>
                <w:sz w:val="20"/>
              </w:rPr>
              <w:t xml:space="preserve">. As the neural network and workflow evolves, and as new data is collected, the AI models can be re-trained and re-deployed with ease and speed, using the integrated Picasso toolkit.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Low Capex and De-Risked Business Model</w:t>
            </w:r>
            <w:r>
              <w:rPr>
                <w:rFonts w:ascii="Times New Roman" w:hAnsi="Times New Roman"/>
                <w:sz w:val="20"/>
              </w:rPr>
              <w:t xml:space="preserve">. While we design and sell our hardware and semiconductor chips, we do not manufacture the silicon wafers or chips used in our products. Instead, we outsource the fabrication of these products to a manufacturing plant.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Cost Efficiency</w:t>
            </w:r>
            <w:r>
              <w:rPr>
                <w:rFonts w:ascii="Times New Roman" w:hAnsi="Times New Roman"/>
                <w:sz w:val="20"/>
              </w:rPr>
              <w:t xml:space="preserve">. As a fabless manufacturing company, we avoid potentially high capital investments that would be required to build and 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Flexibility and Scalability</w:t>
            </w:r>
            <w:r>
              <w:rPr>
                <w:rFonts w:ascii="Times New Roman" w:hAnsi="Times New Roman"/>
                <w:sz w:val="20"/>
              </w:rPr>
              <w:t xml:space="preserve">. We can scale production quickly without having to invest in additional manufacturing facilities. As a result, we respond to market demand fluctuations by leveraging the capacity and capabilities of external foundries. We believe this flexibility allows us to adapt to market conditions and rapidly bring new products to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Technological Expertise</w:t>
            </w:r>
            <w:r>
              <w:rPr>
                <w:rFonts w:ascii="Times New Roman" w:hAnsi="Times New Roman"/>
                <w:sz w:val="20"/>
              </w:rPr>
              <w:t xml:space="preserve">. We have a relentless focus to concentrate all efforts on research, development, and innovation, without being burdened by the complexities of semiconductor manufacturing. Our teams of experts are solely focused on designing advanced chips and pushing technological boundaries. We believe this specialization has enabled our development of more cutting- edge products and faster time-to-market.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Access to Advanced Processes</w:t>
            </w:r>
            <w:r>
              <w:rPr>
                <w:rFonts w:ascii="Times New Roman" w:hAnsi="Times New Roman"/>
                <w:sz w:val="20"/>
              </w:rPr>
              <w:t xml:space="preserve">. 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Global Supply Chain</w:t>
            </w:r>
            <w:r>
              <w:rPr>
                <w:rFonts w:ascii="Times New Roman" w:hAnsi="Times New Roman"/>
                <w:sz w:val="20"/>
              </w:rPr>
              <w:t xml:space="preserve">. Our fabless approach gives us the ability to tap into a global network of foundries, enabling our selection of the most suitable manufacturing partner based on the specific requirements. We believe this global supply chain, in turn, also offers geographic diversification, reducing the risk of disruptions caused by regional issues, such as natural disasters or geopolitical factors.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Focus on Differentiation</w:t>
            </w:r>
            <w:r>
              <w:rPr>
                <w:rFonts w:ascii="Times New Roman" w:hAnsi="Times New Roman"/>
                <w:sz w:val="20"/>
              </w:rPr>
              <w:t xml:space="preserve">. With manufacturing outsourced, we have the capacity to heavily focus on developing unique features and intellectual property (“IP”). We are investing in specialized design teams, software development, and system integration to create products that stand out in the market and provide a competitive advantage.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Reduced Time-to-Market</w:t>
            </w:r>
            <w:r>
              <w:rPr>
                <w:rFonts w:ascii="Times New Roman" w:hAnsi="Times New Roman"/>
                <w:sz w:val="20"/>
              </w:rPr>
              <w:t xml:space="preserve">. We believe the fabless manufacturing model allows us to expedite our product development cycles. By partnering with external foundries, we parallelize design and fabrication processes, reducing time-consuming steps and accelerating the overall time-to-market.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Growth Strategies </w:t>
      </w:r>
    </w:p>
    <w:p>
      <w:pPr>
        <w:pStyle w:val="TextBody"/>
        <w:bidi w:val="0"/>
        <w:spacing w:before="120" w:after="0"/>
        <w:jc w:val="left"/>
        <w:rPr>
          <w:rFonts w:ascii="Times New Roman" w:hAnsi="Times New Roman"/>
          <w:sz w:val="20"/>
        </w:rPr>
      </w:pPr>
      <w:r>
        <w:rPr>
          <w:rFonts w:ascii="Times New Roman" w:hAnsi="Times New Roman"/>
          <w:sz w:val="20"/>
        </w:rPr>
        <w:t xml:space="preserve">The key elements of our strategy for growth include focusing on the following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Scaling through expansion of our current products reach deeper into our own industry’s verticals and expanding into adjacent verticals.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Grow our ecosystem of hardware manufacturers and independent software vendors specializing across a variety of industry verticals and form new partnerships with them to bring innovative turn-key solutions to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enhance the features available in AI Studio in order to target a wider community of developers, including universities and other institutes of higher education.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Incorporate market AI trends into the design of our next-generation SoC to further expand our addressable TAM.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currently outsource all of our manufacturing and leverage partnerships with several global manufacturing and assembly providers. </w:t>
      </w:r>
    </w:p>
    <w:p>
      <w:pPr>
        <w:pStyle w:val="TextBody"/>
        <w:bidi w:val="0"/>
        <w:spacing w:before="240" w:after="0"/>
        <w:jc w:val="left"/>
        <w:rPr>
          <w:rFonts w:ascii="Times New Roman" w:hAnsi="Times New Roman"/>
          <w:sz w:val="20"/>
        </w:rPr>
      </w:pPr>
      <w:r>
        <w:rPr>
          <w:rFonts w:ascii="Times New Roman" w:hAnsi="Times New Roman"/>
          <w:sz w:val="20"/>
        </w:rPr>
        <w:t xml:space="preserve">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 Foundry and our Taiwanese packaging partners. The raw materials and components used include silicon, polymers, copper, aluminum, other metal alloys, and plastics, which are generally available throughout the world but largely provided by companies in China.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 </w:t>
      </w:r>
    </w:p>
    <w:p>
      <w:pPr>
        <w:pStyle w:val="TextBody"/>
        <w:bidi w:val="0"/>
        <w:spacing w:before="240" w:after="0"/>
        <w:jc w:val="left"/>
        <w:rPr>
          <w:rFonts w:ascii="Times New Roman" w:hAnsi="Times New Roman"/>
          <w:sz w:val="20"/>
        </w:rPr>
      </w:pPr>
      <w:r>
        <w:rPr>
          <w:rFonts w:ascii="Times New Roman" w:hAnsi="Times New Roman"/>
          <w:sz w:val="20"/>
        </w:rPr>
        <w:t xml:space="preserve">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scalable and programmable architecture enables us to sell into a broad set of markets and applications. As a result, our competitors vary depending on the target market segment.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Data Center and Edge</w:t>
            </w:r>
            <w:r>
              <w:rPr>
                <w:rFonts w:ascii="Times New Roman" w:hAnsi="Times New Roman"/>
                <w:sz w:val="20"/>
              </w:rPr>
              <w:t xml:space="preserve">. We believe our main competitors come from producers of graphics processing units (“GPUs”), such as NVIDIA Corporation (“NVIDIA”), and GPU-derived application-specific- standard products (“ASSPs”). As we continue to grow, we predict additional competition will come from in-CPU acceleration provided by established vendors, including Intel and AMD.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Surveillance and Security</w:t>
            </w:r>
            <w:r>
              <w:rPr>
                <w:rFonts w:ascii="Times New Roman" w:hAnsi="Times New Roman"/>
                <w:sz w:val="20"/>
              </w:rPr>
              <w:t xml:space="preserve">. We consider companies with in-house application-specific integrated circuits (“ASICs”) that are either fully 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Machine Vision</w:t>
            </w:r>
            <w:r>
              <w:rPr>
                <w:rFonts w:ascii="Times New Roman" w:hAnsi="Times New Roman"/>
                <w:sz w:val="20"/>
              </w:rPr>
              <w:t xml:space="preserve">. We compete with industrial autonomation, quality control, and other machine vision utilization industries in this 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Drones, Robotics and Other Embedded Applications</w:t>
            </w:r>
            <w:r>
              <w:rPr>
                <w:rFonts w:ascii="Times New Roman" w:hAnsi="Times New Roman"/>
                <w:sz w:val="20"/>
              </w:rPr>
              <w:t xml:space="preserve">. We believe competition in this category is primarily from in-house designs and custom built ASICs (either fully proprietary or based on third- party technologies from vendors, such as Ambarella). Further, we believe that merchant options provided by NVIDIA and Qualcomm and FPGA solutions from Xilinx and Altera will also represent competitors in this category, albeit in a smaller and more fragmented fashion.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Automotive</w:t>
            </w:r>
            <w:r>
              <w:rPr>
                <w:rFonts w:ascii="Times New Roman" w:hAnsi="Times New Roman"/>
                <w:sz w:val="20"/>
              </w:rPr>
              <w:t xml:space="preserve">. We believe competition in this category comes from programmable AI-based computer vision developed in-house by automotive OEMs and by solutions merchants, such as NVIDIA, Qualcomm, Mobileye Global Inc., and emerging start-ups, such as Tenstorrent Inc.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We have invested a significant amount of time and expense into Research and Development (“R&amp;D”) to develop our AI and Machine Learning (“ML”) solutions. Our R&amp;D activities currently include focusing in the following areas: processor architecture, design and implementation, AI and ML and other computing algorithms, device driver, middleware software, application software, AI and ML solutions throughout their lifecycle from development, to deployment, to MLOps, and more. Our R&amp;D team consists of technical operators and professionals with experience from a wide variety of leading technology, business, and research organizations. Our R&amp;D activities are largely conducted in (i) the United States in California and North Carolina; (ii) Kuala Lumpur, Malaysia; (iii) Leeds, United Kingdom; and (iv) Hyderabad, India. As of October 31, 2024, we had approximately 160 employees engaged in R&amp;D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Contracts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VeriSilicon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2018, Blaize entered into a Master ASIC Design, Manufacturing and Product Sales Agreement (the “VeriSilicon Agreement”) with VeriSilicon, pursuant to which VeriSilicon agreed to provide Blaize with design expertise, support and assistance, and certain deliverables, prototypes, products and services under individual statements of work (each, a “Statement of Work”). Pursuant to a Statement of Work effective as of October 12, 2018, Blaize agreed to pay for VeriSilicon’s performance of certain design services in accordance with the pricing terms (including potential milestone payments and cancellation fees)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VeriSilicon Agreement will be automatically renewed for consecutive one-year renewal terms unless and until a party notifies the other of its intent not to renew at least thirty days (or in the case of VeriSilicon, one year) prior to the expiration of the then-current term. Either party may terminate the VeriSilicon Agreement if (i) the other party has materially breached the VeriSilicon Agreement without cure within ninety days of written notice, (ii) the other party files a petition in bankruptcy (which is not discharged within fourteen days), undergoes a reorganization in connection therewith, is adjudicated bankrupt or insolvent, becomes dissolved or liquidated, files a petition for dissolution or liquidation, makes an assignment for benefit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creditors, has a receiver appointed for its business, is subject to property attachment or court injunction or is otherwise subject to a similar court order or (iii) it provides a one-year prior written notice to the other party, with or without cause. Additionally, VeriSilicon may terminate the VeriSilicon Agreement if it has a specific and reasonable basis to believe that there is an infringement of a third party’s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VeriSilicon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Plexus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29, 2021, Blaize entered into a Letter Agreement (the “Plexus Agreement”) with Plexus Corp. and its controlled affiliates (collectively, “Plexus”), pursuant to which Plexus agreed to provide Blaize with certain deliverables, products and platforms specified therein or under individual purchase orders.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Plexus Agreement will continue until (i) the Plexus Agreement is superseded and replaced by a comprehensive manufacturing services agreement or (ii) a party, for any reason, notifies the other of its </w:t>
      </w:r>
    </w:p>
    <w:p>
      <w:pPr>
        <w:pStyle w:val="TextBody"/>
        <w:bidi w:val="0"/>
        <w:spacing w:before="0" w:after="0"/>
        <w:jc w:val="left"/>
        <w:rPr>
          <w:rFonts w:ascii="Times New Roman" w:hAnsi="Times New Roman"/>
          <w:sz w:val="20"/>
        </w:rPr>
      </w:pPr>
      <w:r>
        <w:rPr>
          <w:rFonts w:ascii="Times New Roman" w:hAnsi="Times New Roman"/>
          <w:sz w:val="20"/>
        </w:rPr>
        <w:t xml:space="preserve">intent to terminate at least one hundred and eighty days in advance. Upon termination, Blaize shall pay Plexus for all finished deliverables and products; work in progress deliverables and products at the finished goods price as if manufactured to completion; and component inventory on hand or on order that was procured by Plexus in accordance with the Plexus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Plexus Agreement includes customary terms relating to, among others, indemnification, confidentiality, remedies and warranties.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protection and privacy </w:t>
      </w:r>
    </w:p>
    <w:p>
      <w:pPr>
        <w:pStyle w:val="TextBody"/>
        <w:bidi w:val="0"/>
        <w:spacing w:before="120" w:after="0"/>
        <w:jc w:val="left"/>
        <w:rPr>
          <w:rFonts w:ascii="Times New Roman" w:hAnsi="Times New Roman"/>
          <w:sz w:val="20"/>
        </w:rPr>
      </w:pPr>
      <w:r>
        <w:rPr>
          <w:rFonts w:ascii="Times New Roman" w:hAnsi="Times New Roman"/>
          <w:sz w:val="20"/>
        </w:rPr>
        <w:t xml:space="preserve">All states have adopted laws requiring notice to consumers of a security breach involving their personal information. In the event of a security breach, these laws may subject us to incident response, notice and remediation costs. Failure to safeguard data adequately or to destroy data securely could subject us to regulatory investigations or enforcement actions under federal or state data security, unfair practices, or consumer protection laws. The scope and interpretation of these laws could change, and the associated burdens and compliance costs could increase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 making. </w:t>
      </w:r>
    </w:p>
    <w:p>
      <w:pPr>
        <w:pStyle w:val="TextBody"/>
        <w:bidi w:val="0"/>
        <w:spacing w:before="240" w:after="0"/>
        <w:jc w:val="left"/>
        <w:rPr>
          <w:rFonts w:ascii="Times New Roman" w:hAnsi="Times New Roman"/>
          <w:sz w:val="20"/>
        </w:rPr>
      </w:pPr>
      <w:r>
        <w:rPr>
          <w:rFonts w:ascii="Times New Roman" w:hAnsi="Times New Roman"/>
          <w:sz w:val="20"/>
        </w:rPr>
        <w:t xml:space="preserve">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comply with these privacy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result in the imposition of monetary liability or demanding injunctive relief, divert management’s time and attention, increase our costs of doing business, and materially adversely affect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Anti-corruption and sanctions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that restrict improper payments to persons in the public or private sector. Many countries have laws prohibiting these types of payments within the respective country. Historically, technology companies have been the target of FCPA and other anti-corruption investigations and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success depends in part upon our ability to develop and protect our core technology and intellectual property. We have built a portfolio of intellectual property, including issued patents and registered trademarks, copyrights, confidential technical information, and expertise in the AI and ML at the edge sectors. </w:t>
      </w:r>
    </w:p>
    <w:p>
      <w:pPr>
        <w:pStyle w:val="TextBody"/>
        <w:bidi w:val="0"/>
        <w:spacing w:before="240" w:after="0"/>
        <w:jc w:val="left"/>
        <w:rPr>
          <w:rFonts w:ascii="Times New Roman" w:hAnsi="Times New Roman"/>
          <w:sz w:val="20"/>
        </w:rPr>
      </w:pPr>
      <w:r>
        <w:rPr>
          <w:rFonts w:ascii="Times New Roman" w:hAnsi="Times New Roman"/>
          <w:sz w:val="20"/>
        </w:rPr>
        <w:t xml:space="preserve">We own numerous issued patents and pending patent applications. As of October 25,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actively seeking patent protection covering inventions originating from us, from time to time, we review opportunities to acquire or in-license patents to the extent we believe such patents may be useful or relevant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actions, claims, suits and other legal proceedings arising in the ordinary course of our business, including assertions by third parties relating to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January 1, 2025, we employed a total of approximately 232 people globally, including 56 people on a full-time basis in the United States and 220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strength.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El Dorado Hills, California where we lease approximately 1,753 square feet of office space pursuant to a lease that expires on June 15, 2025. Our El Dorado Hills premises contains administrative functions of the company. We also lease approximately 4,192 square feet of office space pursuant to a lease that expires on September 1, 2026. Our San Jose premises contains engineering and research and development functions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lease approximately 35,000 square feet of office space in Hyderabad, India pursuant to leases that expire on September 30, 2028. Our India premises contains engineering, research and development, and administrative functions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expires on July 15, 2025, which contains engineering and R&amp;D functions for Blaize.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office and other space is adequate for our current needs and, should we need additional space, we believe we will be able to obtain additional space on commercially reasonable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934548_13"/>
      <w:bookmarkEnd w:id="15"/>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Management and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March 31, 2025, concerning the persons who serve as our executive officers and directors. </w:t>
      </w:r>
    </w:p>
    <w:p>
      <w:pPr>
        <w:pStyle w:val="TextBody"/>
        <w:bidi w:val="0"/>
        <w:spacing w:before="0" w:after="0"/>
        <w:jc w:val="left"/>
        <w:rPr/>
      </w:pPr>
      <w:r>
        <w:rPr/>
        <w:t> </w:t>
      </w:r>
    </w:p>
    <w:tbl>
      <w:tblPr>
        <w:tblW w:w="5970" w:type="dxa"/>
        <w:jc w:val="left"/>
        <w:tblInd w:w="0" w:type="dxa"/>
        <w:tblLayout w:type="fixed"/>
        <w:tblCellMar>
          <w:top w:w="0" w:type="dxa"/>
          <w:left w:w="0" w:type="dxa"/>
          <w:bottom w:w="0" w:type="dxa"/>
          <w:right w:w="0" w:type="dxa"/>
        </w:tblCellMar>
      </w:tblPr>
      <w:tblGrid>
        <w:gridCol w:w="1880"/>
        <w:gridCol w:w="120"/>
        <w:gridCol w:w="305"/>
        <w:gridCol w:w="120"/>
        <w:gridCol w:w="354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3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880" w:type="dxa"/>
            <w:tcBorders/>
            <w:vAlign w:val="center"/>
          </w:tcPr>
          <w:p>
            <w:pPr>
              <w:pStyle w:val="TableContents"/>
              <w:bidi w:val="0"/>
              <w:spacing w:before="0" w:after="283"/>
              <w:jc w:val="left"/>
              <w:rPr>
                <w:b/>
                <w:i/>
              </w:rPr>
            </w:pPr>
            <w:r>
              <w:rPr>
                <w:b/>
                <w:i/>
              </w:rPr>
              <w:t>Executive Officers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Dinakar Munagala</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50</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 and Director</w:t>
            </w:r>
          </w:p>
        </w:tc>
      </w:tr>
      <w:tr>
        <w:trPr/>
        <w:tc>
          <w:tcPr>
            <w:tcW w:w="1880" w:type="dxa"/>
            <w:tcBorders/>
            <w:vAlign w:val="center"/>
          </w:tcPr>
          <w:p>
            <w:pPr>
              <w:pStyle w:val="TableContents"/>
              <w:bidi w:val="0"/>
              <w:spacing w:before="0" w:after="283"/>
              <w:jc w:val="left"/>
              <w:rPr/>
            </w:pPr>
            <w:r>
              <w:rPr/>
              <w:t>Harminder Sehmi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63</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Financial Officer</w:t>
            </w:r>
          </w:p>
        </w:tc>
      </w:tr>
      <w:tr>
        <w:trPr/>
        <w:tc>
          <w:tcPr>
            <w:tcW w:w="1880" w:type="dxa"/>
            <w:tcBorders/>
            <w:vAlign w:val="center"/>
          </w:tcPr>
          <w:p>
            <w:pPr>
              <w:pStyle w:val="TableContents"/>
              <w:bidi w:val="0"/>
              <w:spacing w:before="0" w:after="283"/>
              <w:jc w:val="left"/>
              <w:rPr>
                <w:b/>
                <w:i/>
              </w:rPr>
            </w:pPr>
            <w:r>
              <w:rPr>
                <w:b/>
                <w:i/>
              </w:rPr>
              <w:t>Director Nominees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Edward Frank</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68</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880" w:type="dxa"/>
            <w:tcBorders/>
            <w:vAlign w:val="center"/>
          </w:tcPr>
          <w:p>
            <w:pPr>
              <w:pStyle w:val="TableContents"/>
              <w:bidi w:val="0"/>
              <w:spacing w:before="0" w:after="283"/>
              <w:jc w:val="left"/>
              <w:rPr/>
            </w:pPr>
            <w:r>
              <w:rPr/>
              <w:t>Lane M. Bess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63</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880" w:type="dxa"/>
            <w:tcBorders/>
            <w:vAlign w:val="center"/>
          </w:tcPr>
          <w:p>
            <w:pPr>
              <w:pStyle w:val="TableContents"/>
              <w:bidi w:val="0"/>
              <w:spacing w:before="0" w:after="283"/>
              <w:jc w:val="left"/>
              <w:rPr/>
            </w:pPr>
            <w:r>
              <w:rPr/>
              <w:t>Juergen Hambrecht</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78</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880" w:type="dxa"/>
            <w:tcBorders/>
            <w:vAlign w:val="center"/>
          </w:tcPr>
          <w:p>
            <w:pPr>
              <w:pStyle w:val="TableContents"/>
              <w:bidi w:val="0"/>
              <w:spacing w:before="0" w:after="283"/>
              <w:jc w:val="left"/>
              <w:rPr/>
            </w:pPr>
            <w:r>
              <w:rPr/>
              <w:t>Tony Cannestra</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60</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880" w:type="dxa"/>
            <w:tcBorders/>
            <w:vAlign w:val="center"/>
          </w:tcPr>
          <w:p>
            <w:pPr>
              <w:pStyle w:val="TableContents"/>
              <w:bidi w:val="0"/>
              <w:spacing w:before="0" w:after="283"/>
              <w:jc w:val="left"/>
              <w:rPr/>
            </w:pPr>
            <w:r>
              <w:rPr/>
              <w:t>George de Urioste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69</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880" w:type="dxa"/>
            <w:tcBorders/>
            <w:vAlign w:val="center"/>
          </w:tcPr>
          <w:p>
            <w:pPr>
              <w:pStyle w:val="TableContents"/>
              <w:bidi w:val="0"/>
              <w:spacing w:before="0" w:after="283"/>
              <w:jc w:val="left"/>
              <w:rPr/>
            </w:pPr>
            <w:r>
              <w:rPr/>
              <w:t>Yoshiaki Fujimori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73</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Dinakar Munagala, Chief Executive Officer and Director </w:t>
      </w:r>
    </w:p>
    <w:p>
      <w:pPr>
        <w:pStyle w:val="TextBody"/>
        <w:bidi w:val="0"/>
        <w:spacing w:before="240" w:after="0"/>
        <w:jc w:val="left"/>
        <w:rPr>
          <w:rFonts w:ascii="Times New Roman" w:hAnsi="Times New Roman"/>
          <w:sz w:val="20"/>
        </w:rPr>
      </w:pPr>
      <w:r>
        <w:rPr>
          <w:rFonts w:ascii="Times New Roman" w:hAnsi="Times New Roman"/>
          <w:sz w:val="20"/>
        </w:rPr>
        <w:t xml:space="preserve">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Harminder Sehmi,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Mr. Sehmi is a member of the Institute of Chartered Accountants in England and Wales (ACA) and he obtained his Accounting qualifications from the Oxford Brookes University and a Masters in Business Administration from the Cranfield School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Lane M. Bess, Director </w:t>
      </w:r>
    </w:p>
    <w:p>
      <w:pPr>
        <w:pStyle w:val="TextBody"/>
        <w:bidi w:val="0"/>
        <w:spacing w:before="120" w:after="0"/>
        <w:jc w:val="left"/>
        <w:rPr>
          <w:rFonts w:ascii="Times New Roman" w:hAnsi="Times New Roman"/>
          <w:sz w:val="20"/>
        </w:rPr>
      </w:pPr>
      <w:r>
        <w:rPr>
          <w:rFonts w:ascii="Times New Roman" w:hAnsi="Times New Roman"/>
          <w:sz w:val="20"/>
        </w:rPr>
        <w:t xml:space="preserve">Lane Bess, 63,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Tony Cannestra, Director </w:t>
      </w:r>
    </w:p>
    <w:p>
      <w:pPr>
        <w:pStyle w:val="TextBody"/>
        <w:bidi w:val="0"/>
        <w:spacing w:before="120" w:after="0"/>
        <w:jc w:val="left"/>
        <w:rPr>
          <w:rFonts w:ascii="Times New Roman" w:hAnsi="Times New Roman"/>
          <w:sz w:val="20"/>
        </w:rPr>
      </w:pPr>
      <w:r>
        <w:rPr>
          <w:rFonts w:ascii="Times New Roman" w:hAnsi="Times New Roman"/>
          <w:sz w:val="20"/>
        </w:rPr>
        <w:t xml:space="preserve">Tony Cannestra, 60,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Edward (Ed) H. Frank, Director </w:t>
      </w:r>
    </w:p>
    <w:p>
      <w:pPr>
        <w:pStyle w:val="TextBody"/>
        <w:bidi w:val="0"/>
        <w:spacing w:before="120" w:after="0"/>
        <w:jc w:val="left"/>
        <w:rPr>
          <w:rFonts w:ascii="Times New Roman" w:hAnsi="Times New Roman"/>
          <w:sz w:val="20"/>
        </w:rPr>
      </w:pPr>
      <w:r>
        <w:rPr>
          <w:rFonts w:ascii="Times New Roman" w:hAnsi="Times New Roman"/>
          <w:sz w:val="20"/>
        </w:rPr>
        <w:t xml:space="preserve">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 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Jüergen Hambrecht, Director </w:t>
      </w:r>
    </w:p>
    <w:p>
      <w:pPr>
        <w:pStyle w:val="TextBody"/>
        <w:bidi w:val="0"/>
        <w:spacing w:before="120" w:after="0"/>
        <w:jc w:val="left"/>
        <w:rPr>
          <w:rFonts w:ascii="Times New Roman" w:hAnsi="Times New Roman"/>
          <w:sz w:val="20"/>
        </w:rPr>
      </w:pPr>
      <w:r>
        <w:rPr>
          <w:rFonts w:ascii="Times New Roman" w:hAnsi="Times New Roman"/>
          <w:sz w:val="20"/>
        </w:rPr>
        <w:t xml:space="preserve">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George de Urioste, Director </w:t>
      </w:r>
    </w:p>
    <w:p>
      <w:pPr>
        <w:pStyle w:val="TextBody"/>
        <w:bidi w:val="0"/>
        <w:spacing w:before="120" w:after="0"/>
        <w:jc w:val="left"/>
        <w:rPr>
          <w:rFonts w:ascii="Times New Roman" w:hAnsi="Times New Roman"/>
          <w:sz w:val="20"/>
        </w:rPr>
      </w:pPr>
      <w:r>
        <w:rPr>
          <w:rFonts w:ascii="Times New Roman" w:hAnsi="Times New Roman"/>
          <w:sz w:val="20"/>
        </w:rPr>
        <w:t xml:space="preserve">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Yoshiaki Fujimori, Director </w:t>
      </w:r>
    </w:p>
    <w:p>
      <w:pPr>
        <w:pStyle w:val="TextBody"/>
        <w:bidi w:val="0"/>
        <w:spacing w:before="120" w:after="0"/>
        <w:jc w:val="left"/>
        <w:rPr>
          <w:rFonts w:ascii="Times New Roman" w:hAnsi="Times New Roman"/>
          <w:sz w:val="20"/>
        </w:rPr>
      </w:pPr>
      <w:r>
        <w:rPr>
          <w:rFonts w:ascii="Times New Roman" w:hAnsi="Times New Roman"/>
          <w:sz w:val="20"/>
        </w:rPr>
        <w:t xml:space="preserve">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Dinakar Munagala, Chief Executive Officer Director </w:t>
      </w:r>
    </w:p>
    <w:p>
      <w:pPr>
        <w:pStyle w:val="TextBody"/>
        <w:bidi w:val="0"/>
        <w:spacing w:before="120" w:after="0"/>
        <w:jc w:val="left"/>
        <w:rPr>
          <w:rFonts w:ascii="Times New Roman" w:hAnsi="Times New Roman"/>
          <w:sz w:val="20"/>
        </w:rPr>
      </w:pPr>
      <w:r>
        <w:rPr>
          <w:rFonts w:ascii="Times New Roman" w:hAnsi="Times New Roman"/>
          <w:sz w:val="20"/>
        </w:rPr>
        <w:t xml:space="preserve">See biographical information above in the Directors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Harminder Sehmi,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See biographical information above in the Directors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We structure our corporate governance in a manner we believe closely aligns our interests with those of our stockholders. Notable features of this corporate governance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independent director representation on our audit, compensation and nominating committees, and our independent directors meet regularly in executive sessions without the presence of our corporate officers or non-independent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of our directors qualifies as an “audit committee financial expert” as defined by the SEC;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begun to and will continue to implement a range of other corporate governance best practices, including implementing a robust director education program.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Independence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standards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Lane M. Bess serves as our Chairman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directs the management of our business and affairs, as provided by Delaware law, and conducts its business through meetings of the board of directors and standing committees. We have a standing audit committee, nominating and corporate governance committee and compensation committee. In addition, from time to time, special committees may be established under the direction of the board of directors when necessary to address specific issues.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independence, compensation, retention, oversight and qualifications of our independent auditors and determining whether to retain our existing independent auditors or engage new independent auditors;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financial reporting processes and disclosure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engagement of our independent auditors to perform audit services and any permissible non-audit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independent auditors the annual audit plan, including the scope of audit activities and all critical accounting policies and practices to be used by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clear hiring policies for employees or former employees of our independent auditors;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our independent auditors on our engagement team as required by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annual and quarterly financial statements and reports and discussing the statements and reports with our independent auditors and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independent auditors and management significant issues that arise regarding accounting principles and financial statement presentation and matters concerning the scope, adequacy and effectiveness of our financial controls and critical accounting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independent auditors any earnings announcements, disclosures and other financial information and guidance;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review, retention and investigation of complaints received by us regarding financial controls, accounting, auditing or other matters;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our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providing oversight of any related party transactions in accordance with our related party transaction policy and reviewing and monitoring compliance with legal and regulatory responsibilities, including our code of business conduct and ethics;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risks related to data privacy, technology and information security, including cybersecurity, back-up of information systems, and policies and procedures that we have in place to monitor and control such exposures;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major financial risk exposures, including the guidelines and policies to govern the process by which risk assessment and risk management is implemented;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reviewing with management, the independent auditors, and outside advisors or accountants any correspondence with regulators or governmental agencies and any published reports that raise material issues regarding Blaize’s financial statements or accounting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legal and regulatory compliance and any material current, pending or threatened legal matters;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audit committee and the audit committee charter.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George de Urioste, Edward Frank and Tony Cannestra, with George de Urioste serving as chair. Rule 10A-3 of the Exchange Act and Nasdaq rules require that our audit committee must be composed entirely of independent members. Our board of directors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of directors has determined that George de Urioste qualifies as an “audit committee financial expert,” as such term is defined in Item 407(d)(5) of Regulation S-K. Our board of directors adopted a written charter for the audit committee, which is available on our corporate website at www.blaize.com. The information on any of our websites is deemed not to be incorporated in this prospectus or to be part of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corporate goals and objectives that pertain to our overall compensation strategy and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annually the compensation and other terms of employment of our executive officers and other members of senior management, in the compensation committee’s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type and amount of compensation to be paid or awarded to our non-employee board members;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equity incentive plans and other benefit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appropriate insurance coverage for our directors and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reviewing and discussing with management our disclosures under the caption “</w:t>
            </w:r>
            <w:r>
              <w:rPr>
                <w:rFonts w:ascii="Times New Roman" w:hAnsi="Times New Roman"/>
                <w:i/>
                <w:sz w:val="20"/>
              </w:rPr>
              <w:t>Compensation Discussion and Analysis</w:t>
            </w:r>
            <w:r>
              <w:rPr>
                <w:rFonts w:ascii="Times New Roman" w:hAnsi="Times New Roman"/>
                <w:sz w:val="20"/>
              </w:rPr>
              <w:t xml:space="preserve">” in our periodic reports or proxy statements to be filed with the SEC, to the extent such caption is included in any such report or proxy statement;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an annual report on executive compensation that the SEC requires in our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practices and policies for employee compensation as related to risk management and risk-taking incentives to determine if such compensation policies and practices are reasonably likely to have a material adverse effect on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monitoring stock ownership guidelines for our directors and executive officers, if and as determined to be necessary or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recommendations to our Board on compensation-related proposals to be considered at our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discussing with management our human capital management practices with respect to its employees and, where applicable, independent contractors;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and modifying, as needed, clawback policies allowing us to recoup improper compensation paid to employees;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compensation committee and recommending such changes as deemed necessary with our Board.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Edward Frank, George de Urioste and Tony Cannestra, with Edward Frank serving as chair. Our board of directors has affirmatively determined that Edward Frank, George de Urioste and Tony Cannestra each meet the definition of “independent director” for purposes of serving on the compensation committee under Nasdaq rules, and are “non-employee directors” as defined in Rule 16b-3 of the Exchange Act. Our board of directors adopted a written charter for the compensation committee, which is available on our corporate website at www.blaize.com. The information on any of our websites is deemed not to be incorporated in this prospectus or to be part of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Nomination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Closing, the Company will not have a nominating and corporate governance committee of the Company’s Board. Pursuant to Nasdaq Rule 5605-6(e)(1), the nomination of directors shall be made, or recommended to the board of directors, by a Nominating Committee of the board of directors consisting solely of independent directors, or by a majority of independent directors. Effective as of the Closing, the Company will not have a nominating and corporate governance committee of the Company’s Board; rather, the nomination of directors shall be made, or recommended to the board of directors by a majority of our independent directors. The Company may in the future establish a nominating and corporate governance committee for the nomination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Role of our Board in Risk Oversight/Risk Committee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Blaize’s directors, officers, or employees for which indemnification is sought.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16(a) Beneficial Ownership Reporting Compliance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Securities Exchange Act of 1934, as amended (the “Exchange Act”), requires our executive officers, directors, and persons who beneficially own more than 10% of a registered class of our equity securities to file with the Securities and Exchange Commission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 </w:t>
      </w:r>
    </w:p>
    <w:p>
      <w:pPr>
        <w:pStyle w:val="TextBody"/>
        <w:bidi w:val="0"/>
        <w:spacing w:before="240" w:after="0"/>
        <w:jc w:val="left"/>
        <w:rPr>
          <w:rFonts w:ascii="Times New Roman" w:hAnsi="Times New Roman"/>
          <w:sz w:val="20"/>
        </w:rPr>
      </w:pPr>
      <w:r>
        <w:rPr>
          <w:rFonts w:ascii="Times New Roman" w:hAnsi="Times New Roman"/>
          <w:sz w:val="20"/>
        </w:rPr>
        <w:t xml:space="preserve">Based solely on our review of such forms furnished to us and written representations from certain reporting persons, we believe that, during the fiscal year ended December 31, 2024, our directors, executive officers, and ten percent stockholders complied with all Section 16(a) filing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conduct that applies to all our employees, officers and directors, including those officers responsible for financial reporting. Our code of business conduct and ethics is available on the investor relations section of our website. We intend to disclose any amendments to the code, or any waivers of its requirements, on our website or in public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an insider trading policy and procedures governing the purchase, sale, and/or other dispositions of our securities by directors, officers, employees and other covered persons that we believe are reasonably designed to promote compliance with insider trading laws, rules and regulations, and the listing requirements of the Nasdaq Global Market. This policy imposes regular blackout periods during which certain individuals may not transact in our securities and pre-clearance procedures for transactions by certain specified individuals, including, among others, the members of our board of directors and our executive officers. In addition, this policy prohibits certain transactions that we have determined are higher risk or for which there is a heightened appearance of potential improper or inappropriate conduct, including short sales of our securities, options trading in puts, calls or other derivative securities involving our equity securities, hedging transactions, and margin accounts and pledging of our securities. We regularly review our insider trading policy with our board of directors and management. A copy of our insider trading policy and procedures is filed as Exhibit 19.1 to our Annual Report on Form 10-K. Further, the Company will not transact in any of its own securities unless in compliance with U.S.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934548_14"/>
      <w:bookmarkEnd w:id="16"/>
      <w:r>
        <w:rPr>
          <w:rFonts w:ascii="Times New Roman" w:hAnsi="Times New Roman"/>
          <w:b/>
          <w:sz w:val="20"/>
        </w:rPr>
        <w:t xml:space="preserve">BLAIZE’S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section, unless otherwise noted, “the company,” “we,” “us,” “our” and similar terms refer to Blaize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Blaize’s executive officers who are named in the “Summary Compensation Table” below. In 2024, Blaize’s “named executive officers” and their positions were as follows: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Dinakar Munagala, Chief Executive Officer;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 Cook, Chief Software Architect; and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Santiago Fernandez-Gomez, Vice President of Platform Engineering.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Blaize’s named executive officers for the year ended December 31,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5"/>
        <w:gridCol w:w="120"/>
        <w:gridCol w:w="60"/>
        <w:gridCol w:w="500"/>
        <w:gridCol w:w="60"/>
        <w:gridCol w:w="120"/>
        <w:gridCol w:w="70"/>
        <w:gridCol w:w="940"/>
        <w:gridCol w:w="60"/>
        <w:gridCol w:w="120"/>
        <w:gridCol w:w="186"/>
        <w:gridCol w:w="809"/>
        <w:gridCol w:w="60"/>
        <w:gridCol w:w="120"/>
        <w:gridCol w:w="60"/>
        <w:gridCol w:w="980"/>
        <w:gridCol w:w="60"/>
        <w:gridCol w:w="120"/>
        <w:gridCol w:w="279"/>
        <w:gridCol w:w="1211"/>
        <w:gridCol w:w="60"/>
        <w:gridCol w:w="120"/>
        <w:gridCol w:w="60"/>
        <w:gridCol w:w="980"/>
        <w:gridCol w:w="75"/>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595,833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3,798,428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4,394,285</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1,337,142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1,637,167</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397,570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781,714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1,179,308</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Software Architect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476,724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701,749</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447,917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730,817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1,178,758</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Vice President of Platform Engineering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11 to Blaize’s consolidated financial statements included with this prospectus.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aggregate dollar value of life insurance premiums paid by Blaize with respect to each named executive officer during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Salaries </w:t>
      </w:r>
    </w:p>
    <w:p>
      <w:pPr>
        <w:pStyle w:val="TextBody"/>
        <w:bidi w:val="0"/>
        <w:spacing w:before="120" w:after="0"/>
        <w:jc w:val="left"/>
        <w:rPr>
          <w:rFonts w:ascii="Times New Roman" w:hAnsi="Times New Roman"/>
          <w:sz w:val="20"/>
        </w:rPr>
      </w:pPr>
      <w:r>
        <w:rPr>
          <w:rFonts w:ascii="Times New Roman" w:hAnsi="Times New Roman"/>
          <w:sz w:val="20"/>
        </w:rPr>
        <w:t xml:space="preserve">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 Mr. Fernandez-Gomez: $450,000. The Summary Compensation Table above shows the actual base salaries paid to each named executive officer in fiscal year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options granted to the named executive officers in 2024 vest and become exercisable with respect toone-third (1/3rd) of the shares subject to the option on the first anniversary of the vesting commencement date and 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hAnsi="Times New Roman"/>
          <w:i/>
          <w:sz w:val="20"/>
        </w:rPr>
        <w:t>Offer Letters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Elements of Compensation </w:t>
      </w:r>
    </w:p>
    <w:p>
      <w:pPr>
        <w:pStyle w:val="TextBody"/>
        <w:bidi w:val="0"/>
        <w:spacing w:before="120" w:after="0"/>
        <w:jc w:val="left"/>
        <w:rPr>
          <w:rFonts w:ascii="Times New Roman" w:hAnsi="Times New Roman"/>
          <w:sz w:val="20"/>
        </w:rPr>
      </w:pPr>
      <w:r>
        <w:rPr>
          <w:rFonts w:ascii="Times New Roman" w:hAnsi="Times New Roman"/>
          <w:i/>
          <w:sz w:val="20"/>
        </w:rPr>
        <w:t>Retirement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 </w:t>
      </w:r>
    </w:p>
    <w:p>
      <w:pPr>
        <w:pStyle w:val="TextBody"/>
        <w:bidi w:val="0"/>
        <w:spacing w:before="360" w:after="0"/>
        <w:jc w:val="left"/>
        <w:rPr>
          <w:rFonts w:ascii="Times New Roman" w:hAnsi="Times New Roman"/>
          <w:sz w:val="20"/>
        </w:rPr>
      </w:pPr>
      <w:r>
        <w:rPr>
          <w:rFonts w:ascii="Times New Roman" w:hAnsi="Times New Roman"/>
          <w:i/>
          <w:sz w:val="20"/>
        </w:rPr>
        <w:t>Employee Benefits and Perquisites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of our full-time employees, including our named executive officers, are eligible to participate in our health and welfare plans, including: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75"/>
        <w:gridCol w:w="110"/>
        <w:gridCol w:w="60"/>
        <w:gridCol w:w="2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medical, dental and vision benefits;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short-term and long-term disability insurance; and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basic life and accidental death and dismemberment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benefits are appropriate and provide a competitive compensation package to our named executive officers. We do not currently, and we did not during 2024, provide material perquisites to any of our named executive officers. </w:t>
      </w:r>
    </w:p>
    <w:p>
      <w:pPr>
        <w:pStyle w:val="TextBody"/>
        <w:bidi w:val="0"/>
        <w:spacing w:before="360" w:after="0"/>
        <w:jc w:val="left"/>
        <w:rPr>
          <w:rFonts w:ascii="Times New Roman" w:hAnsi="Times New Roman"/>
          <w:sz w:val="20"/>
        </w:rPr>
      </w:pPr>
      <w:r>
        <w:rPr>
          <w:rFonts w:ascii="Times New Roman" w:hAnsi="Times New Roman"/>
          <w:i/>
          <w:sz w:val="20"/>
        </w:rPr>
        <w:t>No Tax Gross-Ups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Blaize does not make gross-up payments to cover our named executive officers’ personal income taxes that may pertain to any of the compensation or perquisites paid or provided by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 </w:t>
      </w:r>
    </w:p>
    <w:p>
      <w:pPr>
        <w:pStyle w:val="TextBody"/>
        <w:bidi w:val="0"/>
        <w:spacing w:before="0" w:after="0"/>
        <w:jc w:val="left"/>
        <w:rPr/>
      </w:pPr>
      <w:r>
        <w:rPr/>
        <w:t> </w:t>
      </w:r>
    </w:p>
    <w:tbl>
      <w:tblPr>
        <w:tblW w:w="11240" w:type="dxa"/>
        <w:jc w:val="left"/>
        <w:tblInd w:w="0" w:type="dxa"/>
        <w:tblLayout w:type="fixed"/>
        <w:tblCellMar>
          <w:top w:w="0" w:type="dxa"/>
          <w:left w:w="0" w:type="dxa"/>
          <w:bottom w:w="0" w:type="dxa"/>
          <w:right w:w="0" w:type="dxa"/>
        </w:tblCellMar>
      </w:tblPr>
      <w:tblGrid>
        <w:gridCol w:w="1505"/>
        <w:gridCol w:w="120"/>
        <w:gridCol w:w="60"/>
        <w:gridCol w:w="575"/>
        <w:gridCol w:w="60"/>
        <w:gridCol w:w="120"/>
        <w:gridCol w:w="178"/>
        <w:gridCol w:w="1492"/>
        <w:gridCol w:w="60"/>
        <w:gridCol w:w="120"/>
        <w:gridCol w:w="72"/>
        <w:gridCol w:w="1193"/>
        <w:gridCol w:w="215"/>
        <w:gridCol w:w="60"/>
        <w:gridCol w:w="82"/>
        <w:gridCol w:w="1363"/>
        <w:gridCol w:w="215"/>
        <w:gridCol w:w="60"/>
        <w:gridCol w:w="237"/>
        <w:gridCol w:w="1028"/>
        <w:gridCol w:w="60"/>
        <w:gridCol w:w="120"/>
        <w:gridCol w:w="84"/>
        <w:gridCol w:w="791"/>
        <w:gridCol w:w="60"/>
        <w:gridCol w:w="120"/>
        <w:gridCol w:w="60"/>
        <w:gridCol w:w="1055"/>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Grant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 xml:space="preserve">Options (#)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Equity</w:t>
              <w:br/>
              <w:t>Incentive</w:t>
              <w:br/>
              <w:t>Plan</w:t>
              <w:br/>
              <w:t>Awards:</w:t>
              <w:br/>
              <w:t>Number of</w:t>
              <w:br/>
              <w:t>Securities</w:t>
              <w:br/>
              <w:t>Underlying</w:t>
              <w:br/>
              <w:t>Unexercised</w:t>
            </w:r>
            <w:r>
              <w:rPr/>
              <w:br/>
            </w:r>
            <w:r>
              <w:rPr>
                <w:b/>
              </w:rPr>
              <w:t xml:space="preserve">Unearned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 xml:space="preserve">Expiration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center"/>
              <w:rPr>
                <w:b/>
              </w:rPr>
            </w:pPr>
            <w:r>
              <w:rPr>
                <w:b/>
              </w:rP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Options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Date</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Dinakar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36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Munagala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3/15/2017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147,000</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3/14/2027</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11/12/2018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9/1/2018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226,305</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11/11/2028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9/19/2023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9/19/2023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2,197,372</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3,124,027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9/18/2033</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10/24/2024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7,379,065</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10/23/2034</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3/15/2017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40,038</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3/14/2027</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11/12/2018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9/1/2018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113,152</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11/11/2028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9/19/2023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9/19/2023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794,866</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1,112,814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9/18/2033</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10/24/2024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1,517,044</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10/23/2034</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Santiago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Fernandez-Gomez</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1/2/2017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7/8/2015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5,000</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1/1/2027</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8/27/2018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7/9/2018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67,935</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11.40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8/26/2028</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11/17/2021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4,896</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104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20.70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11/16/2031</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9/19/2023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9/19/2023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654,484</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916,278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9/18/2033</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10/24/2024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1,418,448</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10/23/2034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with respect to one-forty-eighth (1/48th) of the shares subject to the option on each of the first forty- eight (48) monthly anniversaries of the vesting commencement date,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Offer Letters </w:t>
      </w:r>
    </w:p>
    <w:p>
      <w:pPr>
        <w:pStyle w:val="TextBody"/>
        <w:bidi w:val="0"/>
        <w:spacing w:before="120" w:after="0"/>
        <w:jc w:val="left"/>
        <w:rPr>
          <w:rFonts w:ascii="Times New Roman" w:hAnsi="Times New Roman"/>
          <w:sz w:val="20"/>
        </w:rPr>
      </w:pPr>
      <w:r>
        <w:rPr>
          <w:rFonts w:ascii="Times New Roman" w:hAnsi="Times New Roman"/>
          <w:i/>
          <w:sz w:val="20"/>
        </w:rPr>
        <w:t>Offer Letter for Mr. Munagala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18, 2018 (as amended, the “Munagala Offer Letter”) with Mr. Munagala, pursuant to which, Mr. Munagala serves as our Chief Executive Officer. Pursuant to the 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Munagala’s receipt of any severance payments and benefits is subject to his execution and non-revocation of a general release in favor of Blaize. </w:t>
      </w:r>
    </w:p>
    <w:p>
      <w:pPr>
        <w:pStyle w:val="TextBody"/>
        <w:bidi w:val="0"/>
        <w:spacing w:before="360" w:after="0"/>
        <w:jc w:val="left"/>
        <w:rPr>
          <w:rFonts w:ascii="Times New Roman" w:hAnsi="Times New Roman"/>
          <w:i/>
          <w:sz w:val="20"/>
        </w:rPr>
      </w:pPr>
      <w:r>
        <w:rPr>
          <w:rFonts w:ascii="Times New Roman" w:hAnsi="Times New Roman"/>
          <w:i/>
          <w:sz w:val="20"/>
        </w:rPr>
        <w:t xml:space="preserve">Offer Letter for Mr. Cook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Cook’s receipt of any severance payments and benefits is subject to his execution and non-revocation of a general release in favor of Blaize.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Offer Letter for Mr. Fernandez-Gomez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BLAIZE’S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Blaize’s non-employee directors for the year ended December 31, 2024. </w:t>
      </w:r>
    </w:p>
    <w:p>
      <w:pPr>
        <w:pStyle w:val="TextBody"/>
        <w:bidi w:val="0"/>
        <w:spacing w:before="0" w:after="0"/>
        <w:jc w:val="left"/>
        <w:rPr/>
      </w:pPr>
      <w:r>
        <w:rPr/>
        <w:t> </w:t>
      </w:r>
    </w:p>
    <w:tbl>
      <w:tblPr>
        <w:tblW w:w="4454" w:type="dxa"/>
        <w:jc w:val="left"/>
        <w:tblInd w:w="0" w:type="dxa"/>
        <w:tblLayout w:type="fixed"/>
        <w:tblCellMar>
          <w:top w:w="0" w:type="dxa"/>
          <w:left w:w="0" w:type="dxa"/>
          <w:bottom w:w="0" w:type="dxa"/>
          <w:right w:w="0" w:type="dxa"/>
        </w:tblCellMar>
      </w:tblPr>
      <w:tblGrid>
        <w:gridCol w:w="1595"/>
        <w:gridCol w:w="120"/>
        <w:gridCol w:w="111"/>
        <w:gridCol w:w="1484"/>
        <w:gridCol w:w="60"/>
        <w:gridCol w:w="120"/>
        <w:gridCol w:w="62"/>
        <w:gridCol w:w="827"/>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Option Awards</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Edward Frank </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318,472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318,472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Tony Cannestra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318,472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318,472</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318,472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318,472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Lane Bess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242,571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242,571</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11 to Blaize’s consolidated financial statements included with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aggregate numbers of option awards (exercisable and unexercisable) held as of December 31, 2024 by each non-employee director who served during 2024.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595"/>
        <w:gridCol w:w="120"/>
        <w:gridCol w:w="99"/>
        <w:gridCol w:w="1331"/>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br/>
              <w:t>Outstanding</w:t>
              <w:br/>
              <w:t>at Fiscal Year</w:t>
              <w:br/>
              <w:t>End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909,535</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920,850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909,535</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477,750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approved a compensation program for our non-employee directors (the “Director Compensation Program”), effective as of the closing of the Business Combination. The material terms of the Director Compensation Program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Director Compensation Program, non-employee directors serving on the Board are entitled to cash compensation in the following amounts: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75"/>
        <w:gridCol w:w="110"/>
        <w:gridCol w:w="60"/>
        <w:gridCol w:w="2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Retainer: $80,000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Annual Retainer for Non-Executive Chair: $40,000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Committee Chair Retainers: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$24,000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$20,000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Non-Chair Committee Member Retainers: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$16,000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$14,000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Annual cash retainers will be paid in quarterly installments in arrears and will be pro-rated for any partial calendar quarter of service.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i/>
          <w:sz w:val="20"/>
        </w:rPr>
        <w:t xml:space="preserve">Initial Awards. </w:t>
      </w:r>
      <w:r>
        <w:rPr>
          <w:rFonts w:ascii="Times New Roman" w:hAnsi="Times New Roman"/>
          <w:sz w:val="20"/>
        </w:rPr>
        <w:t xml:space="preserve">Under the Director Compensation Program, each non-employee director who is initially elected or appointed to serve on the Board 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 </w:t>
      </w:r>
    </w:p>
    <w:p>
      <w:pPr>
        <w:pStyle w:val="TextBody"/>
        <w:bidi w:val="0"/>
        <w:spacing w:before="240" w:after="0"/>
        <w:jc w:val="left"/>
        <w:rPr>
          <w:rFonts w:ascii="Times New Roman" w:hAnsi="Times New Roman"/>
          <w:sz w:val="20"/>
        </w:rPr>
      </w:pPr>
      <w:r>
        <w:rPr>
          <w:rFonts w:ascii="Times New Roman" w:hAnsi="Times New Roman"/>
          <w:i/>
          <w:sz w:val="20"/>
        </w:rPr>
        <w:t xml:space="preserve">Annual Awards. </w:t>
      </w:r>
      <w:r>
        <w:rPr>
          <w:rFonts w:ascii="Times New Roman" w:hAnsi="Times New Roman"/>
          <w:sz w:val="20"/>
        </w:rPr>
        <w:t xml:space="preserve">Under the Director Compensation Program, each non-employee director who is serving on the Board as of the date of each annual 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 (i) the one-year anniversary of the applicable grant date and (ii) the date of the next annual meeting following the grant date, subject to the director’s continued service on the Board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Compensation under the Director Compensation Program is subject to the annual limits on non-employee director compensation set forth in the Incentive Award Plan (or any successor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934548_15"/>
      <w:bookmarkEnd w:id="17"/>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with directors and executive officers described under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Management</w:t>
      </w:r>
      <w:r>
        <w:rPr>
          <w:rFonts w:ascii="Times New Roman" w:hAnsi="Times New Roman"/>
          <w:sz w:val="20"/>
        </w:rPr>
        <w:t xml:space="preserve">”, the following is a description of each transaction since January 1, 2022 and each currently proposed transaction in which: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110"/>
        <w:gridCol w:w="6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exceeds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and Related Person Transactions—BurTech </w:t>
      </w:r>
    </w:p>
    <w:p>
      <w:pPr>
        <w:pStyle w:val="TextBody"/>
        <w:bidi w:val="0"/>
        <w:spacing w:before="12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the Business Combination, on February 1, 2023, BurTech issued an unsecured convertible promissory note to the Sponsor, pursuant to which BurTech borrowed $1,500,000 from the Sponsor for general corporate purposes. Such loan was, at the Sponsor’s discretion, convertible into units of BurTech at a price of $10.00 per unit, with the conversion amount determined by dividing (x) the sum of the outstanding principal amount payable to such Payee by (y) $10.00. The Working Capital Loan did not bear any interest and was repayable by BurTech to the Sponsor, if not converted or repaid on the effective date of a Business Combination involving BurTech and one or more businesses. The maturity date of the Working Capital Loan may be accelerated upon the occurrence of an Event of Default (as defined under the Working Capital Loan). As of December 31, 2024, $1,500,000 in working capital loans were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Advances from Sponsor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Sponsor provided working capital and extension deposits on behalf of BurTech. These amounts are reflected on the condensed consolidated balance sheets as advances from Sponsor. The advances are non-interest bearing and are payable on demand. As of December 31, 2024, BurTech had advances owed to the Sponsor in the amount of $2,971,258. During the year ended December 31, 2024, BurTech received $1,304,630 from its Sponsor for payment of operating expenses and ongoing business operations. Additionally, during the year ended December 31, 2024, the Sponsor paid $1,666,628 to the trust for extension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22, 2024, the Sponsor entered into a backstop subscription agreement (the “Backstop Subscription Agreement”) with BurTech and Legacy Blaize. Pursuant to the Backstop Subscription Agreement, in the event that the amount of cash in BurTech’s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closing condition in the Merger Agreement related to the Backstop Subscription Agreement was waived at the time of the execution of the Non-Redemption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in connection with the Business Combination, BurTech and Legacy Blaize entered into a subscription agreement (the “Burkhan PIPE Subscription Agreement”) with Burkhan Capital LLC (“Burkhan”), pursuant to which, among other things, BurTech agreed to issue and sell to Burkhan, and Burkhan agreed to subscribe for and purchase 1,200,000 shares of the Company’s common stock, par value $0.0001 per share (“PIPE Shares”) at a purchase price of $10.00 per share for an aggregate purchase price of $12,000,000, in a private placement. On January 13, 2025, immediately following the Closing, the Company issued 1,200,000 shares of Common Stock, at a price of $10.00 per share for an aggregate investment by Burkhan of $12,000,000 in accordance with the terms of the Burkhan PIPE Subscription Agreement. The shares of Common Stock issued to Burkhan were offered in a private placement under the Securities Act of 1933, as amended (the “Securities Act”), pursuant to the Burkhan PIPE Subscription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Burkhan PIPE Subscription Agreement, the Company was obligated to file a registration statement to register for the resale of the PIPE Shares within forty-five (45) calendar days of the Closing, and to use its commercially reasonable efforts to cause such registration statement to become effective as soon as practicable after the filing there of. On January 17, 2025, we filed a Registration Statement on Form S-1 to register the resale of such PIPE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Secured Promissory Note and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with respect to the remaining principal amount of the Sponsor Note as at the maturity date an interest rate of 7% with annual compounding, compounded on December 31 each year the Sponsor Note remains outstanding until such remaining principal amount is paid. Pursuant to the Sponsor Note, the Sponsor agreed to pay certain of the Acquiror Transaction Expenses (as defined in the Merger Agreement) set forth in the Sponsor Note. As consideration for entry into the Sponsor Note, BurTech issued 750,000 shares of BurTech Class A common stock (“Sponsor Note Shares”) to the Sponsor in accordance with the terms of the Sponsor Note (the “Sponsor Note Issuance” and together with the PIPE Investment, the “Private Placements”). The shares of BurTech Class A common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or May 14, 2025. The Sponsor granted a first priority security interest in, and pledged, 2,000,000 shares of BurTech Class A common stock and all proceeds thereof to the Holder to secure the satisfaction by the Sponsor of all its obligations to the Holder under the Sponsor Note. The outstanding principal and accrued interest under the Sponsor Note is due and payable upon the Maturity Date. Additionally, in the event that the Company is required to pay any of the Acquiror Transaction Expenses subject to the Sponsor Note, the Sponsor is obligated to reimburse the Company for such payments within 90 days of such payment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certain former Legacy Blaize stockholders entered into that certain Lock-Up Agreement, pursuant to which they each agreed, subject to certain customary exceptions, not to (i) sell, offer to sell, contract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earlier of (x) July 13, 2025, (y) the date on which the last reported sale price of common stock equals or exceeds $12.00 per share (as adjusted for stock splits, stock dividends, reorganizations, recapitalizations and the like) for any 20 trading days within any 30-trading day period commencing after June 12, 2025 and (z) the date on which the Company completes a liquidation, merger, capital stock exchange or other similar transaction that results in all of the Company’s stockholders having the right to exchange their shares of common stock for cash, securities or other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and Related Person Transactions — Legacy Blaize </w:t>
      </w:r>
    </w:p>
    <w:p>
      <w:pPr>
        <w:pStyle w:val="TextBody"/>
        <w:bidi w:val="0"/>
        <w:spacing w:before="120" w:after="0"/>
        <w:jc w:val="left"/>
        <w:rPr>
          <w:rFonts w:ascii="Times New Roman" w:hAnsi="Times New Roman"/>
          <w:b/>
          <w:i/>
          <w:sz w:val="20"/>
        </w:rPr>
      </w:pPr>
      <w:r>
        <w:rPr>
          <w:rFonts w:ascii="Times New Roman" w:hAnsi="Times New Roman"/>
          <w:b/>
          <w:i/>
          <w:sz w:val="20"/>
        </w:rPr>
        <w:t xml:space="preserve">Administrative and Operating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is a party to a Long-Term Joint Development Agreement with DENSO Corporation, dated as of February 15, 2022, pursuant to which Legacy Blaize and DENSO Corporation, which holds more than 5% of Blaize’s outstanding capital stock within Blaize’s last fiscal year and is affiliated with a member of our Board, Tony Cannestra, have agreed to jointly develop AI solutions based on one or more Blaize Products and market and sell the AI solutions to customers in various automotive market segments until the end of December 2029. Legacy Blaize has not recognized any revenue to date associated with the Long-Term Joint Development Agreement as it has yet to be commercialized. Legacy Blaize expects commercialization of the Long-Term Joint Development Agreement to begin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Intercompany Transactions, Accounts Payable and Account Receivable </w:t>
      </w:r>
    </w:p>
    <w:p>
      <w:pPr>
        <w:pStyle w:val="TextBody"/>
        <w:bidi w:val="0"/>
        <w:spacing w:before="120" w:after="0"/>
        <w:jc w:val="left"/>
        <w:rPr>
          <w:rFonts w:ascii="Times New Roman" w:hAnsi="Times New Roman"/>
          <w:sz w:val="20"/>
        </w:rPr>
      </w:pPr>
      <w:r>
        <w:rPr>
          <w:rFonts w:ascii="Times New Roman" w:hAnsi="Times New Roman"/>
          <w:sz w:val="20"/>
        </w:rPr>
        <w:t xml:space="preserve">Pursuant to an Intercompany Service Agreement, dated February 25, 2020, by and between Legacy Blaize and Blaize New Computing Technologies India Private Limited, a subsidiary of Legacy Blaize (“Blaize India”), Blaize India has agreed to provide software development services to Legacy Blaize in exchange for a fee equal to Blaize India’s costs plus a markup of approximately 15%. The Intercompany Service Agreement remains in effect and the amounts expensed by Legacy Blaize to Blaize India under this agreement were approximately approximately $13.5 million and $11.5 million for the fiscal years ended December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Legacy Blaize is a party to the Research and Development Services Agreement, dated as of June 15, 2019, pursuant to which Blaize U.K. Limited f/k/a ThinCI Limited, a subsidiary of Legacy Blaize (“Blaize UK”), has agreed to perform certain research and development services for Legacy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 expensed by Legacy Blaize to Blaize UK under this agreement were approximately $6.6 million and $6.1 million for the fiscal years ended December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Licensing and Trademark Agreements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was a party to the Blaize-DENSO Compiler Project Statement of Work, dated as of February 4, 2024, pursuant to which DENSO Corporation, an affiliate of Blaize which beneficially owns more than 5% of Blaize’s outstanding capital stock through itself and its subsidiary, DENSO, and is affiliated with a member of the Blaize board of directors, Tony Cannestra, agreed to jointly develop certain AI projects with Blaize. The Blaize-DENSO Compiler Project Statement of Work has been substantially completed and Legacy Blaize was paid approximately $0.3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Loans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is a party to that certain intercompany Loan Agreement, dated June 14, 2019, between Blaize, Inc. (formerly known as M/s ThinCI Inc.), as lender, and Blaize New Computing Technologies India Private Limited (formerly known as M/s ThinCI Semiconductor Technologies India Private Limited), as borrower, in the initial principal amount of $4,462,416 (the “Blaize India Loan”). The Blaize India Loan bore simple interest at a rate of 7.99 percent (7.99%) and was payable within seven (7) working days from the expiry of interest period of six consecutive months. Since January 1, 2024, the largest aggregate amount of principal outstanding under the Blaize India Loan was $3,123,690. The amount of principal and interest paid under the Blaize India Loan since the inception of loan to date amounts to $446,242 and $356,418, respectively. As of December 31, 2024, Blaize India had $2,677,448 of borrowings outstanding under the Blaize India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Bess Ventures Secured Promissory Notes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BurTech Class A common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BurTech Class A common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BurTech Class A common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BurTech Class A common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 forth in Exhibit A thereto, including 2.5 million shares in BurTech Class A common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BurTech Class A common stock. As of March 25, 2025, the forbearance period under the Second Forbearance Agreement has expired and the Sponsor is under default under the Bess 2025 Note.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13, 2025, the Board adopted a written related person transaction policy and procedures that conforms with the requirements for issuers having securities listed on Nasdaq. Under the policy, the audit committee serves as the approval authority for related person transactions. Any transaction that we intend to undertake with a related person will be submitted to either our General Counsel (or his or her designee), who serves as the compliance officer under the policy, the Audit Committee, or the full Board for review. If the compliance officer, the Audit Committee, or the Board becomes aware of a transaction with a related person that has not been previously approved or previously ratified under the policy that required such approval, the transaction will be submitted promptly to the approval authority for review.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conduct and ethics requiring us to avoid, wherever possible, all conflicts of interests, except under guidelines or resolutions approved by the board of directors (or the appropriate committee of the board of directors) or as disclosed in public filings with the SEC. Under the adopted code of conduct and ethics, conflict of interest situations include any financial transaction, arrangement or relationship (including any indebtedness or guarantee of indebtedness) involving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Audit Committee charter, our Audit Committee is responsible for reviewing and approving related party transactions to the extent that we entered into such transactions. An affirmative vote of a majority of the members of the Audit Committee present at a meeting at which a quorum is present will be required in order to approve a related party transaction. Without a meeting, the unanimous written consent of all of the members of the Audit Committee will be required to approve a related party transaction. We also require each of our directors and officers to complete a directors’ and officers’ questionnaire that elicits information about related party transactions. These procedures are intended to determine whether any such related party transaction impairs the independence of a director or presents a conflict of interest on the part of a director, employee or officer.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reviews on a periodic basis all payments that were made to the officers or directors, or to their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and Officer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934548_16"/>
      <w:bookmarkEnd w:id="18"/>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us regarding the beneficial ownership of our Common Stock immediately following consummation of the Transactions by: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the beneficial owner of more than 5% of the outstanding shares of our Common Stock;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directors;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our Common Stock is based on 101,683,916 shares of Common Stock issued and outstanding as of the date of this prospectus, including the redemption of Initial Shares as described above and the consummation of the NRA Financing and Private Placements. </w:t>
      </w:r>
    </w:p>
    <w:p>
      <w:pPr>
        <w:pStyle w:val="TextBody"/>
        <w:bidi w:val="0"/>
        <w:spacing w:before="0" w:after="0"/>
        <w:jc w:val="left"/>
        <w:rPr/>
      </w:pPr>
      <w:r>
        <w:rPr/>
        <w:t> </w:t>
      </w:r>
    </w:p>
    <w:tbl>
      <w:tblPr>
        <w:tblW w:w="8720" w:type="dxa"/>
        <w:jc w:val="left"/>
        <w:tblInd w:w="0" w:type="dxa"/>
        <w:tblLayout w:type="fixed"/>
        <w:tblCellMar>
          <w:top w:w="0" w:type="dxa"/>
          <w:left w:w="0" w:type="dxa"/>
          <w:bottom w:w="0" w:type="dxa"/>
          <w:right w:w="0" w:type="dxa"/>
        </w:tblCellMar>
      </w:tblPr>
      <w:tblGrid>
        <w:gridCol w:w="5615"/>
        <w:gridCol w:w="120"/>
        <w:gridCol w:w="61"/>
        <w:gridCol w:w="1129"/>
        <w:gridCol w:w="60"/>
        <w:gridCol w:w="120"/>
        <w:gridCol w:w="153"/>
        <w:gridCol w:w="1127"/>
        <w:gridCol w:w="335"/>
      </w:tblGrid>
      <w:tr>
        <w:trPr/>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6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Owners</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w:t>
              <w:br/>
              <w:t>Stock</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Outstanding</w:t>
              <w:br/>
              <w:t>Common</w:t>
              <w:br/>
              <w:t>Stock</w:t>
            </w:r>
          </w:p>
        </w:tc>
        <w:tc>
          <w:tcPr>
            <w:tcW w:w="33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127"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Bess Ventures and Advisory, LLC(1)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9,521,985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9.4</w:t>
            </w:r>
          </w:p>
        </w:tc>
        <w:tc>
          <w:tcPr>
            <w:tcW w:w="33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Funds affiliated with Rizvi Traverse CI Manager, LLC(2)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7,439,433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7.3</w:t>
            </w:r>
          </w:p>
        </w:tc>
        <w:tc>
          <w:tcPr>
            <w:tcW w:w="33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Ava Investors SA(3)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17,716,892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17.4</w:t>
            </w:r>
          </w:p>
        </w:tc>
        <w:tc>
          <w:tcPr>
            <w:tcW w:w="33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Sponsor and related parties(4)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12,345,767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12.1</w:t>
            </w:r>
          </w:p>
        </w:tc>
        <w:tc>
          <w:tcPr>
            <w:tcW w:w="33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Funds affiliated with DENSO(5)</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9,195,111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9.0</w:t>
            </w:r>
          </w:p>
        </w:tc>
        <w:tc>
          <w:tcPr>
            <w:tcW w:w="33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Anderson Investments Pte. Ltd.(6)</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6,353,023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6.2</w:t>
            </w:r>
          </w:p>
        </w:tc>
        <w:tc>
          <w:tcPr>
            <w:tcW w:w="33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Lane M. Bess(1)</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9,521,985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9.4</w:t>
            </w:r>
          </w:p>
        </w:tc>
        <w:tc>
          <w:tcPr>
            <w:tcW w:w="33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Cannestra(7)</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571,963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Frank(8)</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563,139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Juergen Hambrecht(9)</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563,139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Munagala(10)</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3,138,518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3.1</w:t>
            </w:r>
          </w:p>
        </w:tc>
        <w:tc>
          <w:tcPr>
            <w:tcW w:w="33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Harminder Sehmi(11)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459,572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de Urioste</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Yoshiaki Fujimori</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 as a group (10 individuals)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b/>
              </w:rPr>
            </w:pPr>
            <w:r>
              <w:rPr>
                <w:b/>
              </w:rPr>
              <w:t>14,818,316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b/>
              </w:rPr>
            </w:pPr>
            <w:r>
              <w:rPr>
                <w:b/>
              </w:rPr>
              <w:t>14.6</w:t>
            </w:r>
          </w:p>
        </w:tc>
        <w:tc>
          <w:tcPr>
            <w:tcW w:w="335" w:type="dxa"/>
            <w:tcBorders/>
            <w:shd w:fill="CCEEFF" w:val="clear"/>
            <w:vAlign w:val="center"/>
          </w:tcPr>
          <w:p>
            <w:pPr>
              <w:pStyle w:val="TableContents"/>
              <w:bidi w:val="0"/>
              <w:spacing w:before="0" w:after="283"/>
              <w:jc w:val="left"/>
              <w:rPr>
                <w:b/>
              </w:rPr>
            </w:pPr>
            <w:r>
              <w:rPr>
                <w:b/>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8,946,783 shares of Common Stock held by Bess Ventures, (b) 389,968 shares of Common Stock held by the Trust and (c) 185,234 shares of Common Stock underlying options exercisable within 60 days of March 31, 2025. Lane M. Bess is the (i) managing member and owner of Bess Ventures and (ii) the Investment Fiduciary of the Trust. Lane M. Bess may be deemed to be the beneficial owner of the shares of Blaize capital stock beneficially owned by Bess Ventures and the Trust. The address of Bess Ventures is c/o Lane M. Bess, 1928 Sunset Harbor Drive, Miami Beach, FL 33139. The address of the Trust is 255 Alhambra Circle, Ste 333, Coral Gables, FL 33134.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12,345,767 shares of Common Stock held by the Sponsor and related parties. BurTech LP LLC, the Sponsor, is the record holder of the securities reported herein. Shahal Khan, Patrick Orlando and Roman Livson are the managing members of our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Acquisition Corp., 1300 Pennsylvania Ave NW, Suite 700, Washington, DC 20004.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(5)</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6,353,023 shares of Common Stock held by Anderson.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(7)</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571,963 shares of Common Stock underlying options exercisable within 60 days of March 31, 2025. </w:t>
            </w:r>
          </w:p>
        </w:tc>
      </w:tr>
    </w:tbl>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(8)</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563,139 shares of Common Stock underlying options exercisable within 60 days of March 31, 2025. </w:t>
            </w:r>
          </w:p>
        </w:tc>
      </w:tr>
    </w:tbl>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(9)</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563,139 shares of Common Stock underlying options exercisable within 60 days of March 31, 2025. </w:t>
            </w:r>
          </w:p>
        </w:tc>
      </w:tr>
    </w:tbl>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(10)</w:t>
            </w:r>
          </w:p>
        </w:tc>
        <w:tc>
          <w:tcPr>
            <w:tcW w:w="98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553,422 shares of Common Stock held directly by Dinakar Munagala and (b) 2,585,096 shares of Common Stock underlying options exercisable within 60 days of March 31, 2025. </w:t>
            </w:r>
          </w:p>
        </w:tc>
      </w:tr>
    </w:tbl>
    <w:tbl>
      <w:tblPr>
        <w:tblW w:w="9580" w:type="dxa"/>
        <w:jc w:val="left"/>
        <w:tblInd w:w="0" w:type="dxa"/>
        <w:tblLayout w:type="fixed"/>
        <w:tblCellMar>
          <w:top w:w="0" w:type="dxa"/>
          <w:left w:w="0" w:type="dxa"/>
          <w:bottom w:w="0" w:type="dxa"/>
          <w:right w:w="0" w:type="dxa"/>
        </w:tblCellMar>
      </w:tblPr>
      <w:tblGrid>
        <w:gridCol w:w="425"/>
        <w:gridCol w:w="9155"/>
      </w:tblGrid>
      <w:tr>
        <w:trPr/>
        <w:tc>
          <w:tcPr>
            <w:tcW w:w="425" w:type="dxa"/>
            <w:tcBorders/>
            <w:vAlign w:val="center"/>
          </w:tcPr>
          <w:p>
            <w:pPr>
              <w:pStyle w:val="TableContents"/>
              <w:bidi w:val="0"/>
              <w:spacing w:before="0" w:after="283"/>
              <w:jc w:val="left"/>
              <w:rPr/>
            </w:pPr>
            <w:r>
              <w:rPr/>
              <w:t>(11)</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459,572 shares of Common Stock underlying options exercisable within 60 days of March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934548_17"/>
      <w:bookmarkEnd w:id="19"/>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(i) the resale of 54,536,826 shares of Common Stock issued in connection with the Business Combination by certain of the Selling Securityholders, (ii) the resale of 1,540,300 shares of Common Stock issued in the PIPE Investment by certain of the Selling Securityholders, (iii) the resale of 750,000 shares of Common Stock issued in connection with the Sponsor Note by certain of the Selling Securityholders, (iv) the issuance by us and resale of 28,049,416 shares of common stock reserved for issuance upon the exercise of options to purchase common stock, (v) the issuance by us and resale of 3,630,400 shares of common stock reserved for issuance upon the settlement of restricted stock units, (vi) the resale of up to 898,250 shares of Common Stock that are issuable upon the exercise of the Private Placement Warrants (as defined below) (which were originally issued at a price of $1.00 per Warrant) at an exercise price of $11.50 per share by certain of the selling securityholders named in this prospectus, (vii) the resale of 82,166 shares of Common Stock issued to certain capital markets advisors as deferred compensation in satisfaction of transaction fees for acting as a financial advisor by certain of the Selling Securityholders and (viii) the resale of up to 50,000 shares of Common Stock that are issuable upon the exercise of the CMA Warrants at an exercise price of $11.50 per share by a certain selling securityholder named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relates to the issuance by us of an aggregate of up to 29,698,250 shares of our Common Stock, which consists of (i) up to 898,250 shares of Common Stock that are issuable upon the exercise of 898,250 Private Placement Warrants originally issued in a private placement in connection with the BurTech IPO, by the holders thereof, (ii) up to 28,750,000 shares of Common Stock that are issuable upon the exercise of 28,750,000 Public Warrants originally issued in the BurTech IPO, by the holders thereof and (iii) up to 50,000 shares of Common Stock that are issuable upon the exercise of the CMA Warrants at an exercise price of $11.50 per share by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the date of this prospectus, the names of the Selling Securityholders, and the aggregate number of shares of common stock and warrants that the Selling Securityholders may offer pursuant to this prospectus. The table does not include (i) the issuance by us and resale of 28,049,416 shares of common stock reserved for issuance upon the exercise of options to purchase common stock or (ii) the issuance by us and resale of 3,630,400 shares of common stock reserved for issuance upon the settlement of restricted stock units, each of which is also covered by this prospectus. </w:t>
      </w:r>
    </w:p>
    <w:p>
      <w:pPr>
        <w:pStyle w:val="TextBody"/>
        <w:bidi w:val="0"/>
        <w:spacing w:before="360" w:after="0"/>
        <w:jc w:val="left"/>
        <w:rPr>
          <w:rFonts w:ascii="Times New Roman" w:hAnsi="Times New Roman"/>
          <w:sz w:val="20"/>
        </w:rPr>
      </w:pPr>
      <w:r>
        <w:rPr>
          <w:rFonts w:ascii="Times New Roman" w:hAnsi="Times New Roman"/>
          <w:sz w:val="20"/>
        </w:rPr>
        <w:t xml:space="preserve">Unless otherwise noted, the address of each Selling Securityholder is c/o Blaize Holdings, Inc., 4659 Golden Foothill Parkway, Suite 206, El Dorado Hills, CA 95762. Percentage ownership is based on 101,683,916 shares of Common Stock and 29,698,250 Warrants outstanding as of April 29, 2025. </w:t>
      </w:r>
    </w:p>
    <w:p>
      <w:pPr>
        <w:pStyle w:val="TextBody"/>
        <w:bidi w:val="0"/>
        <w:spacing w:before="0" w:after="0"/>
        <w:jc w:val="left"/>
        <w:rPr/>
      </w:pPr>
      <w:r>
        <w:rPr/>
        <w:t> </w:t>
      </w:r>
    </w:p>
    <w:tbl>
      <w:tblPr>
        <w:tblW w:w="11235" w:type="dxa"/>
        <w:jc w:val="left"/>
        <w:tblInd w:w="0" w:type="dxa"/>
        <w:tblLayout w:type="fixed"/>
        <w:tblCellMar>
          <w:top w:w="0" w:type="dxa"/>
          <w:left w:w="0" w:type="dxa"/>
          <w:bottom w:w="0" w:type="dxa"/>
          <w:right w:w="0" w:type="dxa"/>
        </w:tblCellMar>
      </w:tblPr>
      <w:tblGrid>
        <w:gridCol w:w="1010"/>
        <w:gridCol w:w="120"/>
        <w:gridCol w:w="60"/>
        <w:gridCol w:w="1100"/>
        <w:gridCol w:w="60"/>
        <w:gridCol w:w="120"/>
        <w:gridCol w:w="70"/>
        <w:gridCol w:w="940"/>
        <w:gridCol w:w="60"/>
        <w:gridCol w:w="120"/>
        <w:gridCol w:w="60"/>
        <w:gridCol w:w="1100"/>
        <w:gridCol w:w="60"/>
        <w:gridCol w:w="120"/>
        <w:gridCol w:w="75"/>
        <w:gridCol w:w="1010"/>
        <w:gridCol w:w="60"/>
        <w:gridCol w:w="120"/>
        <w:gridCol w:w="180"/>
        <w:gridCol w:w="785"/>
        <w:gridCol w:w="60"/>
        <w:gridCol w:w="120"/>
        <w:gridCol w:w="231"/>
        <w:gridCol w:w="1004"/>
        <w:gridCol w:w="60"/>
        <w:gridCol w:w="120"/>
        <w:gridCol w:w="189"/>
        <w:gridCol w:w="821"/>
        <w:gridCol w:w="60"/>
        <w:gridCol w:w="120"/>
        <w:gridCol w:w="214"/>
        <w:gridCol w:w="931"/>
        <w:gridCol w:w="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Beneficially</w:t>
              <w:br/>
              <w:t>Owned prior to this</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to be Offered in</w:t>
              <w:br/>
              <w:t>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95" w:type="dxa"/>
            <w:gridSpan w:val="14"/>
            <w:tcBorders>
              <w:bottom w:val="single" w:sz="8" w:space="0" w:color="000000"/>
            </w:tcBorders>
            <w:tcMar>
              <w:bottom w:w="28" w:type="dxa"/>
            </w:tcMar>
            <w:vAlign w:val="center"/>
          </w:tcPr>
          <w:p>
            <w:pPr>
              <w:pStyle w:val="TableContents"/>
              <w:bidi w:val="0"/>
              <w:spacing w:before="0" w:after="283"/>
              <w:jc w:val="center"/>
              <w:rPr/>
            </w:pPr>
            <w:r>
              <w:rPr>
                <w:b/>
              </w:rPr>
              <w:t>Securities Beneficially Owned after this</w:t>
            </w:r>
            <w:r>
              <w:rPr/>
              <w:br/>
            </w:r>
            <w:r>
              <w:rPr>
                <w:b/>
              </w:rPr>
              <w:t>Offering</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pPr>
            <w:r>
              <w:rPr>
                <w:b/>
              </w:rPr>
              <w:t>Shares</w:t>
              <w:br/>
              <w:t>of</w:t>
              <w:br/>
              <w:t>Common</w:t>
            </w:r>
            <w:r>
              <w:rPr/>
              <w:br/>
            </w:r>
            <w:r>
              <w:rPr>
                <w:b/>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Anderson Investments Pte. Ltd.(3)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6,353,023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6,353,023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Ava Investors SA and affiliates(4)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17,716,892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17,716,892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Bess Ventures and Advisory, LLC(5)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9,336,751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9,336,751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BurTech LP LLC(6)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8,229,379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242,875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8,229,379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242,875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Funds affiliated with DENSO(7)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9,195,111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9,195,111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Keep a Child Alive, Inc.(8)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319,125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319,125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F&amp;M Star Alliance, Inc.(9)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448,393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448,393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Munagala(10)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553,422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553,422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1040" w:type="dxa"/>
        <w:jc w:val="left"/>
        <w:tblInd w:w="0" w:type="dxa"/>
        <w:tblLayout w:type="fixed"/>
        <w:tblCellMar>
          <w:top w:w="0" w:type="dxa"/>
          <w:left w:w="0" w:type="dxa"/>
          <w:bottom w:w="0" w:type="dxa"/>
          <w:right w:w="0" w:type="dxa"/>
        </w:tblCellMar>
      </w:tblPr>
      <w:tblGrid>
        <w:gridCol w:w="1205"/>
        <w:gridCol w:w="120"/>
        <w:gridCol w:w="75"/>
        <w:gridCol w:w="890"/>
        <w:gridCol w:w="60"/>
        <w:gridCol w:w="120"/>
        <w:gridCol w:w="81"/>
        <w:gridCol w:w="929"/>
        <w:gridCol w:w="60"/>
        <w:gridCol w:w="120"/>
        <w:gridCol w:w="80"/>
        <w:gridCol w:w="885"/>
        <w:gridCol w:w="60"/>
        <w:gridCol w:w="120"/>
        <w:gridCol w:w="87"/>
        <w:gridCol w:w="998"/>
        <w:gridCol w:w="60"/>
        <w:gridCol w:w="120"/>
        <w:gridCol w:w="180"/>
        <w:gridCol w:w="785"/>
        <w:gridCol w:w="60"/>
        <w:gridCol w:w="120"/>
        <w:gridCol w:w="231"/>
        <w:gridCol w:w="1004"/>
        <w:gridCol w:w="60"/>
        <w:gridCol w:w="120"/>
        <w:gridCol w:w="189"/>
        <w:gridCol w:w="821"/>
        <w:gridCol w:w="60"/>
        <w:gridCol w:w="120"/>
        <w:gridCol w:w="214"/>
        <w:gridCol w:w="931"/>
        <w:gridCol w:w="7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Beneficially</w:t>
              <w:br/>
              <w:t>Owned prior to this</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to be Offered</w:t>
              <w:br/>
              <w:t>in 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95" w:type="dxa"/>
            <w:gridSpan w:val="14"/>
            <w:tcBorders>
              <w:bottom w:val="single" w:sz="8" w:space="0" w:color="000000"/>
            </w:tcBorders>
            <w:tcMar>
              <w:bottom w:w="28" w:type="dxa"/>
            </w:tcMar>
            <w:vAlign w:val="center"/>
          </w:tcPr>
          <w:p>
            <w:pPr>
              <w:pStyle w:val="TableContents"/>
              <w:bidi w:val="0"/>
              <w:spacing w:before="0" w:after="283"/>
              <w:jc w:val="center"/>
              <w:rPr/>
            </w:pPr>
            <w:r>
              <w:rPr>
                <w:b/>
              </w:rPr>
              <w:t>Securities Beneficially Owned after this</w:t>
            </w:r>
            <w:r>
              <w:rPr/>
              <w:br/>
            </w:r>
            <w:r>
              <w:rPr>
                <w:b/>
              </w:rPr>
              <w:t>Offering</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U&amp;L Holdings, LLC(11)</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306,217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306,217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James G. Horian Living Trust, established September 16, 2014(12)</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Fred Ezra Revocable Trust(13)</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Hari Mukkala(14)</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Madderla Kumar(15)</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Venkata Srirama(16)</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Kiran Vemuri(17)</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Satheesh Bommakanti(18)</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Vikram Nagulakonda(19)</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Venkatesh Ganga(20)</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Pradeep Kowkutla(21)</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Nagaraja Krovi(22)</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Reema Gupta(23)</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Khailee Ng(24)</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Shravan Parag Kodimela(25)</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Nachiketa Sawrikar(26)</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Ashwin Thirunahari(27)</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Vijay Sar-Dessai(28)</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Vipin Boyanapalli(29)</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Mohit Sabharwal(30)</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Srinivas Pratapa(31)</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Jayalakshmi Badiga(32)</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Swapna Yasarapu(33)</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Arun Kalluri(34)</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Shiloh Produce, Inc.(35)</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9,632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9,632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9,632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9,632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E. Lowy &amp; Laura Lowy(36)</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13,773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13,773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13,773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13,773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Laura Lowy IRA(37)</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4,142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4,142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4,142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4,142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Lowy SEP IRA(38)</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Ryan Turner(39)</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Harbor City Investments LLC(40)</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Adam Siper(41)</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Anthony Piccola(42)</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Ide(43)</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4,793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4,793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4,793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4,793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Nelson(44)</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Melissa Boos(45)</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Thomas(46)</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Rick Genderson(47)</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Kelley(48)</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J. Mazur Revocable Trust(49)</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Edward Mazur IRA(50)</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1385" w:type="dxa"/>
        <w:jc w:val="left"/>
        <w:tblInd w:w="0" w:type="dxa"/>
        <w:tblLayout w:type="fixed"/>
        <w:tblCellMar>
          <w:top w:w="0" w:type="dxa"/>
          <w:left w:w="0" w:type="dxa"/>
          <w:bottom w:w="0" w:type="dxa"/>
          <w:right w:w="0" w:type="dxa"/>
        </w:tblCellMar>
      </w:tblPr>
      <w:tblGrid>
        <w:gridCol w:w="1550"/>
        <w:gridCol w:w="120"/>
        <w:gridCol w:w="78"/>
        <w:gridCol w:w="887"/>
        <w:gridCol w:w="60"/>
        <w:gridCol w:w="120"/>
        <w:gridCol w:w="81"/>
        <w:gridCol w:w="929"/>
        <w:gridCol w:w="60"/>
        <w:gridCol w:w="120"/>
        <w:gridCol w:w="86"/>
        <w:gridCol w:w="879"/>
        <w:gridCol w:w="60"/>
        <w:gridCol w:w="120"/>
        <w:gridCol w:w="87"/>
        <w:gridCol w:w="998"/>
        <w:gridCol w:w="60"/>
        <w:gridCol w:w="120"/>
        <w:gridCol w:w="180"/>
        <w:gridCol w:w="785"/>
        <w:gridCol w:w="60"/>
        <w:gridCol w:w="120"/>
        <w:gridCol w:w="231"/>
        <w:gridCol w:w="1004"/>
        <w:gridCol w:w="60"/>
        <w:gridCol w:w="120"/>
        <w:gridCol w:w="189"/>
        <w:gridCol w:w="821"/>
        <w:gridCol w:w="60"/>
        <w:gridCol w:w="120"/>
        <w:gridCol w:w="214"/>
        <w:gridCol w:w="931"/>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w:t>
              <w:br/>
              <w:t>Beneficially Owned</w:t>
              <w:br/>
              <w:t>prior to 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to be Offered</w:t>
              <w:br/>
              <w:t>in 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95" w:type="dxa"/>
            <w:gridSpan w:val="14"/>
            <w:tcBorders>
              <w:bottom w:val="single" w:sz="8" w:space="0" w:color="000000"/>
            </w:tcBorders>
            <w:tcMar>
              <w:bottom w:w="28" w:type="dxa"/>
            </w:tcMar>
            <w:vAlign w:val="center"/>
          </w:tcPr>
          <w:p>
            <w:pPr>
              <w:pStyle w:val="TableContents"/>
              <w:bidi w:val="0"/>
              <w:spacing w:before="0" w:after="283"/>
              <w:jc w:val="center"/>
              <w:rPr/>
            </w:pPr>
            <w:r>
              <w:rPr>
                <w:b/>
              </w:rPr>
              <w:t>Securities Beneficially Owned after this</w:t>
            </w:r>
            <w:r>
              <w:rPr/>
              <w:br/>
            </w:r>
            <w:r>
              <w:rPr>
                <w:b/>
              </w:rPr>
              <w:t>Offering</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Avi Suriel(51)</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5,963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5,963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5,963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Carlos Hoz De Vila(52)</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28,895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28,895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28,895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28,895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Rouleau(53)</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Schwartz(54)</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Philippe Oga(55)</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E. Hosford, IRA(56)</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2,695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2,695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2,695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2,695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Ricci Roth IRA(57)</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A Hughes &amp; Janet M Hughes(58)</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Pierre Yves Methot(59)</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4,816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4,816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4,816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Pasquale Filippelli(60)</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Francois Gaudreau(61)</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9,631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9,631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9,631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9,631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723996 NB Inc.(62)</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Lujain Holdings Limited(63)</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Beshara (Andrew J Beshara &amp; Mariam M. Manichaikul JTWROS)(64)</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Hosford(65)</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Frank R. Vegely IRA(66)</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2,885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2,885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2,885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2,885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Lorraine Vegely IRA(67)</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2,885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Loretta Massoud Romano FBO and on behalf of Loretta Massoud Romano Revocable Trust(68)</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15,411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15,411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15,411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15,411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Carmean ROTH IRA(69)</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Demetra T Veltsistas Trust(70)</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Siegel(71)</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23,116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23,116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23,116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23,116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Vito Lavopa(72)</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Frank A. Vegely(73)</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1,541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1,541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1,541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1,541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Harder I Work Luckier I Get LLC(74)</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38,527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38,527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38,527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38,527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Jeffrey Warmann IRA(75)</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Siripipat Living Trust(76)</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1,541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Legacy Generation LLC(77)</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6,935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6,935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6,935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6,935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Stewart(78)</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Samantha Gumenick(79)</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Bowman(80)</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Nuttall Ventures LLC(81)</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AB Blaize LLC(82)</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8,091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8,091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8,091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8,091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Carroll Resources, LLC(83)</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Full Stack Investments LLC(84)</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1,541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1130" w:type="dxa"/>
        <w:jc w:val="left"/>
        <w:tblInd w:w="0" w:type="dxa"/>
        <w:tblLayout w:type="fixed"/>
        <w:tblCellMar>
          <w:top w:w="0" w:type="dxa"/>
          <w:left w:w="0" w:type="dxa"/>
          <w:bottom w:w="0" w:type="dxa"/>
          <w:right w:w="0" w:type="dxa"/>
        </w:tblCellMar>
      </w:tblPr>
      <w:tblGrid>
        <w:gridCol w:w="1145"/>
        <w:gridCol w:w="120"/>
        <w:gridCol w:w="60"/>
        <w:gridCol w:w="980"/>
        <w:gridCol w:w="60"/>
        <w:gridCol w:w="120"/>
        <w:gridCol w:w="70"/>
        <w:gridCol w:w="940"/>
        <w:gridCol w:w="60"/>
        <w:gridCol w:w="120"/>
        <w:gridCol w:w="60"/>
        <w:gridCol w:w="980"/>
        <w:gridCol w:w="60"/>
        <w:gridCol w:w="120"/>
        <w:gridCol w:w="76"/>
        <w:gridCol w:w="1009"/>
        <w:gridCol w:w="60"/>
        <w:gridCol w:w="120"/>
        <w:gridCol w:w="180"/>
        <w:gridCol w:w="785"/>
        <w:gridCol w:w="60"/>
        <w:gridCol w:w="120"/>
        <w:gridCol w:w="231"/>
        <w:gridCol w:w="1004"/>
        <w:gridCol w:w="60"/>
        <w:gridCol w:w="120"/>
        <w:gridCol w:w="189"/>
        <w:gridCol w:w="821"/>
        <w:gridCol w:w="60"/>
        <w:gridCol w:w="120"/>
        <w:gridCol w:w="214"/>
        <w:gridCol w:w="931"/>
        <w:gridCol w:w="75"/>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Beneficially</w:t>
              <w:br/>
              <w:t>Owned prior to this</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to be Offered in</w:t>
              <w:br/>
              <w:t>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95" w:type="dxa"/>
            <w:gridSpan w:val="14"/>
            <w:tcBorders>
              <w:bottom w:val="single" w:sz="8" w:space="0" w:color="000000"/>
            </w:tcBorders>
            <w:tcMar>
              <w:bottom w:w="28" w:type="dxa"/>
            </w:tcMar>
            <w:vAlign w:val="center"/>
          </w:tcPr>
          <w:p>
            <w:pPr>
              <w:pStyle w:val="TableContents"/>
              <w:bidi w:val="0"/>
              <w:spacing w:before="0" w:after="283"/>
              <w:jc w:val="center"/>
              <w:rPr/>
            </w:pPr>
            <w:r>
              <w:rPr>
                <w:b/>
              </w:rPr>
              <w:t>Securities Beneficially Owned after this</w:t>
            </w:r>
            <w:r>
              <w:rPr/>
              <w:br/>
            </w:r>
            <w:r>
              <w:rPr>
                <w:b/>
              </w:rPr>
              <w:t>Offering</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Yasser Suleiman Alquwaidi(85)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Ibrahim Almanie(86)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Gary Moliken(87)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Brendan Harold(88)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Stephanie Dupal(89)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Abdulazis Alongary(90)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Dale Shilling(91)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15,411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15,411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Charalampos Antoniu(92)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2,357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2,357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Codrus Capital AG(93)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Joseph Michalczyk(94)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KIG Technical Services LLC(95)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1,828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1,828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Mubashir Khazi(96)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Universal E-Business Solutions(97)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5,009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5,009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RK Trading I LLC(98)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234,938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9,938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234,938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9,938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Spartan Capital Securities, LLC(99)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231,231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131,231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231,231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131,231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Vladimir Eskin(100)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Charles Dahan(101)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Ousam El Omari(102)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9325-2443 Quebec Inc.(103)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Derek Jones(104)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Grimpe(105)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Arvinder Kakar(106)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16,667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16,667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His Highness Sheikh Ahmed Dalmook Al Maktoum(107)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Ignite Capital Partners, Inc.(108)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6,667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6,667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Ohler(109)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A. Silverman(110)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W. Janssen(111)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6,667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Dennis Saadeh(112)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Trout Lake Enterprises LP(113)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6,667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Igor Semenov(114)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Roth Capital Partners, LLC(115)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Craig-Hallum Capital Group LLC(116)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Lipman(117)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Kingswood Capital Partners(118)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Silver(119)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79,544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79,544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Finalis, Inc.(120)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1580" w:type="dxa"/>
        <w:jc w:val="left"/>
        <w:tblInd w:w="0" w:type="dxa"/>
        <w:tblLayout w:type="fixed"/>
        <w:tblCellMar>
          <w:top w:w="0" w:type="dxa"/>
          <w:left w:w="0" w:type="dxa"/>
          <w:bottom w:w="0" w:type="dxa"/>
          <w:right w:w="0" w:type="dxa"/>
        </w:tblCellMar>
      </w:tblPr>
      <w:tblGrid>
        <w:gridCol w:w="1745"/>
        <w:gridCol w:w="120"/>
        <w:gridCol w:w="90"/>
        <w:gridCol w:w="875"/>
        <w:gridCol w:w="60"/>
        <w:gridCol w:w="120"/>
        <w:gridCol w:w="189"/>
        <w:gridCol w:w="821"/>
        <w:gridCol w:w="60"/>
        <w:gridCol w:w="120"/>
        <w:gridCol w:w="96"/>
        <w:gridCol w:w="869"/>
        <w:gridCol w:w="60"/>
        <w:gridCol w:w="120"/>
        <w:gridCol w:w="203"/>
        <w:gridCol w:w="882"/>
        <w:gridCol w:w="60"/>
        <w:gridCol w:w="120"/>
        <w:gridCol w:w="180"/>
        <w:gridCol w:w="785"/>
        <w:gridCol w:w="60"/>
        <w:gridCol w:w="120"/>
        <w:gridCol w:w="231"/>
        <w:gridCol w:w="1004"/>
        <w:gridCol w:w="60"/>
        <w:gridCol w:w="120"/>
        <w:gridCol w:w="189"/>
        <w:gridCol w:w="821"/>
        <w:gridCol w:w="60"/>
        <w:gridCol w:w="120"/>
        <w:gridCol w:w="214"/>
        <w:gridCol w:w="931"/>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Beneficially</w:t>
              <w:br/>
              <w:t>Owned prior to this</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to be Offered</w:t>
              <w:br/>
              <w:t>in 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95" w:type="dxa"/>
            <w:gridSpan w:val="14"/>
            <w:tcBorders>
              <w:bottom w:val="single" w:sz="8" w:space="0" w:color="000000"/>
            </w:tcBorders>
            <w:tcMar>
              <w:bottom w:w="28" w:type="dxa"/>
            </w:tcMar>
            <w:vAlign w:val="center"/>
          </w:tcPr>
          <w:p>
            <w:pPr>
              <w:pStyle w:val="TableContents"/>
              <w:bidi w:val="0"/>
              <w:spacing w:before="0" w:after="283"/>
              <w:jc w:val="center"/>
              <w:rPr/>
            </w:pPr>
            <w:r>
              <w:rPr>
                <w:b/>
              </w:rPr>
              <w:t>Securities Beneficially Owned after this</w:t>
            </w:r>
            <w:r>
              <w:rPr/>
              <w:br/>
            </w:r>
            <w:r>
              <w:rPr>
                <w:b/>
              </w:rPr>
              <w:t>Offering</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 Tree Value Master Fund LP(121)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8,400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 Tree Capital Opportunity Master Fund LP(122)</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5,807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 Tree Capital Opportunity Master Fund III, LP(123)</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9,412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9,412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FT SOF XIII (SPAC) Holdings, LLC(124)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40,607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40,607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BOSTON PATRIOT MERRIMACK ST. LLC(125)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84,598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84,598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Kepos Alpha Master Fund L.P.(126)</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78,800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78,800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Kepos Special Opportunities Master Fund L.P.(127)</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21,200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Lee Lapp(128)</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10,250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Mizuho Securities USA LLC(129)</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Radcliffe SPAC Master Fund L.P.(130)</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37,775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EXOS COLLATERALIZED SPAC HOLDINGS FUND LP(131)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63,565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EXOS Consolidated SPAC Holdings Fund LP(132)</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Boothbay Absolute Return Strategies, LP(133)</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66,330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66,330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Boothbay Diversified Alpha Master Fund LP(134)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32,670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Sandia Crest LP(135)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27,501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27,501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Walleye Investment Fund LLC(136)</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43,400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Walleye Opportunities Master Fund Ltd(137)</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72,851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Crestline Summit Master, SPC - Peak SP(138)</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20,749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Crestline Summit Master, SPC - Crestline Summit APEX SP(139)</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5,250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Harraden Circle Investors(140)</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62,500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 Hawk Multi-Strategy Master Fund Ltd.(141)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20,250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Arena Finance Markets, LP(142)</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14,167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995" w:type="dxa"/>
        <w:jc w:val="left"/>
        <w:tblInd w:w="0" w:type="dxa"/>
        <w:tblLayout w:type="fixed"/>
        <w:tblCellMar>
          <w:top w:w="0" w:type="dxa"/>
          <w:left w:w="0" w:type="dxa"/>
          <w:bottom w:w="0" w:type="dxa"/>
          <w:right w:w="0" w:type="dxa"/>
        </w:tblCellMar>
      </w:tblPr>
      <w:tblGrid>
        <w:gridCol w:w="1160"/>
        <w:gridCol w:w="120"/>
        <w:gridCol w:w="90"/>
        <w:gridCol w:w="875"/>
        <w:gridCol w:w="60"/>
        <w:gridCol w:w="120"/>
        <w:gridCol w:w="189"/>
        <w:gridCol w:w="821"/>
        <w:gridCol w:w="60"/>
        <w:gridCol w:w="120"/>
        <w:gridCol w:w="96"/>
        <w:gridCol w:w="869"/>
        <w:gridCol w:w="60"/>
        <w:gridCol w:w="120"/>
        <w:gridCol w:w="203"/>
        <w:gridCol w:w="882"/>
        <w:gridCol w:w="60"/>
        <w:gridCol w:w="120"/>
        <w:gridCol w:w="180"/>
        <w:gridCol w:w="785"/>
        <w:gridCol w:w="60"/>
        <w:gridCol w:w="120"/>
        <w:gridCol w:w="231"/>
        <w:gridCol w:w="1004"/>
        <w:gridCol w:w="60"/>
        <w:gridCol w:w="120"/>
        <w:gridCol w:w="189"/>
        <w:gridCol w:w="821"/>
        <w:gridCol w:w="60"/>
        <w:gridCol w:w="120"/>
        <w:gridCol w:w="214"/>
        <w:gridCol w:w="931"/>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Beneficially</w:t>
              <w:br/>
              <w:t>Owned prior to this</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Securities to be Offered</w:t>
              <w:br/>
              <w:t>in 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95" w:type="dxa"/>
            <w:gridSpan w:val="14"/>
            <w:tcBorders>
              <w:bottom w:val="single" w:sz="8" w:space="0" w:color="000000"/>
            </w:tcBorders>
            <w:tcMar>
              <w:bottom w:w="28" w:type="dxa"/>
            </w:tcMar>
            <w:vAlign w:val="center"/>
          </w:tcPr>
          <w:p>
            <w:pPr>
              <w:pStyle w:val="TableContents"/>
              <w:bidi w:val="0"/>
              <w:spacing w:before="0" w:after="283"/>
              <w:jc w:val="center"/>
              <w:rPr/>
            </w:pPr>
            <w:r>
              <w:rPr>
                <w:b/>
              </w:rPr>
              <w:t>Securities Beneficially Owned after this</w:t>
            </w:r>
            <w:r>
              <w:rPr/>
              <w:br/>
            </w:r>
            <w:r>
              <w:rPr>
                <w:b/>
              </w:rPr>
              <w:t>Offering</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Arena Special Opportunities (Offshore) Master, LP(143)</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7,088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Arena Special Opportunities Fund, LP(144)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20,125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Arena Special Opportunities Partners II, LP(145)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40,134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40,134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Arena Special Opportunities Partners (Cayman Master) II, LP(146)</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18,486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18,486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AQR Absolute Return(147)</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34,111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AQR Corporate Arbitrage Master Account(148)</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11,629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AQR Alternative Investment(149)</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43,452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43,452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AQR Tax Advantaged(150)</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10,809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10,809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Jaime Aparisi(151)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18,181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18,181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Leibovitz(152)</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set forth in this column are the number of shares of Common Stock that may be offered by such Selling Stockholder using this prospectus. These amounts do not represent any other shares of our Common Stock that the Selling Stockholder may own beneficially or otherwise.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set forth in this column are the number of warrants that may be offered by such Selling Stockholder using this prospectus. These amounts do not represent any other warrants that the Selling Stockholder may own beneficially or otherwise.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6,353,023 shares of Common Stock held directly by the selling securityholder. The shares of Common Stock are being registered for resale in accordance with the terms of the Registration Rights Agreement.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17,716,892 shares of Common Stock held directly by Ava Private Markets Sarl (“Ava Private Markets”) and affiliates. The shares of Common Stock are being registered for resale in accordance with the terms of the Ava Registration Rights Agreement.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9,336,751 shares of Common Stock, including: (i) 8,946,783 shares of Common Stock held directly by Bess Ventures and Advisory, LLC (“Bess Ventures”) and (ii) 389,968 shares of Common Stock held by the Coral Gables Trust Company, Trustee of the Destin Huang Irrevocable Trust Dated October 19, 2021 (the “Trust”). The securities are being registered for resale in accordance with the terms of the Registration Rights Agreement. Lane M. Bess is the (i) managing member and owner of Bess Ventures, (ii) the Investment Fiduciary of the Trust and (iii) the Chairman of the Board of the Company. Lane M. Bess may be deemed to be the beneficial owner of the shares of Common Stock beneficially owned by Bess Ventures and the Trust. The address of Bess Ventures is c/o Lane M. Bess, 1928 Sunset Harbor Drive, Miami Beach, FL 33139. The address of the Trust is 255 Alhambra Circle, Ste 333, Coral Gables, FL 33134.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8,229,379 shares of Common Stock, including: (i) 4,786,504 shares of Common Stock held directly by the Sponsor, (ii) 242,875 shares of Common Stock issuable upon exercise of Warrants by Sponsor, (iii) 242,875 Warrants held directly by the Sponsor and (iv) 3,200,000 shares of Common Stock held by Burkhan, an affiliate of Sponsor. The shares of Common Stock are being registered in accordance with the terms of the Registration Rights Agreement and Sponsor Note. BurTech LP LLC, the Sponsor, is the record holder of the securities reported herein. Shahal Khan, Patrick Orlando and Roman Livson are the managing members of the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LP LLC, 5601 Arbor Lane, Coral Gables, FL 33156.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(7)</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9,195,111 shares of Common Stock, including: (i) 4,673,746 shares of Common Stock held by DENSO Corporation and (ii) 4,521,365 shares of Common Stock held by DENSO International America, Inc. The shares of Common Stock are being registered in accordance with the terms of the Registration Rights Agreement.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(8)</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319,125 shares of Common Stock held directly by the selling securityholder. The shares of Common Stock are being registered in accordance with the terms of the Registration Rights Agreement. The address of Keep a Child Alive, Inc. is c/o Eli Kesler, 1 Penn Plaza, Suite 4811, New York, NY 10119.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(9)</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448,393 shares of Common Stock held directly by the selling securityholder. The shares of Common Stock are being registered in accordance with the terms of the Registration Rights Agreement. The address of F&amp;M Star Alliance, Inc. is 556 Main St, Hunkins Plaza, Charlestown, Nevis. </w:t>
            </w:r>
          </w:p>
        </w:tc>
      </w:tr>
    </w:tbl>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(10)</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Dinakar Munagala is the Chief Executive Officer and a Director of the Company. Securities offered pursuant to this prospectus consist of 553,422 shares of Common Stock held directly by Mr. Munagala.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Common Stock are being registered for resale in accordance with the terms of the Registration Rights Agreement.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(11)</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306,217 shares of Common Stock held directly by the selling securityholder. The shares of Common Stock are being registered in accordance with the terms of the Registration Rights Agreement. The address of U&amp;L Holdings, LLC is 1424 West 28 Street, Miami Beach, FL 33140.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(12)</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50,000 shares of Common Stock held directly by the selling securityholder. The shares of Common Stock are being registered in accordance with the terms of a PIPE Subscription Agreement, dated as of January 6,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(13)</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(14)</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1,500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(15)</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(16)</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(17)</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(18)</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(19)</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(20)</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(21)</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13,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(22)</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1,500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(23)</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(24)</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(25)</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10,000 shares of Common Stock held directly by the selling securityholder. The shares of Common Stock are being registered in accordance with the terms of a PIPE Subscription Agreement, dated as of January 11,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(26)</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2,500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(27)</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(28)</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(29)</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(30)</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300 shares of Common Stock held directly by the selling securityholder. The shares of Common Stock are being registered in accordance with the terms of a PIPE Subscription Agreement, dated as of January 8,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(31)</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(32)</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(33)</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(34)</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 shares of Common Stock held directly by the selling securityholder. The shares of Common Stock are being registered in accordance with the terms of a PIPE Subscription Agreement, dated as of January 8, 2025, by and between the Company, Legacy Blaize and the selling securityholder.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(35)</w:t>
            </w:r>
          </w:p>
        </w:tc>
        <w:tc>
          <w:tcPr>
            <w:tcW w:w="9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9,632 shares of Common Stock issuable upon exercise of Warrants by the selling securityholder and (ii) 9,632 Warrants held directly by the selling securityholder. The shares of Common Stock are being registered in accordance with the terms of the Registration Rights Agreement. The address of Shiloh Produce, Inc. is P.O. Box #265, Hatch, NM 87937.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(36)</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13,773 shares of Common Stock issuable upon exercise of Warrants by the selling securityholder and (ii) 13,773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(37)</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4,142 shares of Common Stock issuable upon exercise of Warrants by the selling securityholder and (ii) 4,142 Warrants held directly by the selling securityholder. The shares of Common Stock are being registered in accordance with the terms of the Registration Rights Agreement. The address of Laura Lowy IRA is 12 Colgate Drive, Smithtown, NY 11787.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(38)</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The address of Scott Lowy SEP IRA is 12 Colgate Drive, Smithtown, NY 11787.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(39)</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(40)</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Harbor City Investments LLC is 629 Norwood Drive, Westfield, NJ 7090.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(41)</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(42)</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(43)</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4,793 shares of Common Stock issuable upon exercise of Warrants by the selling securityholder and (ii) 4,793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(44)</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1,156 shares of Common Stock issuable upon exercise of Warrants by the selling securityholder and (ii) 1,156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(45)</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193 shares of Common Stock issuable upon exercise of Warrants by the selling securityholder and (ii) 193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(46)</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1,547 shares of Common Stock issuable upon exercise of Warrants by the selling securityholder and (ii) 1,547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(47)</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674 shares of Common Stock issuable upon exercise of Warrants by the selling securityholder and (ii) 674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(48)</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(49)</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 The address of Edward J. Mazur Revocable Trust is 2400 Gulf Shore Blvd N Apt 705, Naples, FL 34103.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(50)</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Edward Mazur IRA is 2780 Edington Rd, Columbus, OH 43221.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(51)</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5,963 shares of Common Stock issuable upon exercise of Warrants by the selling securityholder and (ii) 5,963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(52)</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28,895 shares of Common Stock issuable upon exercise of Warrants by the selling securityholder and (ii) 28,895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(53)</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(54)</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(55)</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(56)</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2,695 shares of Common Stock issuable upon exercise of Warrants by the selling securityholder and (ii) 2,695 Warrants held directly by the selling securityholder. The shares of Common Stock are being registered in accordance with the terms of the Registration Rights Agreement. The address of James E Hosford, IRA is 102 W Wedgemere Circle, The Woodlands, TX 77381.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(57)</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Michael Ricci Roth IRA is 3951 Gulfshore Blvd N 502, Naples, FL 34103.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(58)</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(59)</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(60)</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(61)</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9,631 shares of Common Stock issuable upon exercise of Warrants by the selling securityholder and (ii) 9,631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(62)</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The address of 723996 NB Inc. is 7 Ocean Breeze Dr Grand-Barachois, New Bruncwick, E4P7X1 Canada. </w:t>
            </w:r>
          </w:p>
        </w:tc>
      </w:tr>
    </w:tbl>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(63)</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7,705 shares of Common Stock issuable upon exercise of Warrants by the selling securityholder and (ii) 7,705 Warrants held directly by the selling securityholder. The shares of Common Stock are being registered in accordance with the terms of the Registration Rights Agreement. The address of Lujain Holdings Limited is 3-12 Governors Square, 23 Lime Tree Bay Avenue, PO Box 30746, Seven Mile Beach, Grand Cayman KY1-1203, Cayman Islands.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(64)</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(65)</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772 shares of Common Stock issuable upon exercise of Warrants by the selling securityholder and (ii) 772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(66)</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2,885 shares of Common Stock issuable upon exercise of Warrants by the selling securityholder and (ii) 2,885 Warrants held directly by the selling securityholder. The shares of Common Stock are being registered in accordance with the terms of the Registration Rights Agreement. The address of Frank R. Vegely IRA is 19142 Wildblue Blvd, Fort Meyers, FL 33913.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(67)</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2,885 shares of Common Stock issuable upon exercise of Warrants by the selling securityholder and (ii) 2,885 Warrants held directly by the selling securityholder. The shares of Common Stock are being registered in accordance with the terms of the Registration Rights Agreement. The address of Lorraine Vegely IRA is 19142 Wildblue Blvd, Fort Meyers, FL 33913.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(68)</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15,411 shares of Common Stock issuable upon exercise of Warrants by the selling securityholder and (ii) 15,411 Warrants held directly by the selling securityholder. The shares of Common Stock are being registered in accordance with the terms of the Registration Rights Agreement. The address of Loretta Massoud Romano FBO and on behalf of Loretta Massoud Romano Revocable Trust is 113 Paris Road, New Hartford, NY 13413.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(69)</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William Carmean ROTH IRA is 2780 Edington Rd, Columbus, OH 43221.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(70)</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Demetra T Veltsistas Trust is 7009 Clifton Forest Dr, Clifton, VA 20124.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(71)</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23,116 shares of Common Stock issuable upon exercise of Warrants by the selling securityholder and (ii) 23,116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(72)</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(73)</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(74)</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38,527 shares of Common Stock issuable upon exercise of Warrants by the selling securityholder and (ii) 38,527 Warrants held directly by the selling securityholder. The shares of Common Stock are being registered in accordance with the terms of the Registration Rights Agreement. The address of Harder I Work Luckier I Get LLC is 218 NW 24 Street, Unit 310, Miami, FL 33127.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(75)</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Jeffrey Warmann IRA is 441 Warren Way, McDonough, GA 30252. </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(76)</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 The address of Siripipat Living Trust is 17016 107th Street Court East, Bonney Lake, WA 98391.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(77)</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6,935 shares of Common Stock issuable upon exercise of Warrants by the selling securityholder and (ii) 6,935 Warrants held directly by the selling securityholder. The shares of Common Stock are being registered in accordance with the terms of the Registration Rights Agreement. The address of Legacy Generation LLC is 7390 SW 156th St, Palmetto Bay, FL 33157.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(78)</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3,853 shares of Common Stock issuable upon exercise of Warrants by the selling securityholder and (ii) 3,853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(79)</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(80)</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3,853 shares of Common Stock issuable upon exercise of Warrants by the selling securityholder and (ii) 3,853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(81)</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Nuttall Ventures LLC is 14390 Emerald Pool Dr, Centreville, VA 20120.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(82)</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8,091 shares of Common Stock issuable upon exercise of Warrants by the selling securityholder and (ii) 8,091 Warrants held directly by the selling securityholder. The shares of Common Stock are being registered in accordance with the terms of the Registration Rights Agreement. The address of AB Blaize LLC is 6303 Blue Lagoon Drive, Suite 390, Miami, FL 33126.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(83)</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Carroll Resources, LLC is 11319 Lapham Drive, Oakton, VA 22124. </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(84)</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 The address of Full Stack Investments LLC is 254 Chapman Rd. Ste 208 #17232, Newark, DE 19702.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(85)</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2,003 shares of Common Stock issuable upon exercise of Warrants by the selling securityholder and (ii) 2,003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(86)</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(87)</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385 shares of Common Stock issuable upon exercise of Warrants by the selling securityholder and (ii) 385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(88)</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308 shares of Common Stock issuable upon exercise of Warrants by the selling securityholder and (ii) 308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(89)</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308 shares of Common Stock issuable upon exercise of Warrants by the selling securityholder and (ii) 308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(90)</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(91)</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15,411 shares of Common Stock issuable upon exercise of Warrants by the selling securityholder and (ii) 15,411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(92)</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2,357 shares of Common Stock issuable upon exercise of Warrants by the selling securityholder and (ii) 2,357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(93)</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1,178 shares of Common Stock issuable upon exercise of Warrants by the selling securityholder and (ii) 1,178 Warrants held directly by the selling securityholder. The shares of Common Stock are being registered in accordance with the terms of the Registration Rights Agreement. The address of Codrus Capital AG is Bahnhofstrasse 7, Zug, 6300 Switzerland.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(94)</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835 shares of Common Stock issuable upon exercise of Warrants by the selling securityholder and (ii) 835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(95)</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1,828 shares of Common Stock issuable upon exercise of Warrants by the selling securityholder and (ii) 1,828 Warrants held directly by the selling securityholder. The shares of Common Stock are being registered in accordance with the terms of the Registration Rights Agreement. The address of KIG Technical Services LLC is 205 Winchester Beach Drive, Annapolis, MD 21409.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(96)</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1,148 shares of Common Stock issuable upon exercise of Warrants by the selling securityholder and (ii) 1,148 Warrants held directly by the selling securityholder. The shares of Common Stock are being registered in accordance with the terms of the Registration Rights Agreement.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(97)</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5,009 shares of Common Stock issuable upon exercise of Warrants by the selling securityholder and (ii) 5,009 Warrants held directly by the selling securityholder. The shares of Common Stock are being registered in accordance with the terms of the Registration Rights Agreement. The address of Universal E-Business Solutions is 70 Adams Street, 3rd FL, Hoboken, NJ 7030.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(98)</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 225,000 shares of Common Stock held directly by the selling securityholder, (ii) 9,938 shares of Common Stock issuable upon exercise of Warrants by the selling securityholder and (iii) 9,938 Warrants held directly by the selling securityholder. The shares of Common Stock are being registered in accordance with the terms of the Registration Rights Agreement. The address of RK Trading I LLC is 2500 Weston Road, Suite 211, Weston, FL 33331.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(99)</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100,000 shares of Common Stock held directly by the selling securityholder, (ii) 131, 231 shares of Common Stock issuable upon exercise of Warrants by the selling securityholder and (iii) 131, 231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(100)</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18,333 shares of Common Stock held directly by the selling securityholder, (ii) 1,667 shares of Common Stock issuable upon exercise of Warrants by the selling securityholder and (iii) 1,667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(101)</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36,667 shares of Common Stock held directly by the selling securityholder, (ii) 3,333 shares of Common Stock issuable upon exercise of Warrants by the selling securityholder and (iii) 3,333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(102)</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36,667 shares of Common Stock held directly by the selling securityholder, (ii) 3,333 shares of Common Stock issuable upon exercise of Warrants by the selling securityholder and (iii) 3,333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(103)</w:t>
            </w:r>
          </w:p>
        </w:tc>
        <w:tc>
          <w:tcPr>
            <w:tcW w:w="9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366,667 shares of Common Stock held directly by the selling securityholder, (ii) 33,333 shares of Common Stock issuable upon exercise of Warrants by the selling securityholder and (iii) 33,333 Warrants held directly by the selling securityholder. The shares of Common Stock are being registered in accordance with the terms of the Registration Rights Agreement. The address of 9325-2443 Quebec Inc. is 5440 Rue Pare, Mont Royal, Quebec H4P 1R3, Canada.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(104)</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82,500 shares of Common Stock held directly by the selling securityholder, (ii) 7,500 shares of Common Stock issuable upon exercise of Warrants by the selling securityholder and (iii) 7,500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(105)</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22,000 shares of Common Stock held directly by the selling securityholder, (ii) 2,000 shares of Common Stock issuable upon exercise of Warrants by the selling securityholder and (iii) 2,000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(106)</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183,333 shares of Common Stock held directly by the selling securityholder, (ii) 16,667 shares of Common Stock issuable upon exercise of Warrants by the selling securityholder and (iii) 16,667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(107)</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1,100,000 shares of Common Stock held directly by the selling securityholder, (ii) 100,000 shares of Common Stock issuable upon exercise of Warrants by the selling securityholder and (iii) 100,000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(108)</w:t>
            </w:r>
          </w:p>
        </w:tc>
        <w:tc>
          <w:tcPr>
            <w:tcW w:w="9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 The address of Ignite Capital Partners, Inc. is 100 South Doheny Drive #808, Los Angeles, CA 90048.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(109)</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22,000 shares of Common Stock held directly by the selling securityholder, (ii) 2,000 shares of Common Stock issuable upon exercise of Warrants by the selling securityholder and (iii) 2,000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(110)</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27,500 shares of Common Stock held directly by the selling securityholder, (ii) 2,500 shares of Common Stock issuable upon exercise of Warrants by the selling securityholder and (iii) 2,500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(111)</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(112)</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11,000 shares of Common Stock held directly by the selling securityholder, (ii) 1,000 shares of Common Stock issuable upon exercise of Warrants by the selling securityholder and (iii) 1,000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(113)</w:t>
            </w:r>
          </w:p>
        </w:tc>
        <w:tc>
          <w:tcPr>
            <w:tcW w:w="9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 The address of Trout Lake Enterprises LP is 2359 W. Red Pine Road, Park City, UT 84098.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(114)</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440,000 shares of Common Stock held directly by the selling securityholder, (ii) 40,000 shares of Common Stock issuable upon exercise of Warrants by the selling securityholder and (iii) 40,000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0"/>
        <w:gridCol w:w="9715"/>
      </w:tblGrid>
      <w:tr>
        <w:trPr/>
        <w:tc>
          <w:tcPr>
            <w:tcW w:w="490" w:type="dxa"/>
            <w:tcBorders/>
            <w:vAlign w:val="center"/>
          </w:tcPr>
          <w:p>
            <w:pPr>
              <w:pStyle w:val="TableContents"/>
              <w:bidi w:val="0"/>
              <w:spacing w:before="0" w:after="283"/>
              <w:jc w:val="left"/>
              <w:rPr/>
            </w:pPr>
            <w:r>
              <w:rPr/>
              <w:t>(115)</w:t>
            </w:r>
          </w:p>
        </w:tc>
        <w:tc>
          <w:tcPr>
            <w:tcW w:w="9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up to 63,157 shares of Common Stock held directly by the selling securityholder. The shares of Common Stock are being registered in accordance with the terms of that certain Letter Agreement, dated December 23, 2024, by and between the Company and Roth. The address of Roth is 888 San Clemente Drive, Newport Beach, CA 92660.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(116)</w:t>
            </w:r>
          </w:p>
        </w:tc>
        <w:tc>
          <w:tcPr>
            <w:tcW w:w="9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31,792 shares of Common Stock held directly by the selling securityholder and (ii) 15,000 shares of Common Stock issuable upon exercise of the CMA Warrants by the selling securityholder. The shares of Common Stock are being registered in accordance with the terms of that certain Letter Agreement, dated January 13, 2025, by and between Legacy Blaize and Craig-Hallum. The address of Craig-Hallum is 222 South Ninth Street, Suite 350, Minneapolis, MN 55402.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pPr>
            <w:r>
              <w:rPr/>
              <w:t>(117)</w:t>
            </w:r>
          </w:p>
        </w:tc>
        <w:tc>
          <w:tcPr>
            <w:tcW w:w="9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35,000 shares of Common Stock issuable upon exercise of the CMA Warrants by the selling securityholder. The shares of Common Stock are being registered in accordance with the terms of that certain Letter Agreement, dated January 13, 2025, by and between Legacy Blaize and Craig-Hallum. The address of John Lipman is 55 Buckfield Ln, Greenwich, CT 06831.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(118)</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25,875 shares of Common Stock held directly by the selling securityholder. The shares of Common Stock are being registered in accordance with the terms of the Registration Rights Agreement. The address of Kingswood Capital Partners is 175 Country Club Dr., Bldg 400, Suite D, Stockbridge, GA 30281.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4"/>
        <w:gridCol w:w="9711"/>
      </w:tblGrid>
      <w:tr>
        <w:trPr/>
        <w:tc>
          <w:tcPr>
            <w:tcW w:w="494" w:type="dxa"/>
            <w:tcBorders/>
            <w:vAlign w:val="center"/>
          </w:tcPr>
          <w:p>
            <w:pPr>
              <w:pStyle w:val="TableContents"/>
              <w:bidi w:val="0"/>
              <w:spacing w:before="0" w:after="283"/>
              <w:jc w:val="left"/>
              <w:rPr/>
            </w:pPr>
            <w:r>
              <w:rPr/>
              <w:t>(119)</w:t>
            </w:r>
          </w:p>
        </w:tc>
        <w:tc>
          <w:tcPr>
            <w:tcW w:w="97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79,544 shares of Common Stock held directly by the selling securityholder. The shares of Common Stock are being registered in accordance with the terms of the Registration Rights Agreement. The address of Scott Silver is c/o EF Hutton, 590 Madison Ave, New York, 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5"/>
        <w:gridCol w:w="9710"/>
      </w:tblGrid>
      <w:tr>
        <w:trPr/>
        <w:tc>
          <w:tcPr>
            <w:tcW w:w="495" w:type="dxa"/>
            <w:tcBorders/>
            <w:vAlign w:val="center"/>
          </w:tcPr>
          <w:p>
            <w:pPr>
              <w:pStyle w:val="TableContents"/>
              <w:bidi w:val="0"/>
              <w:spacing w:before="0" w:after="283"/>
              <w:jc w:val="left"/>
              <w:rPr/>
            </w:pPr>
            <w:r>
              <w:rPr/>
              <w:t>(120)</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6,706 shares of Common Stock held directly by the selling securityholder. The shares of Common Stock are being registered in accordance with the terms of the Registration Rights Agreement. The address of Finalis, Inc. is c/o EF Hutton, 590 Madison Ave, New York, 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(121)</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8,400 shares of Common Stock held directly by the selling securityholder. The shares of Common Stock are being registered in accordance with the terms of the Registration Rights Agreement. The address of Fir Tree Value Master Fund LP is 500 Fifth Avenue, 9th Floor, New York, NY 10110.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(122)</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5,807 shares of Common Stock held directly by the selling securityholder. The shares of Common Stock are being registered in accordance with the terms of the Registration Rights Agreement. The address of Fir Tree Capital Opportunity Master Fund LP is 500 Fifth Avenue, 9th Floor, New York, NY 10110.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(123)</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9,412 shares of Common Stock held directly by the selling securityholder. The shares of Common Stock are being registered in accordance with the terms of the Registration Rights Agreement. The address of Fir Tree Capital Opportunity Master Fund III, LP is 500 Fifth Avenue, 9th Floor, New York, NY 10110.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(124)</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40,607 shares of Common Stock held directly by the selling securityholder. The shares of Common Stock are being registered in accordance with the terms of the Registration Rights Agreement. The address of FT SOF XIII (SPAC) Holdings, LLC is 500 Fifth Avenue, 9th Floor, New York, NY 10110.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(125)</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84,598 shares of Common Stock held directly by the selling securityholder. The shares of Common Stock are being registered in accordance with the terms of the Registration Rights Agreement. The address of BOSTON PATRIOT MERRIMACK ST. LLC is 500 Fifth Avenue, 9th Floor, New York, NY 10110.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(126)</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78,800 shares of Common Stock held directly by the selling securityholder. The shares of Common Stock are being registered in accordance with the terms of the Registration Rights Agreement. The address of Kepos Alpha Master Fund L.P. is 11 Times Square, 35th Floor , New York, 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(127)</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21,200 shares of Common Stock held directly by the selling securityholder. The shares of Common Stock are being registered in accordance with the terms of the Registration Rights Agreement. The address of Kepos Special Opportunities Master Fund L.P. is 11 Times Square, 35th Floor , New York, 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94"/>
        <w:gridCol w:w="9711"/>
      </w:tblGrid>
      <w:tr>
        <w:trPr/>
        <w:tc>
          <w:tcPr>
            <w:tcW w:w="494" w:type="dxa"/>
            <w:tcBorders/>
            <w:vAlign w:val="center"/>
          </w:tcPr>
          <w:p>
            <w:pPr>
              <w:pStyle w:val="TableContents"/>
              <w:bidi w:val="0"/>
              <w:spacing w:before="0" w:after="283"/>
              <w:jc w:val="left"/>
              <w:rPr/>
            </w:pPr>
            <w:r>
              <w:rPr/>
              <w:t>(128)</w:t>
            </w:r>
          </w:p>
        </w:tc>
        <w:tc>
          <w:tcPr>
            <w:tcW w:w="97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10,250 shares of Common Stock held directly by the selling securityholder. The shares of Common Stock are being registered in accordance with the terms of the Registration Rights Agreement. The address of F&amp;M Star Alliance, Inc. is 556 Main St, Hunkins Plaza, Charlestown, Nevis.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(129)</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100,000 shares of Common Stock held directly by the selling securityholder. The shares of Common Stock are being registered in accordance with the terms of the Registration Rights Agreement. The address of Mizuho Securities USA LLC is 1271 Avenue of the Americas, New York, NY 10020.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(130)</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37,775 shares of Common Stock held directly by the selling securityholder. The shares of Common Stock are being registered in accordance with the terms of the Registration Rights Agreement. The address of Radcliffe SPAC Master Fund L.P. is 50 Monument Road, Suite 300, Bala Cynwyd, PA 19004.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0"/>
        <w:gridCol w:w="9715"/>
      </w:tblGrid>
      <w:tr>
        <w:trPr/>
        <w:tc>
          <w:tcPr>
            <w:tcW w:w="490" w:type="dxa"/>
            <w:tcBorders/>
            <w:vAlign w:val="center"/>
          </w:tcPr>
          <w:p>
            <w:pPr>
              <w:pStyle w:val="TableContents"/>
              <w:bidi w:val="0"/>
              <w:spacing w:before="0" w:after="283"/>
              <w:jc w:val="left"/>
              <w:rPr/>
            </w:pPr>
            <w:r>
              <w:rPr/>
              <w:t>(131)</w:t>
            </w:r>
          </w:p>
        </w:tc>
        <w:tc>
          <w:tcPr>
            <w:tcW w:w="9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63,565 shares of Common Stock held directly by the selling securityholder. The shares of Common Stock are being registered in accordance with the terms of the Registration Rights Agreement. The address of EXOS COLLATERALIZED SPAC HOLDINGS FUND LP is 31 East 32nd Street, 3rd Floor, New York, NY 10016.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(132)</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37,500 shares of Common Stock held directly by the selling securityholder. The shares of Common Stock are being registered in accordance with the terms of the Registration Rights Agreement. The address of EXOS Consolidated SPAC Holdings Fund LP is 31 East 32nd Street, 3rd Floor, New York, NY 10016.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(133)</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66,330 shares of Common Stock held directly by the selling securityholder. The shares of Common Stock are being registered in accordance with the terms of the Registration Rights Agreement. The address of Boothbay Absolute Return Strategies, LP is 140 E 45th Street, 14th Floor, New York, NY 10017.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(134)</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32,670 shares of Common Stock held directly by the selling securityholder. The shares of Common Stock are being registered in accordance with the terms of the Registration Rights Agreement. The address of Boothbay Diversified Alpha Master Fund LP is 140 E 45th Street, 14th Floor, New York, NY 10017.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5"/>
        <w:gridCol w:w="9710"/>
      </w:tblGrid>
      <w:tr>
        <w:trPr/>
        <w:tc>
          <w:tcPr>
            <w:tcW w:w="495" w:type="dxa"/>
            <w:tcBorders/>
            <w:vAlign w:val="center"/>
          </w:tcPr>
          <w:p>
            <w:pPr>
              <w:pStyle w:val="TableContents"/>
              <w:bidi w:val="0"/>
              <w:spacing w:before="0" w:after="283"/>
              <w:jc w:val="left"/>
              <w:rPr/>
            </w:pPr>
            <w:r>
              <w:rPr/>
              <w:t>(135)</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27,501 shares of Common Stock held directly by the selling securityholder. The shares of Common Stock are being registered in accordance with the terms of the Registration Rights Agreement. The address of Sandia Crest LP is 201 Washington Street, Boston, MA 02108.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(136)</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43,400 shares of Common Stock held directly by the selling securityholder. The shares of Common Stock are being registered in accordance with the terms of the Registration Rights Agreement. The address of Walleye Investment Fund LLC is 201 Washington Street, Boston, MA 02108.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(137)</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72,851 shares of Common Stock held directly by the selling securityholder. The shares of Common Stock are being registered in accordance with the terms of the Registration Rights Agreement. The address of Walleye Opportunities Master Fund Ltd is 201 Washington Street, Boston, MA 02108.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(138)</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20,749 shares of Common Stock held directly by the selling securityholder. The shares of Common Stock are being registered in accordance with the terms of the Registration Rights Agreement. The address of Crestline Summit Master, SPC—Peak SP is 201 Washington Street, Boston, MA 02108.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(139)</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5,250 shares of Common Stock held directly by the selling securityholder. The shares of Common Stock are being registered in accordance with the terms of the Registration Rights Agreement. The address of Crestline Summit Master, SPC—Crestline Summit APEX SP is 201 Washington Street, Boston, MA 02108.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(140)</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62,500 shares of Common Stock held directly by the selling securityholder. The shares of Common Stock are being registered in accordance with the terms of the Registration Rights Agreement. The address of Harraden Circle Investors, LLC is 299 Park Avenue, 21st Floor, New York, NY 10171.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(141)</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20,250 shares of Common Stock held directly by the selling securityholder. The shares of Common Stock are being registered in accordance with the terms of the Registration Rights Agreement. The address of Sea Hawk Multi-Strategy Master Fund Ltd. is 201 Washington Street, Boston, MA 02108.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(142)</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14,167 shares of Common Stock held directly by the selling securityholder. The shares of Common Stock are being registered in accordance with the terms of the Registration Rights Agreement. The address of Arena Finance Markets, LP is 405 Lexington Ave, 59th Floor, New York, NY 10174.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(143)</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7,088 shares of Common Stock held directly by the selling securityholder. The shares of Common Stock are being registered in accordance with the terms of the Registration Rights Agreement. The address of Arena Special Opportunities (Offshore) Master, LP is 405 Lexington Ave, 59th Floor, New York, NY 10174.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(144)</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20,125 shares of Common Stock held directly by the selling securityholder. The shares of Common Stock are being registered in accordance with the terms of the Registration Rights Agreement. The address of Arena Special Opportunities Fund, LP is 405 Lexington Ave, 59th Floor, New York, NY 10174.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(145)</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40,134 shares of Common Stock held directly by the selling securityholder. The shares of Common Stock are being registered in accordance with the terms of the Registration Rights Agreement. The address of Arena Special Opportunities Partners II, LP is 405 Lexington Ave, 59th Floor, New York, NY 10174.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1"/>
        <w:gridCol w:w="9714"/>
      </w:tblGrid>
      <w:tr>
        <w:trPr/>
        <w:tc>
          <w:tcPr>
            <w:tcW w:w="491" w:type="dxa"/>
            <w:tcBorders/>
            <w:vAlign w:val="center"/>
          </w:tcPr>
          <w:p>
            <w:pPr>
              <w:pStyle w:val="TableContents"/>
              <w:bidi w:val="0"/>
              <w:spacing w:before="0" w:after="283"/>
              <w:jc w:val="left"/>
              <w:rPr/>
            </w:pPr>
            <w:r>
              <w:rPr/>
              <w:t>(146)</w:t>
            </w:r>
          </w:p>
        </w:tc>
        <w:tc>
          <w:tcPr>
            <w:tcW w:w="97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18,486 shares of Common Stock held directly by the selling securityholder. The shares of Common Stock are being registered in accordance with the terms of the Registration Rights Agreement. The address of Arena Special Opportunities Partners (Cayman Master) II, LP is 405 Lexington Ave, 59th Floor, New York, NY 10174.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(147)</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34,111 shares of Common Stock held directly by the selling securityholder. The shares of Common Stock are being registered in accordance with the terms of the Registration Rights Agreement. The address of AQR Absolute Return is One Greenwich Plaza, Suite 130, Greenwich, CT 06830.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(148)</w:t>
            </w:r>
          </w:p>
        </w:tc>
        <w:tc>
          <w:tcPr>
            <w:tcW w:w="97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11,629 shares of Common Stock held directly by the selling securityholder. The shares of Common Stock are being registered in accordance with the terms of the Registration Rights Agreement. The address of AQR Corporate Arbitrage Master Account is One Greenwich Plaza, Suite 130, Greenwich, CT 06830.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(149)</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43,452 shares of Common Stock held directly by the selling securityholder. The shares of Common Stock are being registered in accordance with the terms of the Registration Rights Agreement. The address of AQR Alternative Investment is One Greenwich Plaza, Suite 130, Greenwich, CT 06830.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(150)</w:t>
            </w:r>
          </w:p>
        </w:tc>
        <w:tc>
          <w:tcPr>
            <w:tcW w:w="9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10,809 shares of Common Stock held directly by the selling securityholder. The shares of Common Stock are being registered in accordance with the terms of the Registration Rights Agreement. The address of AQR Tax Advantage Fund is One Greenwich Plaza, Suite 130, Greenwich, CT 06830.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(151)</w:t>
            </w:r>
          </w:p>
        </w:tc>
        <w:tc>
          <w:tcPr>
            <w:tcW w:w="97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18,181 shares of Common Stock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(152)</w:t>
            </w:r>
          </w:p>
        </w:tc>
        <w:tc>
          <w:tcPr>
            <w:tcW w:w="97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400,000 shares of Common Stock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934548_18"/>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have no preemptive or other subscription rights. No sinking fund provisions are applicable to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Proposed Bylaws and except as otherwise provided by the Proposed Charter, at all meetings of stockholders called for the election of directors at which a quorum is present, a plurality of the votes properly cast is sufficient to elect such directors to the Board. </w:t>
      </w:r>
    </w:p>
    <w:p>
      <w:pPr>
        <w:pStyle w:val="TextBody"/>
        <w:bidi w:val="0"/>
        <w:spacing w:before="240" w:after="0"/>
        <w:jc w:val="left"/>
        <w:rPr>
          <w:rFonts w:ascii="Times New Roman" w:hAnsi="Times New Roman"/>
          <w:sz w:val="20"/>
        </w:rPr>
      </w:pPr>
      <w:r>
        <w:rPr>
          <w:rFonts w:ascii="Times New Roman" w:hAnsi="Times New Roman"/>
          <w:sz w:val="20"/>
        </w:rPr>
        <w:t xml:space="preserve">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if any, of the holders of any one or more series of our preferred stock, any director may be removed from office only for cause and only by the affirmative vote of the holders of not less than sixty-six and two-thirds percent (662/3%) of the outstanding capital stock of Blaize then entitled to vote generally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Quorum; 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Proposed Charter and the Proposed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Meeting, Action by Written Consent and Advance Notice Requirements for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 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stockholder meeting any stockholder actions, even if they are favored by the holders of a majority of our outstanding voting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two classes of capital stock of Blaize and the designations and the powers, privileges and rights, and the qualifications, limitations or restrictions thereof in respect of each class of capital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management of Blaize, the size of our Board, the election and removal of directors to our Board, the filling of vacancies, preferred stockholder election rights, and bylaw amendments;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actions of stockholders of Blaize, advance notice of business to be brought by stockholders and special meetings of stockholders;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limited liability of directors or officers of Blaize;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indemnification of the current and former officers, directors, employees and agents of Blaize;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exclusive forums for certain actions; and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amending our certificate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(662/3%) of the voting power of all of the then-outstanding shares of the capital stock of Blaize entitled to vote thereon,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Public Warrant entitles the registered holder to purchase one share of Common Stock at a price of $11.50 per share, subject to adjustment as discussed below, at any time commencing 30 days after Closing. Pursuant to the warrant agreement, a Public Warrant holder may exercise its Public Warrants only for a whole number of shares of Common Stock. This means that only a whole Public Warrant may be exercised at any given time by a Public Warrant holder. No fractional Public Warrants will be issued upon separation of the BurTech Units and only whole Public Warrants will trade. The Public Warrants will expire five years after the Closing,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Public Warrants when the price per share of Common Stock equals or exceeds $18.00 </w:t>
      </w:r>
    </w:p>
    <w:p>
      <w:pPr>
        <w:pStyle w:val="TextBody"/>
        <w:bidi w:val="0"/>
        <w:spacing w:before="120" w:after="0"/>
        <w:jc w:val="left"/>
        <w:rPr>
          <w:rFonts w:ascii="Times New Roman" w:hAnsi="Times New Roman"/>
          <w:sz w:val="20"/>
        </w:rPr>
      </w:pPr>
      <w:r>
        <w:rPr>
          <w:rFonts w:ascii="Times New Roman" w:hAnsi="Times New Roman"/>
          <w:sz w:val="20"/>
        </w:rPr>
        <w:t xml:space="preserve">We may call the Public Warrants for redemption for cash: </w:t>
      </w:r>
    </w:p>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Public Warrant;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given after the Public Warrants become exercisable (the “30-day redemption period”) to each Public Warrant 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Common Stock underlying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Anti-Dilution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number of outstanding shares of Common Stock is decreased by a consolidation, combination, reverse stock split or reclassification of shares of Common Stock or other similar event, then, on the effective date of </w:t>
      </w:r>
    </w:p>
    <w:p>
      <w:pPr>
        <w:pStyle w:val="TextBody"/>
        <w:bidi w:val="0"/>
        <w:spacing w:before="0" w:after="0"/>
        <w:jc w:val="left"/>
        <w:rPr>
          <w:rFonts w:ascii="Times New Roman" w:hAnsi="Times New Roman"/>
          <w:sz w:val="20"/>
        </w:rPr>
      </w:pPr>
      <w:r>
        <w:rPr>
          <w:rFonts w:ascii="Times New Roman" w:hAnsi="Times New Roman"/>
          <w:sz w:val="20"/>
        </w:rPr>
        <w:t xml:space="preserve">such consolidation, combination, reverse stock split, reclassification or similar event, the number of shares of Common Stock issuable on exercise of each Public Warrant will be decreased in proportion to such decrease in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Terms </w:t>
      </w:r>
    </w:p>
    <w:p>
      <w:pPr>
        <w:pStyle w:val="TextBody"/>
        <w:bidi w:val="0"/>
        <w:spacing w:before="120" w:after="0"/>
        <w:jc w:val="left"/>
        <w:rPr>
          <w:rFonts w:ascii="Times New Roman" w:hAnsi="Times New Roman"/>
          <w:sz w:val="20"/>
        </w:rPr>
      </w:pPr>
      <w:r>
        <w:rPr>
          <w:rFonts w:ascii="Times New Roman" w:hAnsi="Times New Roman"/>
          <w:sz w:val="20"/>
        </w:rPr>
        <w:t xml:space="preserve">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BurTech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BurTech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“Redemption of Public Warrants when the price per share of Common Stock equals or exceeds $18.00” will be adjusted (to the nearest cent) to be equal to 180% of the higher of the Market Value and the Newly Issued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Except as described below, the Private Placement Warrants have terms and provisions that are identical to those of the Public Warrants. The Private Placement Warrants (including Common Stock issuable upon exercise of the Private Placement Warrants) will not be transferable, assignable or salable until 30 days after the Closing (except pursuant to limited exceptions to BurTech’s officers and directors and other persons or entities affiliated with the initial purchasers of the Private Placement Warrants). In addition, holders of our Private Placement Warrants are entitled to certain registration rights, which rights are described above under “</w:t>
      </w:r>
      <w:r>
        <w:rPr>
          <w:rFonts w:ascii="Times New Roman" w:hAnsi="Times New Roman"/>
          <w:i/>
          <w:sz w:val="20"/>
        </w:rPr>
        <w:t>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to fund working capital deficiencies or finance transaction costs in connection with an intended initial business combination, the Sponsor or an affiliate of the Sponsor or certain of BurTech’s officers and directors may, but are not obligated to, loan us funds as may be required on a non-interest basis. Up to $1,500,000 of such loans may be convertible into units of the post business combination entity at a price of $10.00 per unit at the option of the lender. Such units would be identical to the Private Placement Units.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Warrant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Common Stock and warrant agent for the Public Warrants and Private Placement Warrants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Symbols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Warrants of are listed on the Nasdaq Global Market under the symbol “BAIZ” and “BAIZ.W,”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Sale of Certain BurTech and Blaize Securities by the Sponsor and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Certain securities of BurTech and of Blaize are subject to restrictions on sale pursuant to a letter agreement entered into in connection with BurTech’s IPO and the Lock-up Agreement. These include securities of BurTech that are currently outstanding and held by the Sponsor and its Affiliates, and securities of Legacy Blaize that are currently outstanding and held by the Sponsor and its Affiliates and that were exchanged for securities of Blaize.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certain former Legacy Blaize stockholders entered the “Stockholder Lock-Up Agreement pursuant to which they each agreed, subject to certain customary exceptions, not to (i) sell, offer to sell, contract or agree to sell, hypothecate, pledge or otherwise dispose of, directly or indirectly, any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during the Stockholder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certain former Legacy Blaize convertible noteholders entered into the Noteholder Lock-Up Agreement pursuant to which they each agreed, subject to certain customary exceptions, not to (i) sell, offer to sell, contract or agree to sell, hypothecate, pledge or otherwise dispose of, directly or indirectly, seventy-five percent (75%) of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during the Noteholder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934548_19"/>
      <w:bookmarkEnd w:id="21"/>
      <w:r>
        <w:rPr>
          <w:rFonts w:ascii="Times New Roman" w:hAnsi="Times New Roman"/>
          <w:b/>
          <w:sz w:val="20"/>
        </w:rPr>
        <w:t xml:space="preserve">SECURITIES ACT RESTRICTIONS ON RESALE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144 under the Securities Act (“Rule 144”), a person who has beneficially owned restricted shares of our Common Stock or Warrants for at least six months would be entitled to sell their securities provided that (i) such person is not deemed to have been an affiliate of Blaize at the time of, or at any time during the three months preceding, a sale and (ii) Blaize is subject to the Exchange Act periodic reporting requirements for at least three months before the sale and have filed all required reports under Section 13 or 15(d) of the Exchange Act during the 12 months (or such shorter period as Blaize was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shares of Common Stock or Warrants for at least six months but who are affiliates of Blaize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Common Stock then outstanding;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our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of Blaize under Rule 144 are also limited by manner of sale provisions and notice requirements and to the availability of current public information about Blaize.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other than Form 8-K reports;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consummation of the Business Combination, we are no longer a shell company, and so, once the conditions set forth in the exceptions listed above are satisfied, Rule 144 will become available for the resale of the above noted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934548_20"/>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(i) the offer and resale of 89,550,141 shares of Common Stock and 898,250 Warrants by the Selling Securityholders from time to time and (ii) the issuance of 29,698,250 shares of Common Stock that are issuable upon the exercise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all incremental selling expenses relating to the sale of their shares of Common Stock and Warrants,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shares of Common Stock or Warrants. We will bear all other costs, fees and expenses incurred in effecting the registration of the shares of Common Stock and Warrants covered by this prospectus, including, without limitation, all registration and filing fees, printing and delivery fees, Nasdaq listing fees and fees and expenses of our counsel and our accountants.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and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The Selling Securityholders may sell their shares of Common Stock and Warrants by one or more of, or a combination of, the following methods: </w:t>
      </w:r>
    </w:p>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B. Riley or a Selling Securityholder, as applicable,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broker-dealers;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110"/>
        <w:gridCol w:w="6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shares that qualify for sale pursuant to Rule 144 may be sold under Rule 144 and any shares may be sold in other transactions exempt from registration rather than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Selling Securityholder that is an entity may elect to make an in-kind distribution of Common Stock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shares of Common Stock pursuant to a distribution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In connection with distributions of the shares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that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Securityholders that the anti-manipulation rules of Regulation M under the Exchange Act may apply to sales of securities in the market and to the activities of the Selling Securityholders and their respective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and the PIPE Subscription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have agreed to indemnify any underwriter against certain liabilities related to the selling of the securities, including liabilities arising under the Securities Act. We have agreed to maintain the effectiveness of this registration statement until all such securities have been sold under this registration statement or Rule 144 under the Securities Act or are no longer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934548_21"/>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and Warrants offered hereby will be passed upon for us by Latham &amp; Watkins LLP, Houston, Texas.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934548_22"/>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Blaize Holdings, Inc. (formerly known as BurTech Acquisition Corp.) as of December 31, 2024 and 2023 and for each of the years in the two-year period ended December 31, 2024 included in this prospectus have been audited by Marcum LLP, an independent registered public accounting firm, as set forth in their report thereon (which contains an explanatory paragraph relating to substantial doubt about the ability of BurTech Acquisition Corp. to continue as a going concern as described in Note 1 to the financial statements), appearing elsewhere in this prospectus, and are included in reliance on the report of such firm given upon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Blaize, Inc. and Subsidiaries as of December 31, 2024 and 2023, and for each of the years in the two-year period ended December 31, 2024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934548_23"/>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have also filed a registration statement on Form S-1, including exhibits, under the Securities Act with respect to the shares of Common Stock and Warrants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hAnsi="Times New Roman"/>
          <w:i/>
          <w:sz w:val="20"/>
        </w:rPr>
        <w:t>http:// www.sec.gov</w:t>
      </w:r>
      <w:r>
        <w:rPr>
          <w:rFonts w:ascii="Times New Roman" w:hAnsi="Times New Roman"/>
          <w:sz w:val="20"/>
        </w:rPr>
        <w:t xml:space="preserve">. Those filings are also available to the public on, or accessible through, our website under the heading “Investors Relations” at www.nogin.com. The information on our web site, however, is not, and should not be deemed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FINANCIAL STATEMENTS AND SUPPLEMENTARY DATA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INDEX TO FINANCIAL STATEMENTS </w:t>
      </w:r>
    </w:p>
    <w:p>
      <w:pPr>
        <w:pStyle w:val="TextBody"/>
        <w:bidi w:val="0"/>
        <w:spacing w:before="0" w:after="0"/>
        <w:jc w:val="left"/>
        <w:rPr>
          <w:spacing w:val="0"/>
        </w:rPr>
      </w:pPr>
      <w:r>
        <w:rPr>
          <w:spacing w:val="0"/>
        </w:rPr>
        <w:t> </w:t>
      </w:r>
    </w:p>
    <w:tbl>
      <w:tblPr>
        <w:tblW w:w="9715" w:type="dxa"/>
        <w:jc w:val="left"/>
        <w:tblInd w:w="0" w:type="dxa"/>
        <w:tblLayout w:type="fixed"/>
        <w:tblCellMar>
          <w:top w:w="0" w:type="dxa"/>
          <w:left w:w="0" w:type="dxa"/>
          <w:bottom w:w="0" w:type="dxa"/>
          <w:right w:w="0" w:type="dxa"/>
        </w:tblCellMar>
      </w:tblPr>
      <w:tblGrid>
        <w:gridCol w:w="8990"/>
        <w:gridCol w:w="120"/>
        <w:gridCol w:w="60"/>
        <w:gridCol w:w="470"/>
        <w:gridCol w:w="75"/>
      </w:tblGrid>
      <w:tr>
        <w:trPr/>
        <w:tc>
          <w:tcPr>
            <w:tcW w:w="8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BLAIZE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Audited Financial Statements of Blaize, Inc.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and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0"/>
              <w:jc w:val="left"/>
              <w:rPr/>
            </w:pPr>
            <w:hyperlink w:anchor="fin934548_1">
              <w:r>
                <w:rPr>
                  <w:rStyle w:val="InternetLink"/>
                  <w:rFonts w:ascii="Times New Roman" w:hAnsi="Times New Roman"/>
                  <w:spacing w:val="0"/>
                  <w:sz w:val="20"/>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F-1</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2">
              <w:r>
                <w:rPr>
                  <w:rStyle w:val="InternetLink"/>
                  <w:rFonts w:ascii="Times New Roman" w:hAnsi="Times New Roman"/>
                  <w:spacing w:val="0"/>
                  <w:sz w:val="20"/>
                </w:rPr>
                <w:t>Consolidated Balance Sheets as of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3">
              <w:r>
                <w:rPr>
                  <w:rStyle w:val="InternetLink"/>
                  <w:rFonts w:ascii="Times New Roman" w:hAnsi="Times New Roman"/>
                  <w:spacing w:val="0"/>
                  <w:sz w:val="20"/>
                </w:rPr>
                <w:t>Consolidated Statements of Operations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4">
              <w:r>
                <w:rPr>
                  <w:rStyle w:val="InternetLink"/>
                  <w:rFonts w:ascii="Times New Roman" w:hAnsi="Times New Roman"/>
                  <w:spacing w:val="0"/>
                  <w:sz w:val="20"/>
                </w:rPr>
                <w:t>Consolidated Statements of Changes in Shareholders’ Deficit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F-5</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5">
              <w:r>
                <w:rPr>
                  <w:rStyle w:val="InternetLink"/>
                  <w:rFonts w:ascii="Times New Roman" w:hAnsi="Times New Roman"/>
                  <w:spacing w:val="0"/>
                  <w:sz w:val="20"/>
                </w:rPr>
                <w:t>Consolidated Statements of Cash Flows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F-6</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6">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F-7</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BURTECH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Audited Financial Statements of BurTech Acquisition Corp.: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8990" w:type="dxa"/>
            <w:tcBorders/>
            <w:vAlign w:val="center"/>
          </w:tcPr>
          <w:p>
            <w:pPr>
              <w:pStyle w:val="TableContents"/>
              <w:bidi w:val="0"/>
              <w:spacing w:before="0" w:after="0"/>
              <w:jc w:val="left"/>
              <w:rPr/>
            </w:pPr>
            <w:hyperlink w:anchor="fin934548_7">
              <w:r>
                <w:rPr>
                  <w:rStyle w:val="InternetLink"/>
                  <w:rFonts w:ascii="Times New Roman" w:hAnsi="Times New Roman"/>
                  <w:spacing w:val="0"/>
                  <w:sz w:val="20"/>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F-40</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8">
              <w:r>
                <w:rPr>
                  <w:rStyle w:val="InternetLink"/>
                  <w:rFonts w:ascii="Times New Roman" w:hAnsi="Times New Roman"/>
                  <w:spacing w:val="0"/>
                  <w:sz w:val="20"/>
                </w:rPr>
                <w:t>Consolidated Balance Sheets as of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F-42</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9">
              <w:r>
                <w:rPr>
                  <w:rStyle w:val="InternetLink"/>
                  <w:rFonts w:ascii="Times New Roman" w:hAnsi="Times New Roman"/>
                  <w:spacing w:val="0"/>
                  <w:sz w:val="20"/>
                </w:rPr>
                <w:t>Consolidated Statements of Operations as of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F-43</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10">
              <w:r>
                <w:rPr>
                  <w:rStyle w:val="InternetLink"/>
                  <w:rFonts w:ascii="Times New Roman" w:hAnsi="Times New Roman"/>
                  <w:spacing w:val="0"/>
                  <w:sz w:val="20"/>
                </w:rPr>
                <w:t>Consolidated Statements of Changes in Stockholders’ Deficit as of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F-44</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11">
              <w:r>
                <w:rPr>
                  <w:rStyle w:val="InternetLink"/>
                  <w:rFonts w:ascii="Times New Roman" w:hAnsi="Times New Roman"/>
                  <w:spacing w:val="0"/>
                  <w:sz w:val="20"/>
                </w:rPr>
                <w:t>Consolidated Statements of Cash Flows as of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F-45</w:t>
            </w:r>
          </w:p>
        </w:tc>
        <w:tc>
          <w:tcPr>
            <w:tcW w:w="75" w:type="dxa"/>
            <w:tcBorders/>
            <w:vAlign w:val="center"/>
          </w:tcPr>
          <w:p>
            <w:pPr>
              <w:pStyle w:val="TableContents"/>
              <w:bidi w:val="0"/>
              <w:spacing w:before="0" w:after="283"/>
              <w:jc w:val="left"/>
              <w:rPr/>
            </w:pPr>
            <w:r>
              <w:rPr/>
              <w:t> </w:t>
            </w:r>
          </w:p>
        </w:tc>
      </w:tr>
      <w:tr>
        <w:trPr/>
        <w:tc>
          <w:tcPr>
            <w:tcW w:w="8990" w:type="dxa"/>
            <w:tcBorders/>
            <w:vAlign w:val="center"/>
          </w:tcPr>
          <w:p>
            <w:pPr>
              <w:pStyle w:val="TableContents"/>
              <w:bidi w:val="0"/>
              <w:spacing w:before="0" w:after="0"/>
              <w:jc w:val="left"/>
              <w:rPr/>
            </w:pPr>
            <w:hyperlink w:anchor="fin934548_12">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F-46</w:t>
            </w:r>
          </w:p>
        </w:tc>
        <w:tc>
          <w:tcPr>
            <w:tcW w:w="75" w:type="dxa"/>
            <w:tcBorders/>
            <w:vAlign w:val="center"/>
          </w:tcPr>
          <w:p>
            <w:pPr>
              <w:pStyle w:val="TableContents"/>
              <w:bidi w:val="0"/>
              <w:spacing w:before="0" w:after="283"/>
              <w:jc w:val="lef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Board of Directors and Shareholders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Blaize, Inc. and Subsidiaries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120" w:after="0"/>
        <w:jc w:val="left"/>
        <w:rPr>
          <w:rFonts w:ascii="Times New Roman" w:hAnsi="Times New Roman"/>
          <w:sz w:val="20"/>
        </w:rPr>
      </w:pPr>
      <w:r>
        <w:rPr>
          <w:rFonts w:ascii="Times New Roman" w:hAnsi="Times New Roman"/>
          <w:sz w:val="20"/>
        </w:rPr>
        <w:t xml:space="preserve">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120" w:after="0"/>
        <w:jc w:val="left"/>
        <w:rPr>
          <w:rFonts w:ascii="Times New Roman" w:hAnsi="Times New Roman"/>
          <w:sz w:val="20"/>
        </w:rPr>
      </w:pPr>
      <w:r>
        <w:rPr>
          <w:rFonts w:ascii="Times New Roman" w:hAnsi="Times New Roman"/>
          <w:sz w:val="20"/>
        </w:rPr>
        <w:t xml:space="preserve">period ended December 31, 2024, in conformity with accounting principles generally accepted in the United States of America.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Substantial Doubt about the Company’s Ability to Continue as a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UHY LLP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Melville, New York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11,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(Amounts in thousands, except share and per share data)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70"/>
        <w:gridCol w:w="120"/>
        <w:gridCol w:w="140"/>
        <w:gridCol w:w="875"/>
        <w:gridCol w:w="155"/>
        <w:gridCol w:w="60"/>
        <w:gridCol w:w="140"/>
        <w:gridCol w:w="875"/>
        <w:gridCol w:w="170"/>
      </w:tblGrid>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50,237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3,213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 related party (Note 13)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8,561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6,522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2,836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73,690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13,049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1,555</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1,033</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2,423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579</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80,516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18,639</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Demand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4,750</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7,904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14,925</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11,996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7,464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3,588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1,938</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14,711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148,629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14,641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188,143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47,876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1,791</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3,730</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18,064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190,979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71,852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 $0.00001 par value; 96,650,097 shares authorized as of December 31, 2024 and 2023, respectively; 44,494,703 shares issued and outstanding at December 31, 2024 and 2023, respectively; liquidation preference of $173,347 as of December 31, 2024 and 2023,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173,347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173,347</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 $0.00001 par value; 175,095,000 shares authorized as of December 31, 2024 and 2023, respectively; 17,519,999 and 17,454,353 shares issued and outstanding as of December 31, 2024 and 2023,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at cost: 124,225 shares at December 31, 2024 and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145,441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141,496</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(429,251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(368,056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(283,810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(226,560</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80,516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18,639</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consolidated financial statements.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(Amounts 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40"/>
        <w:gridCol w:w="120"/>
        <w:gridCol w:w="140"/>
        <w:gridCol w:w="1100"/>
        <w:gridCol w:w="155"/>
        <w:gridCol w:w="60"/>
        <w:gridCol w:w="140"/>
        <w:gridCol w:w="980"/>
        <w:gridCol w:w="170"/>
      </w:tblGrid>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75" w:type="dxa"/>
            <w:gridSpan w:val="6"/>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w:t>
            </w:r>
          </w:p>
          <w:p>
            <w:pPr>
              <w:pStyle w:val="TableContents"/>
              <w:bidi w:val="0"/>
              <w:spacing w:before="0" w:after="20"/>
              <w:jc w:val="center"/>
              <w:rPr>
                <w:rFonts w:ascii="Times New Roman" w:hAnsi="Times New Roman"/>
                <w:b/>
                <w:sz w:val="16"/>
              </w:rPr>
            </w:pPr>
            <w:r>
              <w:rPr>
                <w:rFonts w:ascii="Times New Roman" w:hAnsi="Times New Roman"/>
                <w:b/>
                <w:sz w:val="16"/>
              </w:rPr>
              <w:t>December 31,</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 (Note 13)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3,840</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3,856</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3,656</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18,115</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17,303</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2,040</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1,165</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42,384</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(47,635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(38,528</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financing charge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(35,832</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(3,145</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foreign exchange transactions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(9,532</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(945</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(49,659</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(88,187</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(598</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(87,589</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(20.79</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17,476,105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4,213,244</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consolidated financial statements.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Redeemable Convertible Preferred Stock and Stockholders’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(Amounts in thousands, except share and per share data)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13055" w:type="dxa"/>
        <w:jc w:val="left"/>
        <w:tblInd w:w="0" w:type="dxa"/>
        <w:tblLayout w:type="fixed"/>
        <w:tblCellMar>
          <w:top w:w="0" w:type="dxa"/>
          <w:left w:w="0" w:type="dxa"/>
          <w:bottom w:w="0" w:type="dxa"/>
          <w:right w:w="0" w:type="dxa"/>
        </w:tblCellMar>
      </w:tblPr>
      <w:tblGrid>
        <w:gridCol w:w="1175"/>
        <w:gridCol w:w="60"/>
        <w:gridCol w:w="60"/>
        <w:gridCol w:w="1100"/>
        <w:gridCol w:w="60"/>
        <w:gridCol w:w="60"/>
        <w:gridCol w:w="140"/>
        <w:gridCol w:w="800"/>
        <w:gridCol w:w="60"/>
        <w:gridCol w:w="60"/>
        <w:gridCol w:w="32"/>
        <w:gridCol w:w="33"/>
        <w:gridCol w:w="60"/>
        <w:gridCol w:w="60"/>
        <w:gridCol w:w="60"/>
        <w:gridCol w:w="1100"/>
        <w:gridCol w:w="155"/>
        <w:gridCol w:w="60"/>
        <w:gridCol w:w="301"/>
        <w:gridCol w:w="559"/>
        <w:gridCol w:w="60"/>
        <w:gridCol w:w="60"/>
        <w:gridCol w:w="60"/>
        <w:gridCol w:w="800"/>
        <w:gridCol w:w="60"/>
        <w:gridCol w:w="60"/>
        <w:gridCol w:w="301"/>
        <w:gridCol w:w="559"/>
        <w:gridCol w:w="60"/>
        <w:gridCol w:w="60"/>
        <w:gridCol w:w="220"/>
        <w:gridCol w:w="1375"/>
        <w:gridCol w:w="155"/>
        <w:gridCol w:w="60"/>
        <w:gridCol w:w="188"/>
        <w:gridCol w:w="1182"/>
        <w:gridCol w:w="155"/>
        <w:gridCol w:w="60"/>
        <w:gridCol w:w="195"/>
        <w:gridCol w:w="1220"/>
        <w:gridCol w:w="17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 Convertible</w:t>
              <w:b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gridSpan w:val="2"/>
            <w:tcBorders/>
            <w:vAlign w:val="center"/>
          </w:tcPr>
          <w:p>
            <w:pPr>
              <w:pStyle w:val="TableContents"/>
              <w:bidi w:val="0"/>
              <w:spacing w:before="0" w:after="0"/>
              <w:jc w:val="center"/>
              <w:rPr>
                <w:spacing w:val="0"/>
              </w:rPr>
            </w:pPr>
            <w:r>
              <w:rPr>
                <w:spacing w:val="0"/>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 Capital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br/>
              <w:t>Deficit</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16,498,279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6,143,294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75" w:type="dxa"/>
            <w:tcBorders/>
            <w:shd w:fill="CCEEFF" w:val="clear"/>
            <w:vAlign w:val="center"/>
          </w:tcPr>
          <w:p>
            <w:pPr>
              <w:pStyle w:val="TableContents"/>
              <w:bidi w:val="0"/>
              <w:spacing w:before="0" w:after="283"/>
              <w:jc w:val="right"/>
              <w:rPr/>
            </w:pPr>
            <w:r>
              <w:rPr/>
              <w:t>209,928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(280,467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(70,539</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Reissuance of Shadow Preferred in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Pull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Through Exchange at redemption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27,996,424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(2,799,634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(109,327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(109,327</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Reissuance of common stock in common rights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8,109,693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upon release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2,483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2,483</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financing charge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35,771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35,771</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2,640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2,640</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(87,589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(87,589</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44,494,703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173,347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17,454,353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75" w:type="dxa"/>
            <w:tcBorders/>
            <w:shd w:fill="CCEEFF" w:val="clear"/>
            <w:vAlign w:val="center"/>
          </w:tcPr>
          <w:p>
            <w:pPr>
              <w:pStyle w:val="TableContents"/>
              <w:bidi w:val="0"/>
              <w:spacing w:before="0" w:after="283"/>
              <w:jc w:val="right"/>
              <w:rPr/>
            </w:pPr>
            <w:r>
              <w:rPr/>
              <w:t>141,496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(368,056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(226,560</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65,646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98</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3,847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3,847</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(61,195</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44,494,703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173,347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17,519,999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75" w:type="dxa"/>
            <w:tcBorders/>
            <w:shd w:fill="CCEEFF" w:val="clear"/>
            <w:vAlign w:val="center"/>
          </w:tcPr>
          <w:p>
            <w:pPr>
              <w:pStyle w:val="TableContents"/>
              <w:bidi w:val="0"/>
              <w:spacing w:before="0" w:after="283"/>
              <w:jc w:val="right"/>
              <w:rPr/>
            </w:pPr>
            <w:r>
              <w:rPr/>
              <w:t>145,441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(429,251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(283,810</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3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consolidated financial statements.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(Amounts in thousands)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9680" w:type="dxa"/>
        <w:jc w:val="left"/>
        <w:tblInd w:w="0" w:type="dxa"/>
        <w:tblLayout w:type="fixed"/>
        <w:tblCellMar>
          <w:top w:w="0" w:type="dxa"/>
          <w:left w:w="0" w:type="dxa"/>
          <w:bottom w:w="0" w:type="dxa"/>
          <w:right w:w="0" w:type="dxa"/>
        </w:tblCellMar>
      </w:tblPr>
      <w:tblGrid>
        <w:gridCol w:w="7295"/>
        <w:gridCol w:w="120"/>
        <w:gridCol w:w="140"/>
        <w:gridCol w:w="800"/>
        <w:gridCol w:w="155"/>
        <w:gridCol w:w="60"/>
        <w:gridCol w:w="140"/>
        <w:gridCol w:w="800"/>
        <w:gridCol w:w="170"/>
      </w:tblGrid>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(87,589</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2,040</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815</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financing charge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35,832</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3,145</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2,483</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Credit loss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421</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(107</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9,532</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945</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1,165</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Noncash loss on lease termination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362</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 related party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639</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(2,186</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(21,630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9,500</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(854</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(590</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(3,022</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(733</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(27,955</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(220</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Proceeds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convertible notes and Common Rights Offering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9,425</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110,718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12,300</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short term demand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4,925</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short term demand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(176</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101,709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26,475</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47,275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(1,700</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4,913</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3,213</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50,237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3,213</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(included within 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3,213</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during the period for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during the period for interest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noncash investing and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Reissuance of Shadow Preferred in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Pull Through Exchange at redemption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109,327</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asset obtained in exchange for new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1,673</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acquired in accounts payable &amp; 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and lease liabilities extinguished upon termination of lease, net of gain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w:t>
            </w:r>
          </w:p>
        </w:tc>
        <w:tc>
          <w:tcPr>
            <w:tcW w:w="17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warrants with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4,816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1,690</w:t>
            </w:r>
          </w:p>
        </w:tc>
        <w:tc>
          <w:tcPr>
            <w:tcW w:w="17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deferred offering costs included in accounting payable and accrued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6,764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consolidated financial statements. </w:t>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 xml:space="preserve">Note 1.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low-power,</w:t>
      </w:r>
    </w:p>
    <w:p>
      <w:pPr>
        <w:pStyle w:val="TextBody"/>
        <w:bidi w:val="0"/>
        <w:spacing w:before="120" w:after="0"/>
        <w:jc w:val="left"/>
        <w:rPr>
          <w:rFonts w:ascii="Times New Roman" w:hAnsi="Times New Roman"/>
          <w:sz w:val="20"/>
        </w:rPr>
      </w:pPr>
      <w:r>
        <w:rPr>
          <w:rFonts w:ascii="Times New Roman" w:hAnsi="Times New Roman"/>
          <w:sz w:val="20"/>
        </w:rPr>
        <w:t xml:space="preserve">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 </w:t>
      </w:r>
    </w:p>
    <w:p>
      <w:pPr>
        <w:pStyle w:val="TextBody"/>
        <w:bidi w:val="0"/>
        <w:spacing w:before="240" w:after="0"/>
        <w:jc w:val="left"/>
        <w:rPr>
          <w:rFonts w:ascii="Times New Roman" w:hAnsi="Times New Roman"/>
          <w:sz w:val="20"/>
        </w:rPr>
      </w:pPr>
      <w:r>
        <w:rPr>
          <w:rFonts w:ascii="Times New Roman" w:hAnsi="Times New Roman"/>
          <w:sz w:val="20"/>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As of December 31, 2024, there has not been an operating agreement executed between the Company and the holder of the 65% interest that would make the Company the primary beneficiary of this new legal entity. The newly established entity has incurred insignificant expenses since its incorporation.</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Merger, BurTech was renamed Blaize Holdings, Inc. (“Blaize Holdings”). Beginning on January 14, 2025, Blaize Holdings’ common stock and warrants trade on NASDAQ under the ticker symbols “BZAI” and “BZAIW”, respectively. </w:t>
      </w:r>
    </w:p>
    <w:p>
      <w:pPr>
        <w:pStyle w:val="TextBody"/>
        <w:bidi w:val="0"/>
        <w:spacing w:before="240" w:after="0"/>
        <w:jc w:val="left"/>
        <w:rPr>
          <w:rFonts w:ascii="Times New Roman" w:hAnsi="Times New Roman"/>
          <w:sz w:val="20"/>
        </w:rPr>
      </w:pPr>
      <w:r>
        <w:rPr>
          <w:rFonts w:ascii="Times New Roman" w:hAnsi="Times New Roman"/>
          <w:sz w:val="20"/>
        </w:rPr>
        <w:t xml:space="preserve">Prior to the Merger, BurTech LP LLC was the sponsor of BurTech (the “Sponsor”) and with the close of the Merger either BurTech LP LLC or its affiliated entities, has remained a significant shareholder in Blaize Holdings. </w:t>
      </w:r>
    </w:p>
    <w:p>
      <w:pPr>
        <w:pStyle w:val="TextBody"/>
        <w:bidi w:val="0"/>
        <w:spacing w:before="240" w:after="0"/>
        <w:jc w:val="left"/>
        <w:rPr>
          <w:rFonts w:ascii="Times New Roman" w:hAnsi="Times New Roman"/>
          <w:sz w:val="20"/>
        </w:rPr>
      </w:pPr>
      <w:r>
        <w:rPr>
          <w:rFonts w:ascii="Times New Roman" w:hAnsi="Times New Roman"/>
          <w:sz w:val="20"/>
        </w:rPr>
        <w:t xml:space="preserve">The equity exchange and other financing-related matters associated with the Merger are summarized as follows: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Legacy Blaize Convertible Promissory Notes and Equity </w:t>
      </w:r>
    </w:p>
    <w:p>
      <w:pPr>
        <w:pStyle w:val="TextBody"/>
        <w:bidi w:val="0"/>
        <w:spacing w:before="120" w:after="0"/>
        <w:jc w:val="left"/>
        <w:rPr>
          <w:rFonts w:ascii="Times New Roman" w:hAnsi="Times New Roman"/>
          <w:sz w:val="20"/>
        </w:rPr>
      </w:pPr>
      <w:r>
        <w:rPr>
          <w:rFonts w:ascii="Times New Roman" w:hAnsi="Times New Roman"/>
          <w:sz w:val="20"/>
        </w:rPr>
        <w:t xml:space="preserve">Immediately before the closing of the Merger, the convertible notes outstanding plus all accrued and unpaid interest, each of the issued and outstanding shares of redeemable convertible preferred stock, and all outstanding warrants, net exercised, were automatically converted into shares of the Company’s common stock. Upon the consummation of the Merger, each share of the Company’s common stock issued and outstanding were canceled and converted into the right to receive shares of Blaize Holdings Class A common stock and each share of Merger Sub Capital Stock was converted into one share of Blaize Holdings Class A common stock, par value $0.0001. </w:t>
      </w:r>
    </w:p>
    <w:p>
      <w:pPr>
        <w:pStyle w:val="TextBody"/>
        <w:bidi w:val="0"/>
        <w:spacing w:before="240" w:after="0"/>
        <w:jc w:val="left"/>
        <w:rPr>
          <w:rFonts w:ascii="Times New Roman" w:hAnsi="Times New Roman"/>
          <w:sz w:val="20"/>
        </w:rPr>
      </w:pPr>
      <w:r>
        <w:rPr>
          <w:rFonts w:ascii="Times New Roman" w:hAnsi="Times New Roman"/>
          <w:sz w:val="20"/>
        </w:rPr>
        <w:t xml:space="preserve">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 (ii) each Company RSU granted was converted into (a) the right to receive a number of Blaize Holdings Earnout Shares and (b) a Blaize Holdings restricted stock unit (“RSU”), upon substantially the same terms and conditions as in effect with respect to the corresponding Blaize RSU.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Earnout Arrangement with holders of Legacy Blaize Common Stock and outstanding equity awards </w:t>
      </w:r>
    </w:p>
    <w:p>
      <w:pPr>
        <w:pStyle w:val="TextBody"/>
        <w:bidi w:val="0"/>
        <w:spacing w:before="120" w:after="0"/>
        <w:jc w:val="left"/>
        <w:rPr>
          <w:rFonts w:ascii="Times New Roman" w:hAnsi="Times New Roman"/>
          <w:sz w:val="20"/>
        </w:rPr>
      </w:pPr>
      <w:r>
        <w:rPr>
          <w:rFonts w:ascii="Times New Roman" w:hAnsi="Times New Roman"/>
          <w:sz w:val="20"/>
        </w:rPr>
        <w:t xml:space="preserve">Concurrent with the Closing Date, holders of the Company common stock and outstanding equity awards (including stock options and RSU holders) agreed to the right to receive up to an aggregate amount of 15,000,000 shares of Blaize Holdings Class A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Stock (the “Earnout Shares”) during specified periods following the Merger (the “Earnout Period”) that will be issued if the following targets or triggering events are achieved: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3,750,000 Earnout Shares will be issued upon the occurrence of the first date during the Earnout Period on which the closing stock price of Blaize Holdings Class A Common Stock is greater than or equal to $12.50 per share for twenty (20) trading days within a thirty (30) consecutive trading day period;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3,750,000 Earnout Shares will be issued upon the occurrence of the first date during the Earnout Period on which the closing stock price of Blaize Holdings Class A Common Stock is greater than or equal to $15.00 per share for twenty (20) trading days within a thirty (30) consecutive trading day period;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3,750,000 Earnout Shares will be issued upon the occurrence of the first date during the Earnout Period on which the closing stock price of Blaize Holdings Class A Common Stock is greater than or equal to $17.50 per share for twenty (20) trading days within a thirty (30) consecutive trading day period;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3,750,000 Earnout Shares will be issued upon the occurrence of the first date during the Earnout Period on which the closing stock price of Blaize Holdings Class A Common Stock is greater than or equal to $20.00 per share for twenty (20) trading days within a thirty (30) consecutive trading day period.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Additionally, 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Arrangements entered into at time of Merger or assumed upon Merger: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Blaize Warrants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January 13, 2025, upon closing of the Merger, 28,750,000 of public warrants and 898,250 of private warrants of BurTech that were outstanding immediately before to the Merger became warrants of Blaize Holdings.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PIPE Shares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Sponsor Note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Non-Redemption</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and around December 31, 2024, BurTech entered into an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 with one or more unaffiliated stockholders of BurTech (each, an “Investor”) who agreed not to redeem (or validly rescind any redemption requests on) their shares of BurTech Class A common stock, par value $0.0001 per share of BurTech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In exchange for the foregoing commitments not to redeem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Blaize and BurTech LP LLC have agreed to guarantee that each Investor receives a return of $1.50 per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 whether an Investor (i) sells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in the open market or (ii) exercises its option to require Blaize Holdings to repurchase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in accordance with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Registration Rights 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Lock-up</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At the Closing Date, Blaize Holdings entered into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agreements (the </w:t>
      </w:r>
    </w:p>
    <w:p>
      <w:pPr>
        <w:pStyle w:val="TextBody"/>
        <w:bidi w:val="0"/>
        <w:spacing w:before="120" w:after="0"/>
        <w:jc w:val="left"/>
        <w:rPr>
          <w:spacing w:val="0"/>
        </w:rPr>
      </w:pPr>
      <w:r>
        <w:rPr>
          <w:spacing w:val="0"/>
        </w:rPr>
        <w:t>“</w:t>
      </w:r>
      <w:r>
        <w:rPr>
          <w:rFonts w:ascii="Times New Roman" w:hAnsi="Times New Roman"/>
          <w:spacing w:val="0"/>
          <w:sz w:val="20"/>
        </w:rPr>
        <w:t>Lock-up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30-trading</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day period commencing at least 150 days after the Closing Date and (y) the liquidation of Blaize Holdings.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Accounting for the Business Combination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Blaize is the larger entity in terms of substantive operations and employee base and its operations represent the ongoing operations of the combined entity. </w:t>
            </w:r>
          </w:p>
        </w:tc>
      </w:tr>
    </w:tbl>
    <w:p>
      <w:pPr>
        <w:pStyle w:val="TextBody"/>
        <w:bidi w:val="0"/>
        <w:spacing w:before="0" w:after="0"/>
        <w:ind w:left="0" w:right="0" w:hanging="0"/>
        <w:jc w:val="left"/>
        <w:rPr>
          <w:spacing w:val="0"/>
        </w:rPr>
      </w:pPr>
      <w:r>
        <w:rPr>
          <w:spacing w:val="0"/>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7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Blaize’s existing shareholders have the greatest voting interest in the combined entity.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Blaize’s existing shareholders have the ability to control decisions regarding election and removal of the combined entity’s board of directors. </w:t>
            </w:r>
          </w:p>
        </w:tc>
      </w:tr>
    </w:tbl>
    <w:p>
      <w:pPr>
        <w:pStyle w:val="TextBody"/>
        <w:bidi w:val="0"/>
        <w:spacing w:before="0" w:after="0"/>
        <w:ind w:left="0" w:right="0" w:hanging="0"/>
        <w:jc w:val="left"/>
        <w:rPr>
          <w:spacing w:val="0"/>
        </w:rPr>
      </w:pPr>
      <w:r>
        <w:rPr>
          <w:spacing w:val="0"/>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Blaize’s senior management is the senior management of the combined entity. </w:t>
            </w:r>
          </w:p>
        </w:tc>
      </w:tr>
    </w:tbl>
    <w:p>
      <w:pPr>
        <w:pStyle w:val="TextBody"/>
        <w:bidi w:val="0"/>
        <w:spacing w:before="0" w:after="0"/>
        <w:ind w:left="0" w:right="0" w:hanging="0"/>
        <w:jc w:val="left"/>
        <w:rPr>
          <w:spacing w:val="0"/>
        </w:rPr>
      </w:pPr>
      <w:r>
        <w:rPr>
          <w:spacing w:val="0"/>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3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combined company name is named Blaize Holdings, Inc., i.e. the combined entity has assumed Blaize’s name.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Going Concern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Since inception of the Company and through December 31, 2024, the Company has funded its operations primarily with cash flows from contributions from founders or other investors and other financing activities. The Company has incurred recurring losses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negative cash flows since its inception, including a net loss of $61.2 million and $87.6 million for the years ended December 31, 2024 and 2023, respectively. As of December 31, 2024, the Company had cash and cash equivalents of approximately $50.2 million, a net working capital deficit of $114.5 million, and an accumulated deficit of $429.3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above, in connection with the Company’s assessment of going concern considerations in accordance with Financial Accounting Standard Board’s (“FASB”) Accounting Standards Update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2014-15,</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Disclosures of Uncertainties about an Entity’s Ability to Continue as a Going Concern</w:t>
      </w:r>
    </w:p>
    <w:p>
      <w:pPr>
        <w:pStyle w:val="TextBody"/>
        <w:bidi w:val="0"/>
        <w:spacing w:before="240" w:after="0"/>
        <w:jc w:val="left"/>
        <w:rPr>
          <w:rFonts w:ascii="Times New Roman" w:hAnsi="Times New Roman"/>
          <w:sz w:val="20"/>
        </w:rPr>
      </w:pPr>
      <w:r>
        <w:rPr>
          <w:rFonts w:ascii="Times New Roman" w:hAnsi="Times New Roman"/>
          <w:sz w:val="20"/>
        </w:rPr>
        <w:t xml:space="preserve">, management has determined that the Company’s liquidity condition raises substantial doubt about the Company’s ability to continue as a going concern through a year from the date these consolidated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and Principles of Consolidation </w:t>
      </w:r>
    </w:p>
    <w:p>
      <w:pPr>
        <w:pStyle w:val="TextBody"/>
        <w:bidi w:val="0"/>
        <w:spacing w:before="0" w:after="0"/>
        <w:jc w:val="left"/>
        <w:rPr>
          <w:rFonts w:ascii="Times New Roman" w:hAnsi="Times New Roman"/>
          <w:sz w:val="20"/>
        </w:rPr>
      </w:pPr>
      <w:r>
        <w:rPr>
          <w:rFonts w:ascii="Times New Roman" w:hAnsi="Times New Roman"/>
          <w:sz w:val="20"/>
        </w:rPr>
        <w:t xml:space="preserve">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and common stock,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stock-based</w:t>
      </w:r>
    </w:p>
    <w:p>
      <w:pPr>
        <w:pStyle w:val="TextBody"/>
        <w:bidi w:val="0"/>
        <w:spacing w:before="120" w:after="0"/>
        <w:jc w:val="left"/>
        <w:rPr>
          <w:rFonts w:ascii="Times New Roman" w:hAnsi="Times New Roman"/>
          <w:sz w:val="20"/>
        </w:rPr>
      </w:pPr>
      <w:r>
        <w:rPr>
          <w:rFonts w:ascii="Times New Roman" w:hAnsi="Times New Roman"/>
          <w:sz w:val="20"/>
        </w:rPr>
        <w:t xml:space="preserve">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90 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 had cash and cash equivalents balances in excess of domestic and international insurance limits of approximately $49.3 million and $2.2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held $30.6 million in U.S. Government treasury securities, $9.2 million in a U.S. Government money market fund, and $5.1 million in mutual funds (see Note 4). As of December 31, 2023, the Company had no cash equivalents.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represents cash balances held as security deposits related to international payment services. As of December 31, 2024, restricted cash of $0.3 million was included within other assets on the consolidated balance sheets. As of December 31, 2023, the Company had no restricted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As of December 31, 2024 and 2023, the Company’s accounts receivable included zero and approximately $0.5 million, respectively, of unbilled accounts receivable (See Note 13).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raw materials, work in process inventories, and finished goods. Inventories are stated at the lower of cost or net realizable value, with cost being determined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first-in,</w:t>
      </w:r>
    </w:p>
    <w:p>
      <w:pPr>
        <w:pStyle w:val="TextBody"/>
        <w:bidi w:val="0"/>
        <w:spacing w:before="120" w:after="0"/>
        <w:jc w:val="left"/>
        <w:rPr>
          <w:rFonts w:ascii="Times New Roman" w:hAnsi="Times New Roman"/>
          <w:spacing w:val="0"/>
          <w:sz w:val="20"/>
        </w:rPr>
      </w:pPr>
      <w:r>
        <w:rPr>
          <w:rFonts w:ascii="Times New Roman" w:hAnsi="Times New Roman"/>
          <w:spacing w:val="0"/>
          <w:sz w:val="20"/>
        </w:rPr>
        <w:t>first-out</w:t>
      </w:r>
    </w:p>
    <w:p>
      <w:pPr>
        <w:pStyle w:val="TextBody"/>
        <w:bidi w:val="0"/>
        <w:spacing w:before="120" w:after="0"/>
        <w:jc w:val="left"/>
        <w:rPr>
          <w:rFonts w:ascii="Times New Roman" w:hAnsi="Times New Roman"/>
          <w:sz w:val="20"/>
        </w:rPr>
      </w:pPr>
      <w:r>
        <w:rPr>
          <w:rFonts w:ascii="Times New Roman" w:hAnsi="Times New Roman"/>
          <w:sz w:val="20"/>
        </w:rPr>
        <w:t xml:space="preserve">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is computed using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straight-line</w:t>
      </w:r>
    </w:p>
    <w:p>
      <w:pPr>
        <w:pStyle w:val="TextBody"/>
        <w:bidi w:val="0"/>
        <w:spacing w:before="120" w:after="0"/>
        <w:jc w:val="left"/>
        <w:rPr>
          <w:rFonts w:ascii="Times New Roman" w:hAnsi="Times New Roman"/>
          <w:sz w:val="20"/>
        </w:rPr>
      </w:pPr>
      <w:r>
        <w:rPr>
          <w:rFonts w:ascii="Times New Roman" w:hAnsi="Times New Roman"/>
          <w:sz w:val="20"/>
        </w:rPr>
        <w:t xml:space="preserve">method over the following estimated useful lives: </w:t>
      </w:r>
    </w:p>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2405"/>
        <w:gridCol w:w="120"/>
        <w:gridCol w:w="4265"/>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65"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Computer equipment</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right"/>
              <w:rPr>
                <w:spacing w:val="0"/>
              </w:rPr>
            </w:pPr>
            <w:r>
              <w:rPr>
                <w:spacing w:val="0"/>
              </w:rPr>
              <w:t>3-5</w:t>
            </w:r>
          </w:p>
          <w:p>
            <w:pPr>
              <w:pStyle w:val="TableContents"/>
              <w:bidi w:val="0"/>
              <w:spacing w:before="0" w:after="0"/>
              <w:jc w:val="right"/>
              <w:rPr/>
            </w:pPr>
            <w:r>
              <w:rPr/>
              <w:t>years</w:t>
            </w:r>
          </w:p>
        </w:tc>
      </w:tr>
      <w:tr>
        <w:trPr/>
        <w:tc>
          <w:tcPr>
            <w:tcW w:w="2405" w:type="dxa"/>
            <w:tcBorders/>
            <w:vAlign w:val="center"/>
          </w:tcPr>
          <w:p>
            <w:pPr>
              <w:pStyle w:val="TableContents"/>
              <w:bidi w:val="0"/>
              <w:spacing w:before="0" w:after="283"/>
              <w:jc w:val="left"/>
              <w:rPr/>
            </w:pPr>
            <w:r>
              <w:rPr/>
              <w:t>Software</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pPr>
            <w:r>
              <w:rPr/>
              <w:t>3 years</w:t>
            </w:r>
          </w:p>
        </w:tc>
      </w:tr>
      <w:tr>
        <w:trPr/>
        <w:tc>
          <w:tcPr>
            <w:tcW w:w="2405" w:type="dxa"/>
            <w:tcBorders/>
            <w:vAlign w:val="center"/>
          </w:tcPr>
          <w:p>
            <w:pPr>
              <w:pStyle w:val="TableContents"/>
              <w:bidi w:val="0"/>
              <w:spacing w:before="0" w:after="283"/>
              <w:jc w:val="left"/>
              <w:rPr/>
            </w:pPr>
            <w:r>
              <w:rPr/>
              <w:t>Furniture and fixtures</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pPr>
            <w:r>
              <w:rPr/>
              <w:t>5 years</w:t>
            </w:r>
          </w:p>
        </w:tc>
      </w:tr>
      <w:tr>
        <w:trPr/>
        <w:tc>
          <w:tcPr>
            <w:tcW w:w="2405" w:type="dxa"/>
            <w:tcBorders/>
            <w:vAlign w:val="center"/>
          </w:tcPr>
          <w:p>
            <w:pPr>
              <w:pStyle w:val="TableContents"/>
              <w:bidi w:val="0"/>
              <w:spacing w:before="0" w:after="283"/>
              <w:jc w:val="left"/>
              <w:rPr/>
            </w:pPr>
            <w:r>
              <w:rPr/>
              <w:t>Office equipment</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pPr>
            <w:r>
              <w:rPr/>
              <w:t>5 years</w:t>
            </w:r>
          </w:p>
        </w:tc>
      </w:tr>
      <w:tr>
        <w:trPr/>
        <w:tc>
          <w:tcPr>
            <w:tcW w:w="2405" w:type="dxa"/>
            <w:tcBorders/>
            <w:vAlign w:val="center"/>
          </w:tcPr>
          <w:p>
            <w:pPr>
              <w:pStyle w:val="TableContents"/>
              <w:bidi w:val="0"/>
              <w:spacing w:before="0" w:after="283"/>
              <w:jc w:val="left"/>
              <w:rPr/>
            </w:pPr>
            <w:r>
              <w:rPr/>
              <w:t>Vehicles</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pPr>
            <w:r>
              <w:rPr/>
              <w:t>8 years</w:t>
            </w:r>
          </w:p>
        </w:tc>
      </w:tr>
      <w:tr>
        <w:trPr/>
        <w:tc>
          <w:tcPr>
            <w:tcW w:w="2405" w:type="dxa"/>
            <w:tcBorders/>
            <w:vAlign w:val="center"/>
          </w:tcPr>
          <w:p>
            <w:pPr>
              <w:pStyle w:val="TableContents"/>
              <w:bidi w:val="0"/>
              <w:spacing w:before="0" w:after="283"/>
              <w:jc w:val="left"/>
              <w:rPr/>
            </w:pPr>
            <w:r>
              <w:rPr/>
              <w:t>Leasehold improvements</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right"/>
              <w:rPr/>
            </w:pPr>
            <w:r>
              <w:rPr/>
              <w:t>Shorter of the related lease term or useful life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or contains a lease based on the unique facts and circumstances present at the inception of the arrangement and if such a lease is classified as a financing lease or operating lease. Operating lease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120" w:after="0"/>
        <w:jc w:val="left"/>
        <w:rPr>
          <w:rFonts w:ascii="Times New Roman" w:hAnsi="Times New Roman"/>
          <w:sz w:val="20"/>
        </w:rPr>
      </w:pPr>
      <w:r>
        <w:rPr>
          <w:rFonts w:ascii="Times New Roman" w:hAnsi="Times New Roman"/>
          <w:sz w:val="20"/>
        </w:rPr>
        <w:t xml:space="preserve">lease term when determining the lease assets and liabilities. As of December 31, 2024 and 2023, the Company had no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month-to-month</w:t>
      </w:r>
    </w:p>
    <w:p>
      <w:pPr>
        <w:pStyle w:val="TextBody"/>
        <w:bidi w:val="0"/>
        <w:spacing w:before="240" w:after="0"/>
        <w:jc w:val="left"/>
        <w:rPr>
          <w:rFonts w:ascii="Times New Roman" w:hAnsi="Times New Roman"/>
          <w:sz w:val="20"/>
        </w:rPr>
      </w:pPr>
      <w:r>
        <w:rPr>
          <w:rFonts w:ascii="Times New Roman" w:hAnsi="Times New Roman"/>
          <w:sz w:val="20"/>
        </w:rPr>
        <w:t xml:space="preserve">leases are recognized as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Software Development Costs </w:t>
      </w:r>
    </w:p>
    <w:p>
      <w:pPr>
        <w:pStyle w:val="TextBody"/>
        <w:bidi w:val="0"/>
        <w:spacing w:before="120" w:after="0"/>
        <w:jc w:val="left"/>
        <w:rPr>
          <w:rFonts w:ascii="Times New Roman" w:hAnsi="Times New Roman"/>
          <w:sz w:val="20"/>
        </w:rPr>
      </w:pPr>
      <w:r>
        <w:rPr>
          <w:rFonts w:ascii="Times New Roman" w:hAnsi="Times New Roman"/>
          <w:sz w:val="20"/>
        </w:rPr>
        <w:t>Software development costs for software to be sold, leased, or marketed are accounted for in accordance with Accounting Standards Codification (“ASC”) 985-20,</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Software — Costs of Software to be Sold, Leased or Marketed</w:t>
      </w:r>
    </w:p>
    <w:p>
      <w:pPr>
        <w:pStyle w:val="TextBody"/>
        <w:bidi w:val="0"/>
        <w:spacing w:before="120" w:after="0"/>
        <w:jc w:val="left"/>
        <w:rPr>
          <w:rFonts w:ascii="Times New Roman" w:hAnsi="Times New Roman"/>
          <w:sz w:val="20"/>
        </w:rPr>
      </w:pPr>
      <w:r>
        <w:rPr>
          <w:rFonts w:ascii="Times New Roman" w:hAnsi="Times New Roman"/>
          <w:sz w:val="20"/>
        </w:rPr>
        <w:t xml:space="preserve">.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feature-by-feature</w:t>
      </w:r>
    </w:p>
    <w:p>
      <w:pPr>
        <w:pStyle w:val="TextBody"/>
        <w:bidi w:val="0"/>
        <w:spacing w:before="120" w:after="0"/>
        <w:jc w:val="left"/>
        <w:rPr>
          <w:rFonts w:ascii="Times New Roman" w:hAnsi="Times New Roman"/>
          <w:sz w:val="20"/>
        </w:rPr>
      </w:pPr>
      <w:r>
        <w:rPr>
          <w:rFonts w:ascii="Times New Roman" w:hAnsi="Times New Roman"/>
          <w:sz w:val="20"/>
        </w:rPr>
        <w:t xml:space="preserve">basis and the estimated economic life of a feature is one year. To date, the impact of capitalizing qualifying software development costs has been immaterial.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Deferred Offering Costs</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$11.1 million and $1.5 million, respectively, capitalized deferred offering costs included in prepaid expenses and other current assets on the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Long-Lived</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Assets </w:t>
      </w:r>
    </w:p>
    <w:p>
      <w:pPr>
        <w:pStyle w:val="TextBody"/>
        <w:bidi w:val="0"/>
        <w:spacing w:before="120" w:after="0"/>
        <w:jc w:val="left"/>
        <w:rPr>
          <w:rFonts w:ascii="Times New Roman" w:hAnsi="Times New Roman"/>
          <w:sz w:val="20"/>
        </w:rPr>
      </w:pPr>
      <w:r>
        <w:rPr>
          <w:rFonts w:ascii="Times New Roman" w:hAnsi="Times New Roman"/>
          <w:sz w:val="20"/>
        </w:rPr>
        <w:t xml:space="preserve">Whenever events or changes in circumstances indicate that the carrying amount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long-lived</w:t>
      </w:r>
    </w:p>
    <w:p>
      <w:pPr>
        <w:pStyle w:val="TextBody"/>
        <w:bidi w:val="0"/>
        <w:spacing w:before="120" w:after="0"/>
        <w:jc w:val="left"/>
        <w:rPr>
          <w:rFonts w:ascii="Times New Roman" w:hAnsi="Times New Roman"/>
          <w:sz w:val="20"/>
        </w:rPr>
      </w:pPr>
      <w:r>
        <w:rPr>
          <w:rFonts w:ascii="Times New Roman" w:hAnsi="Times New Roman"/>
          <w:sz w:val="20"/>
        </w:rPr>
        <w:t xml:space="preserve">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not recognize any impairment expense related to its long-lived assets.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Embedded Derivative Evaluation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120" w:after="0"/>
        <w:jc w:val="left"/>
        <w:rPr>
          <w:rFonts w:ascii="Times New Roman" w:hAnsi="Times New Roman"/>
          <w:sz w:val="20"/>
        </w:rPr>
      </w:pPr>
      <w:r>
        <w:rPr>
          <w:rFonts w:ascii="Times New Roman" w:hAnsi="Times New Roman"/>
          <w:sz w:val="20"/>
        </w:rPr>
        <w:t xml:space="preserve">income or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Debt—Debt with Conversion and Other Options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Derivatives and Hedging—Contracts in Entity’s Own Equity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815-40)</w:t>
      </w:r>
    </w:p>
    <w:p>
      <w:pPr>
        <w:pStyle w:val="TextBody"/>
        <w:bidi w:val="0"/>
        <w:spacing w:before="120" w:after="0"/>
        <w:jc w:val="left"/>
        <w:rPr>
          <w:rFonts w:ascii="Times New Roman" w:hAnsi="Times New Roman"/>
          <w:sz w:val="20"/>
        </w:rPr>
      </w:pPr>
      <w:r>
        <w:rPr>
          <w:rFonts w:ascii="Times New Roman" w:hAnsi="Times New Roman"/>
          <w:sz w:val="20"/>
        </w:rPr>
        <w:t>and</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Convertible Instruments and Contracts in an Entity’s Own Equity</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to account for its convertible notes at fair value at each period end pursuant to ASC 825,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w:t>
      </w:r>
    </w:p>
    <w:p>
      <w:pPr>
        <w:pStyle w:val="TextBody"/>
        <w:bidi w:val="0"/>
        <w:spacing w:before="120" w:after="0"/>
        <w:jc w:val="left"/>
        <w:rPr>
          <w:rFonts w:ascii="Times New Roman" w:hAnsi="Times New Roman"/>
          <w:sz w:val="20"/>
        </w:rPr>
      </w:pPr>
      <w:r>
        <w:rPr>
          <w:rFonts w:ascii="Times New Roman" w:hAnsi="Times New Roman"/>
          <w:sz w:val="20"/>
        </w:rPr>
        <w:t xml:space="preserve">wherein changes in the fair value are recorded as change in fair value of convertible notes in the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Warrant Liabilities</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redeemable convertible preferred stock has been classified outside of stockholders’ deficit, as mezzanine equity, due to the redemption option of the preferred stock shareholders (see Note 10). The Company records redeemable convertible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derives revenue from product sales, license and development arrangements, joint marketing arrangements and cloud services. The Company recognizes revenue under ASC Topic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bidi w:val="0"/>
        <w:spacing w:before="120" w:after="0"/>
        <w:jc w:val="left"/>
        <w:rPr>
          <w:rFonts w:ascii="Times New Roman" w:hAnsi="Times New Roman"/>
          <w:sz w:val="20"/>
        </w:rPr>
      </w:pPr>
      <w:r>
        <w:rPr>
          <w:rFonts w:ascii="Times New Roman" w:hAnsi="Times New Roman"/>
          <w:sz w:val="20"/>
        </w:rPr>
        <w:t xml:space="preserve">(ASC 606), in which it determines revenue recognition through the following steps: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1: Identify the contract with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2: Identify the performance obligations in the contract. </w:t>
      </w:r>
    </w:p>
    <w:p>
      <w:pPr>
        <w:pStyle w:val="TextBody"/>
        <w:bidi w:val="0"/>
        <w:spacing w:before="240" w:after="0"/>
        <w:jc w:val="left"/>
        <w:rPr>
          <w:rFonts w:ascii="Times New Roman" w:hAnsi="Times New Roman"/>
          <w:sz w:val="20"/>
        </w:rPr>
      </w:pPr>
      <w:r>
        <w:rPr>
          <w:rFonts w:ascii="Times New Roman" w:hAnsi="Times New Roman"/>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Step 3: Determine the transaction price</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4: Allocate the transaction price to the performance obligations in the contract. </w:t>
      </w:r>
    </w:p>
    <w:p>
      <w:pPr>
        <w:pStyle w:val="TextBody"/>
        <w:bidi w:val="0"/>
        <w:spacing w:before="240" w:after="0"/>
        <w:jc w:val="left"/>
        <w:rPr>
          <w:rFonts w:ascii="Times New Roman" w:hAnsi="Times New Roman"/>
          <w:sz w:val="20"/>
        </w:rPr>
      </w:pPr>
      <w:r>
        <w:rPr>
          <w:rFonts w:ascii="Times New Roman" w:hAnsi="Times New Roman"/>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5: Recognize revenue when the company satisfies a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2024 and 2023 (in thousands): </w:t>
      </w:r>
    </w:p>
    <w:p>
      <w:pPr>
        <w:pStyle w:val="TextBody"/>
        <w:bidi w:val="0"/>
        <w:spacing w:before="0" w:after="0"/>
        <w:jc w:val="left"/>
        <w:rPr/>
      </w:pPr>
      <w:r>
        <w:rPr/>
        <w:t> </w:t>
      </w:r>
    </w:p>
    <w:p>
      <w:pPr>
        <w:pStyle w:val="TextBody"/>
        <w:bidi w:val="0"/>
        <w:spacing w:before="0" w:after="0"/>
        <w:jc w:val="left"/>
        <w:rPr>
          <w:sz w:val="24"/>
        </w:rPr>
      </w:pPr>
      <w:r>
        <w:rPr>
          <w:sz w:val="24"/>
        </w:rPr>
      </w:r>
    </w:p>
    <w:tbl>
      <w:tblPr>
        <w:tblW w:w="4490" w:type="dxa"/>
        <w:jc w:val="left"/>
        <w:tblInd w:w="0" w:type="dxa"/>
        <w:tblLayout w:type="fixed"/>
        <w:tblCellMar>
          <w:top w:w="0" w:type="dxa"/>
          <w:left w:w="0" w:type="dxa"/>
          <w:bottom w:w="0" w:type="dxa"/>
          <w:right w:w="0" w:type="dxa"/>
        </w:tblCellMar>
      </w:tblPr>
      <w:tblGrid>
        <w:gridCol w:w="2375"/>
        <w:gridCol w:w="120"/>
        <w:gridCol w:w="140"/>
        <w:gridCol w:w="635"/>
        <w:gridCol w:w="155"/>
        <w:gridCol w:w="120"/>
        <w:gridCol w:w="140"/>
        <w:gridCol w:w="635"/>
        <w:gridCol w:w="17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1,830</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 of deferred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3,113</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Recognition of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(3,843</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1,100</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The Company defers incremental costs of obtaining a customer contract and amortizes the deferred costs over the period that the related revenue is recognized. The Company had no material incremental costs to obtain customer contracts in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offers a standard assurance-type warranty to customers for hardware sales.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Advertising Costs </w:t>
      </w:r>
    </w:p>
    <w:p>
      <w:pPr>
        <w:pStyle w:val="TextBody"/>
        <w:bidi w:val="0"/>
        <w:spacing w:before="120" w:after="0"/>
        <w:jc w:val="left"/>
        <w:rPr>
          <w:rFonts w:ascii="Times New Roman" w:hAnsi="Times New Roman"/>
          <w:sz w:val="20"/>
        </w:rPr>
      </w:pPr>
      <w:r>
        <w:rPr>
          <w:rFonts w:ascii="Times New Roman" w:hAnsi="Times New Roman"/>
          <w:sz w:val="20"/>
        </w:rPr>
        <w:t xml:space="preserve">Advertising costs are expensed as incurred and are included in selling, general and administrative expenses in the consolidated statements of operations. Advertising costs were immaterial for the years ended December 31, 2024 and 2023,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income taxes in the U.S. and various foreign jurisdictions. The Company uses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asset-and-liability</w:t>
      </w:r>
    </w:p>
    <w:p>
      <w:pPr>
        <w:pStyle w:val="TextBody"/>
        <w:bidi w:val="0"/>
        <w:spacing w:before="120" w:after="0"/>
        <w:jc w:val="left"/>
        <w:rPr>
          <w:rFonts w:ascii="Times New Roman" w:hAnsi="Times New Roman"/>
          <w:sz w:val="20"/>
        </w:rPr>
      </w:pPr>
      <w:r>
        <w:rPr>
          <w:rFonts w:ascii="Times New Roman" w:hAnsi="Times New Roman"/>
          <w:sz w:val="20"/>
        </w:rPr>
        <w:t xml:space="preserve">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jurisdiction-by-jurisdiction</w:t>
      </w:r>
    </w:p>
    <w:p>
      <w:pPr>
        <w:pStyle w:val="TextBody"/>
        <w:bidi w:val="0"/>
        <w:spacing w:before="120" w:after="0"/>
        <w:jc w:val="left"/>
        <w:rPr>
          <w:rFonts w:ascii="Times New Roman" w:hAnsi="Times New Roman"/>
          <w:sz w:val="20"/>
        </w:rPr>
      </w:pPr>
      <w:r>
        <w:rPr>
          <w:rFonts w:ascii="Times New Roman" w:hAnsi="Times New Roman"/>
          <w:sz w:val="20"/>
        </w:rPr>
        <w:t xml:space="preserve">basis when necessary to reduce deferred tax assets to an amount that, in the opinion of management, is more likely than not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the cost of employee, non-employee consultants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also grants RSUs to employees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0" w:after="0"/>
        <w:jc w:val="left"/>
        <w:rPr>
          <w:rFonts w:ascii="Times New Roman" w:hAnsi="Times New Roman"/>
          <w:sz w:val="20"/>
        </w:rPr>
      </w:pPr>
      <w:r>
        <w:rPr>
          <w:rFonts w:ascii="Times New Roman" w:hAnsi="Times New Roman"/>
          <w:sz w:val="20"/>
        </w:rPr>
        <w:t xml:space="preserve">consultants, which vest upon the satisfaction of both a service-based condition and a liquidity event condition, as defined. The fair value of restricted stock units is determined based on the Company’s estimated fair value of common stock at the date of grant. As of December 31,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Forfeitures are recognized as they occur.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requires fair value measurements be classified and disclosed in one of the following pricing categories: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1</w:t>
      </w:r>
    </w:p>
    <w:p>
      <w:pPr>
        <w:pStyle w:val="TextBody"/>
        <w:bidi w:val="0"/>
        <w:spacing w:before="240" w:after="0"/>
        <w:jc w:val="left"/>
        <w:rPr>
          <w:rFonts w:ascii="Times New Roman" w:hAnsi="Times New Roman"/>
          <w:sz w:val="20"/>
        </w:rPr>
      </w:pPr>
      <w:r>
        <w:rPr>
          <w:rFonts w:ascii="Times New Roman" w:hAnsi="Times New Roman"/>
          <w:sz w:val="20"/>
        </w:rPr>
        <w:t xml:space="preserve">- This level consists of unadjusted quoted prices in active markets for identical assets or liabilities that the reporting entity can access at the measurement date.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2 -</w:t>
      </w:r>
    </w:p>
    <w:p>
      <w:pPr>
        <w:pStyle w:val="TextBody"/>
        <w:bidi w:val="0"/>
        <w:spacing w:before="240" w:after="0"/>
        <w:jc w:val="left"/>
        <w:rPr>
          <w:rFonts w:ascii="Times New Roman" w:hAnsi="Times New Roman"/>
          <w:sz w:val="20"/>
        </w:rPr>
      </w:pPr>
      <w:r>
        <w:rPr>
          <w:rFonts w:ascii="Times New Roman" w:hAnsi="Times New Roman"/>
          <w:sz w:val="20"/>
        </w:rPr>
        <w:t xml:space="preserve">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 3</w:t>
      </w:r>
    </w:p>
    <w:p>
      <w:pPr>
        <w:pStyle w:val="TextBody"/>
        <w:bidi w:val="0"/>
        <w:spacing w:before="240" w:after="0"/>
        <w:jc w:val="left"/>
        <w:rPr>
          <w:rFonts w:ascii="Times New Roman" w:hAnsi="Times New Roman"/>
          <w:sz w:val="20"/>
        </w:rPr>
      </w:pPr>
      <w:r>
        <w:rPr>
          <w:rFonts w:ascii="Times New Roman" w:hAnsi="Times New Roman"/>
          <w:sz w:val="20"/>
        </w:rPr>
        <w:t xml:space="preserve">- 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consolidated statements of operations. During the year ended December 31, 2024, foreign currency transaction losses of $0.2 million was included in other income (expense), net in the consolidated statements of operations. During the year ended December 31, 2023, foreign currency transaction gain was immaterial.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Company’s cash and cash equivalents are primarily on deposit at high-credit quality financial institutions or invested in U.S. Government money market funds. The Company’s cash accounts in a financial institution may at times exceed the Federal Depository Insurance coverage of $250,000. Investments in money markets are not insured or guaranteed by the FDIC or any other government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exposed to credit risk in the event of nonpayment by customers up to the amounts recorded on the consolidated balance sheets. The Company manages its accounts receivable credit risk through ongoing credit evaluation of its customers’ financial conditions.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one customer accounted for approximately 98% of the Company’s accounts receivable. As of December 31, 2023, one customer, a related party, accounted for approximately 98% of the Company’s accounts receivable (see Note 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the Company’s revenue. For the year ended December 31, 2024, two customers, both related parties, accounted for approximately 77% and 21% of the Company’s revenue. For the year ended December 31, 2023, one customer, a related party, accounted for nearly 100% of the Company’s revenue (see Note 13).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Reporting (Topic 280): Improvements to Reportable Segment Disclosures.</w:t>
      </w:r>
    </w:p>
    <w:p>
      <w:pPr>
        <w:pStyle w:val="TextBody"/>
        <w:bidi w:val="0"/>
        <w:spacing w:before="120" w:after="0"/>
        <w:jc w:val="left"/>
        <w:rPr>
          <w:rFonts w:ascii="Times New Roman" w:hAnsi="Times New Roman"/>
          <w:sz w:val="20"/>
        </w:rPr>
      </w:pPr>
      <w:r>
        <w:rPr>
          <w:rFonts w:ascii="Times New Roman" w:hAnsi="Times New Roman"/>
          <w:sz w:val="20"/>
        </w:rPr>
        <w:t xml:space="preserve">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 </w:t>
      </w:r>
    </w:p>
    <w:p>
      <w:pPr>
        <w:pStyle w:val="TextBody"/>
        <w:bidi w:val="0"/>
        <w:spacing w:before="240" w:after="0"/>
        <w:jc w:val="left"/>
        <w:rPr>
          <w:rFonts w:ascii="Times New Roman" w:hAnsi="Times New Roman"/>
          <w:sz w:val="20"/>
        </w:rPr>
      </w:pPr>
      <w:r>
        <w:rPr>
          <w:rFonts w:ascii="Times New Roman" w:hAnsi="Times New Roman"/>
          <w:sz w:val="20"/>
        </w:rPr>
        <w:t xml:space="preserve">In October 2021,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2021-08,</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Business Combinations (Topic 805): Accounting for Contract Assets and Contract Liabilities from Contracts with Customers</w:t>
      </w:r>
    </w:p>
    <w:p>
      <w:pPr>
        <w:pStyle w:val="TextBody"/>
        <w:bidi w:val="0"/>
        <w:spacing w:before="240" w:after="0"/>
        <w:jc w:val="left"/>
        <w:rPr>
          <w:rFonts w:ascii="Times New Roman" w:hAnsi="Times New Roman"/>
          <w:sz w:val="20"/>
        </w:rPr>
      </w:pPr>
      <w:r>
        <w:rPr>
          <w:rFonts w:ascii="Times New Roman" w:hAnsi="Times New Roman"/>
          <w:sz w:val="20"/>
        </w:rPr>
        <w:t xml:space="preserve">. The FASB issued authoritative guidance that clarifies that an acquirer of a business should recognize and measure contract 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2024-04,</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 – Debt with Conversion and Other Options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Induced Conversions of Convertible Debt Instruments.</w:t>
      </w:r>
    </w:p>
    <w:p>
      <w:pPr>
        <w:pStyle w:val="TextBody"/>
        <w:bidi w:val="0"/>
        <w:spacing w:before="120" w:after="0"/>
        <w:jc w:val="left"/>
        <w:rPr>
          <w:rFonts w:ascii="Times New Roman" w:hAnsi="Times New Roman"/>
          <w:sz w:val="20"/>
        </w:rPr>
      </w:pPr>
      <w:r>
        <w:rPr>
          <w:rFonts w:ascii="Times New Roman" w:hAnsi="Times New Roman"/>
          <w:sz w:val="20"/>
        </w:rPr>
        <w:t xml:space="preserve">This ASU clarifies guidance on the requirements for determining whether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settlements of convertible debt instruments 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Statement- Reporting Comprehensive Income- Expense Disaggregation Disclosures: Disaggregation of Income Statement Expenses</w:t>
      </w:r>
    </w:p>
    <w:p>
      <w:pPr>
        <w:pStyle w:val="TextBody"/>
        <w:bidi w:val="0"/>
        <w:spacing w:before="240" w:after="0"/>
        <w:jc w:val="left"/>
        <w:rPr>
          <w:rFonts w:ascii="Times New Roman" w:hAnsi="Times New Roman"/>
          <w:sz w:val="20"/>
        </w:rPr>
      </w:pPr>
      <w:r>
        <w:rPr>
          <w:rFonts w:ascii="Times New Roman" w:hAnsi="Times New Roman"/>
          <w:sz w:val="20"/>
        </w:rPr>
        <w:t xml:space="preserve">. This ASU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 (Topic 740): Improvements to Income Tax Disclosures.</w:t>
      </w:r>
    </w:p>
    <w:p>
      <w:pPr>
        <w:pStyle w:val="TextBody"/>
        <w:bidi w:val="0"/>
        <w:spacing w:before="240" w:after="0"/>
        <w:jc w:val="left"/>
        <w:rPr>
          <w:rFonts w:ascii="Times New Roman" w:hAnsi="Times New Roman"/>
          <w:sz w:val="20"/>
        </w:rPr>
      </w:pPr>
      <w:r>
        <w:rPr>
          <w:rFonts w:ascii="Times New Roman" w:hAnsi="Times New Roman"/>
          <w:sz w:val="20"/>
        </w:rPr>
        <w:t xml:space="preserve">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June 2022,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2022-03,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Fair Value Measurement (Topic 820): Fair Value Measurement of Equity Securities Subject to Contractual Sale Restrictions</w:t>
      </w:r>
    </w:p>
    <w:p>
      <w:pPr>
        <w:pStyle w:val="TextBody"/>
        <w:bidi w:val="0"/>
        <w:spacing w:before="240" w:after="0"/>
        <w:jc w:val="left"/>
        <w:rPr>
          <w:rFonts w:ascii="Times New Roman" w:hAnsi="Times New Roman"/>
          <w:sz w:val="20"/>
        </w:rPr>
      </w:pPr>
      <w:r>
        <w:rPr>
          <w:rFonts w:ascii="Times New Roman" w:hAnsi="Times New Roman"/>
          <w:sz w:val="20"/>
        </w:rPr>
        <w:t xml:space="preserve">. This ASU clarifies guidance in Topic 820 and introduces new disclosure requirements for equity securities subject to contractual sale restrictions that are measured at fair value in accordance with Topic 820. This guidance is effective for the Company beginning on January 1, 2025. The Company does not expect the adoption to have a material impact on the Company’s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Revenue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Company’s revenue information by geographical region for the years ended December 31, 2024 and 2023 (in thousands): </w:t>
      </w:r>
    </w:p>
    <w:p>
      <w:pPr>
        <w:pStyle w:val="TextBody"/>
        <w:bidi w:val="0"/>
        <w:spacing w:before="0" w:after="0"/>
        <w:jc w:val="left"/>
        <w:rPr/>
      </w:pPr>
      <w:r>
        <w:rPr/>
        <w:t> </w:t>
      </w:r>
    </w:p>
    <w:p>
      <w:pPr>
        <w:pStyle w:val="TextBody"/>
        <w:bidi w:val="0"/>
        <w:spacing w:before="0" w:after="0"/>
        <w:jc w:val="left"/>
        <w:rPr>
          <w:sz w:val="24"/>
        </w:rPr>
      </w:pPr>
      <w:r>
        <w:rPr>
          <w:sz w:val="24"/>
        </w:rPr>
      </w:r>
    </w:p>
    <w:tbl>
      <w:tblPr>
        <w:tblW w:w="2935" w:type="dxa"/>
        <w:jc w:val="left"/>
        <w:tblInd w:w="0" w:type="dxa"/>
        <w:tblLayout w:type="fixed"/>
        <w:tblCellMar>
          <w:top w:w="0" w:type="dxa"/>
          <w:left w:w="0" w:type="dxa"/>
          <w:bottom w:w="0" w:type="dxa"/>
          <w:right w:w="0" w:type="dxa"/>
        </w:tblCellMar>
      </w:tblPr>
      <w:tblGrid>
        <w:gridCol w:w="1160"/>
        <w:gridCol w:w="120"/>
        <w:gridCol w:w="140"/>
        <w:gridCol w:w="560"/>
        <w:gridCol w:w="60"/>
        <w:gridCol w:w="120"/>
        <w:gridCol w:w="140"/>
        <w:gridCol w:w="560"/>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3,848</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3,856</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The following provides a disaggregation of revenue based on the pattern of revenue recognition for the years ended December 31, 2024 and 2023 (in thousands): </w:t>
      </w:r>
    </w:p>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3125"/>
        <w:gridCol w:w="120"/>
        <w:gridCol w:w="140"/>
        <w:gridCol w:w="560"/>
        <w:gridCol w:w="60"/>
        <w:gridCol w:w="120"/>
        <w:gridCol w:w="140"/>
        <w:gridCol w:w="560"/>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recognized at a point in time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recognized over time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3,840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3,856</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 allocated to remaining performance obligations, which includes unearned or deferred revenue and amounts that will be invoiced and recognized as revenue in future periods as of December 31, 2024 and 2023, was as follows (in thousands):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010"/>
        <w:gridCol w:w="120"/>
        <w:gridCol w:w="140"/>
        <w:gridCol w:w="380"/>
        <w:gridCol w:w="60"/>
        <w:gridCol w:w="120"/>
        <w:gridCol w:w="140"/>
        <w:gridCol w:w="560"/>
        <w:gridCol w:w="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733</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367</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1,100</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4.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the Company’s financial assets and liabilities measured at fair value on a recurring basis aggregated by the level in the fair hierarchy (in thousands): </w:t>
      </w:r>
    </w:p>
    <w:p>
      <w:pPr>
        <w:pStyle w:val="TextBody"/>
        <w:bidi w:val="0"/>
        <w:spacing w:before="0" w:after="0"/>
        <w:jc w:val="left"/>
        <w:rPr/>
      </w:pPr>
      <w:r>
        <w:rPr/>
        <w:t> </w:t>
      </w:r>
    </w:p>
    <w:tbl>
      <w:tblPr>
        <w:tblW w:w="7607" w:type="dxa"/>
        <w:jc w:val="left"/>
        <w:tblInd w:w="0" w:type="dxa"/>
        <w:tblLayout w:type="fixed"/>
        <w:tblCellMar>
          <w:top w:w="0" w:type="dxa"/>
          <w:left w:w="0" w:type="dxa"/>
          <w:bottom w:w="0" w:type="dxa"/>
          <w:right w:w="0" w:type="dxa"/>
        </w:tblCellMar>
      </w:tblPr>
      <w:tblGrid>
        <w:gridCol w:w="3155"/>
        <w:gridCol w:w="120"/>
        <w:gridCol w:w="140"/>
        <w:gridCol w:w="680"/>
        <w:gridCol w:w="60"/>
        <w:gridCol w:w="120"/>
        <w:gridCol w:w="258"/>
        <w:gridCol w:w="482"/>
        <w:gridCol w:w="74"/>
        <w:gridCol w:w="149"/>
        <w:gridCol w:w="174"/>
        <w:gridCol w:w="1000"/>
        <w:gridCol w:w="60"/>
        <w:gridCol w:w="120"/>
        <w:gridCol w:w="140"/>
        <w:gridCol w:w="800"/>
        <w:gridCol w:w="75"/>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7" w:type="dxa"/>
            <w:gridSpan w:val="6"/>
            <w:tcBorders/>
            <w:vAlign w:val="center"/>
          </w:tcPr>
          <w:p>
            <w:pPr>
              <w:pStyle w:val="TableContents"/>
              <w:bidi w:val="0"/>
              <w:spacing w:before="0" w:after="283"/>
              <w:jc w:val="center"/>
              <w:rPr/>
            </w:pPr>
            <w:r>
              <w:rPr/>
              <w:t>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482"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Government treasury 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30,580</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Government 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9,247</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Mutual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5,067</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482"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 measured at fair value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44,894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44,894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482"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15,942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15,942</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132,687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132,687</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14,711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14,711</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482"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163,340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163,340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482"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2317" w:type="dxa"/>
            <w:gridSpan w:val="8"/>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7" w:type="dxa"/>
            <w:gridSpan w:val="6"/>
            <w:tcBorders/>
            <w:vAlign w:val="center"/>
          </w:tcPr>
          <w:p>
            <w:pPr>
              <w:pStyle w:val="TableContents"/>
              <w:bidi w:val="0"/>
              <w:spacing w:before="0" w:after="283"/>
              <w:jc w:val="center"/>
              <w:rPr/>
            </w:pPr>
            <w:r>
              <w:rPr/>
              <w:t>December 31,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482"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14,641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14,641</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18,064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18,064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3,730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3,730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482"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36,435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36,435</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482"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Level 1 instruments consisted of U.S. Government treasury securities, U.S. Government money market funds, and mutual funds because they were valued using quoted prices in active markets and can be redeemed on any business days with an intermediary. </w:t>
      </w:r>
    </w:p>
    <w:p>
      <w:pPr>
        <w:pStyle w:val="TextBody"/>
        <w:bidi w:val="0"/>
        <w:spacing w:before="240" w:after="0"/>
        <w:jc w:val="left"/>
        <w:rPr>
          <w:rFonts w:ascii="Times New Roman" w:hAnsi="Times New Roman"/>
          <w:sz w:val="20"/>
        </w:rPr>
      </w:pPr>
      <w:r>
        <w:rPr>
          <w:rFonts w:ascii="Times New Roman" w:hAnsi="Times New Roman"/>
          <w:sz w:val="20"/>
        </w:rPr>
        <w:t xml:space="preserve">Level 3 instruments consisted of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240" w:after="0"/>
        <w:jc w:val="left"/>
        <w:rPr>
          <w:rFonts w:ascii="Times New Roman" w:hAnsi="Times New Roman"/>
          <w:sz w:val="20"/>
        </w:rPr>
      </w:pPr>
      <w:r>
        <w:rPr>
          <w:rFonts w:ascii="Times New Roman" w:hAnsi="Times New Roman"/>
          <w:sz w:val="20"/>
        </w:rPr>
        <w:t xml:space="preserve">Convertible Notes (“P2P Notes”), the 2023 Convertible Notes, and warrant liabilities comprised of the Company’s Series D Shadow preferred stock warrants,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z w:val="20"/>
        </w:rPr>
      </w:pPr>
      <w:r>
        <w:rPr>
          <w:rFonts w:ascii="Times New Roman" w:hAnsi="Times New Roman"/>
          <w:sz w:val="20"/>
        </w:rPr>
        <w:t xml:space="preserve">Shadow preferred stock warrants, the warrants issued with the P2P Notes and the 2023 Convertible Notes, and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common stock warrants (see Notes 7 and 8). The Company has elected to apply the fair value option to measure all convertible notes due to the nature of their embedded features.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change in the fair value of the Level 3 liabilities during the years ended December 31, 2024 and 2023 was as follows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0"/>
        <w:gridCol w:w="120"/>
        <w:gridCol w:w="192"/>
        <w:gridCol w:w="938"/>
        <w:gridCol w:w="60"/>
        <w:gridCol w:w="120"/>
        <w:gridCol w:w="168"/>
        <w:gridCol w:w="962"/>
        <w:gridCol w:w="60"/>
        <w:gridCol w:w="120"/>
        <w:gridCol w:w="146"/>
        <w:gridCol w:w="714"/>
        <w:gridCol w:w="60"/>
        <w:gridCol w:w="120"/>
        <w:gridCol w:w="140"/>
        <w:gridCol w:w="800"/>
        <w:gridCol w:w="75"/>
      </w:tblGrid>
      <w:tr>
        <w:trPr/>
        <w:tc>
          <w:tcPr>
            <w:tcW w:w="5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Pay-to-Play</w:t>
            </w:r>
          </w:p>
          <w:p>
            <w:pPr>
              <w:pStyle w:val="TableContents"/>
              <w:bidi w:val="0"/>
              <w:spacing w:before="0" w:after="0"/>
              <w:jc w:val="center"/>
              <w:rPr/>
            </w:pPr>
            <w:r>
              <w:rPr/>
              <w:br/>
              <w:t>Convertible</w:t>
              <w:br/>
              <w:t>notes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t>2023</w:t>
              <w:br/>
              <w:t>Convertible</w:t>
              <w:br/>
              <w:t>notes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Warrant</w:t>
              <w:br/>
              <w:t>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January 1, 2023</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3,139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3,668</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Reinstatement of common stock warrants as preferred stock warrants</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convertible notes and related warrants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8,717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9,282</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rights offering</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142</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2023 convertible notes and related warrants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11,175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12,300</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505</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2,643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945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10,477</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single" w:sz="2" w:space="1" w:color="000000"/>
              </w:rPr>
            </w:pPr>
            <w:r>
              <w:rPr>
                <w:bdr w:val="single" w:sz="2" w:space="1" w:color="000000"/>
              </w:rPr>
              <w:t> </w:t>
            </w:r>
          </w:p>
        </w:tc>
        <w:tc>
          <w:tcPr>
            <w:tcW w:w="9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single" w:sz="2" w:space="1" w:color="000000"/>
              </w:rPr>
            </w:pPr>
            <w:r>
              <w:rPr>
                <w:bdr w:val="single" w:sz="2" w:space="1" w:color="000000"/>
              </w:rPr>
              <w:t> </w:t>
            </w:r>
          </w:p>
        </w:tc>
        <w:tc>
          <w:tcPr>
            <w:tcW w:w="96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1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14,641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18,064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4" w:type="dxa"/>
            <w:tcBorders/>
            <w:vAlign w:val="center"/>
          </w:tcPr>
          <w:p>
            <w:pPr>
              <w:pStyle w:val="TableContents"/>
              <w:bidi w:val="0"/>
              <w:spacing w:before="0" w:after="283"/>
              <w:jc w:val="right"/>
              <w:rPr/>
            </w:pPr>
            <w:r>
              <w:rPr/>
              <w:t>3,730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36,435</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2023 convertible note warrants and related warrants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105,902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4,816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110,718</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464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464</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1,301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8,721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5,701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15,723</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single" w:sz="2" w:space="1" w:color="000000"/>
              </w:rPr>
            </w:pPr>
            <w:r>
              <w:rPr>
                <w:bdr w:val="single" w:sz="2" w:space="1" w:color="000000"/>
              </w:rPr>
              <w:t> </w:t>
            </w:r>
          </w:p>
        </w:tc>
        <w:tc>
          <w:tcPr>
            <w:tcW w:w="9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single" w:sz="2" w:space="1" w:color="000000"/>
              </w:rPr>
            </w:pPr>
            <w:r>
              <w:rPr>
                <w:bdr w:val="single" w:sz="2" w:space="1" w:color="000000"/>
              </w:rPr>
              <w:t> </w:t>
            </w:r>
          </w:p>
        </w:tc>
        <w:tc>
          <w:tcPr>
            <w:tcW w:w="96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1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15,942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132,687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4" w:type="dxa"/>
            <w:tcBorders/>
            <w:vAlign w:val="center"/>
          </w:tcPr>
          <w:p>
            <w:pPr>
              <w:pStyle w:val="TableContents"/>
              <w:bidi w:val="0"/>
              <w:spacing w:before="0" w:after="283"/>
              <w:jc w:val="right"/>
              <w:rPr/>
            </w:pPr>
            <w:r>
              <w:rPr/>
              <w:t>14,711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163,340</w:t>
            </w:r>
          </w:p>
        </w:tc>
        <w:tc>
          <w:tcPr>
            <w:tcW w:w="75" w:type="dxa"/>
            <w:tcBorders/>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double" w:sz="6" w:space="1" w:color="000000"/>
              </w:rPr>
            </w:pPr>
            <w:r>
              <w:rPr>
                <w:bdr w:val="double" w:sz="6" w:space="1" w:color="000000"/>
              </w:rPr>
              <w:t> </w:t>
            </w:r>
          </w:p>
        </w:tc>
        <w:tc>
          <w:tcPr>
            <w:tcW w:w="9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double" w:sz="6" w:space="1" w:color="000000"/>
              </w:rPr>
            </w:pPr>
            <w:r>
              <w:rPr>
                <w:bdr w:val="double" w:sz="6" w:space="1" w:color="000000"/>
              </w:rPr>
              <w:t> </w:t>
            </w:r>
          </w:p>
        </w:tc>
        <w:tc>
          <w:tcPr>
            <w:tcW w:w="96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double" w:sz="6" w:space="1" w:color="000000"/>
              </w:rPr>
            </w:pPr>
            <w:r>
              <w:rPr>
                <w:bdr w:val="double" w:sz="6" w:space="1" w:color="000000"/>
              </w:rPr>
              <w:t> </w:t>
            </w:r>
          </w:p>
        </w:tc>
        <w:tc>
          <w:tcPr>
            <w:tcW w:w="71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convertible notes and related warrants were classified within level 3 of the fair value hierarchy because there was no active market for the liabilities or similar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 </w:t>
      </w:r>
    </w:p>
    <w:p>
      <w:pPr>
        <w:pStyle w:val="TextBody"/>
        <w:bidi w:val="0"/>
        <w:spacing w:before="240" w:after="0"/>
        <w:jc w:val="left"/>
        <w:rPr>
          <w:rFonts w:ascii="Times New Roman" w:hAnsi="Times New Roman"/>
          <w:sz w:val="20"/>
        </w:rPr>
      </w:pPr>
      <w:r>
        <w:rPr>
          <w:rFonts w:ascii="Times New Roman" w:hAnsi="Times New Roman"/>
          <w:sz w:val="20"/>
        </w:rPr>
        <w:t xml:space="preserve">Effective with the Merger on January 13, 2025, all outstanding convertible notes and outstanding warrant liabilities were converted (see Note 1). </w:t>
      </w:r>
    </w:p>
    <w:p>
      <w:pPr>
        <w:pStyle w:val="TextBody"/>
        <w:bidi w:val="0"/>
        <w:spacing w:before="360" w:after="0"/>
        <w:jc w:val="left"/>
        <w:rPr>
          <w:rFonts w:ascii="Times New Roman" w:hAnsi="Times New Roman"/>
          <w:b/>
          <w:sz w:val="20"/>
        </w:rPr>
      </w:pPr>
      <w:r>
        <w:rPr>
          <w:rFonts w:ascii="Times New Roman" w:hAnsi="Times New Roman"/>
          <w:b/>
          <w:sz w:val="20"/>
        </w:rPr>
        <w:t xml:space="preserve">Note 5. Supplementary Balance Sheet Information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consists of the following as of December 31, 2024 and 2023 (in thousands):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1430"/>
        <w:gridCol w:w="120"/>
        <w:gridCol w:w="140"/>
        <w:gridCol w:w="560"/>
        <w:gridCol w:w="60"/>
        <w:gridCol w:w="120"/>
        <w:gridCol w:w="140"/>
        <w:gridCol w:w="56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1,542</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4,964</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8,561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6,522</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consists of the following as of December 31, 2024 and 2023 (in thousands): </w:t>
      </w:r>
    </w:p>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3845"/>
        <w:gridCol w:w="120"/>
        <w:gridCol w:w="140"/>
        <w:gridCol w:w="680"/>
        <w:gridCol w:w="60"/>
        <w:gridCol w:w="120"/>
        <w:gridCol w:w="140"/>
        <w:gridCol w:w="560"/>
        <w:gridCol w:w="75"/>
      </w:tblGrid>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11,121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1,491</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Software licenses and maintenance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311</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paid to contract manufacturer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144</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441</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subscriptions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366</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14,837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2,836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consists of the following as of December 31, 2024 and 2023 (in thousands): </w:t>
      </w:r>
    </w:p>
    <w:p>
      <w:pPr>
        <w:pStyle w:val="TextBody"/>
        <w:bidi w:val="0"/>
        <w:spacing w:before="0" w:after="0"/>
        <w:jc w:val="left"/>
        <w:rPr/>
      </w:pPr>
      <w:r>
        <w:rPr/>
        <w:t> </w:t>
      </w:r>
    </w:p>
    <w:tbl>
      <w:tblPr>
        <w:tblW w:w="5165" w:type="dxa"/>
        <w:jc w:val="left"/>
        <w:tblInd w:w="0" w:type="dxa"/>
        <w:tblLayout w:type="fixed"/>
        <w:tblCellMar>
          <w:top w:w="0" w:type="dxa"/>
          <w:left w:w="0" w:type="dxa"/>
          <w:bottom w:w="0" w:type="dxa"/>
          <w:right w:w="0" w:type="dxa"/>
        </w:tblCellMar>
      </w:tblPr>
      <w:tblGrid>
        <w:gridCol w:w="2810"/>
        <w:gridCol w:w="120"/>
        <w:gridCol w:w="140"/>
        <w:gridCol w:w="755"/>
        <w:gridCol w:w="155"/>
        <w:gridCol w:w="120"/>
        <w:gridCol w:w="140"/>
        <w:gridCol w:w="755"/>
        <w:gridCol w:w="170"/>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13,108</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4,984</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346</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1,594</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16,832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20,058</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(18,503</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2,081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1,555</w:t>
            </w:r>
          </w:p>
        </w:tc>
        <w:tc>
          <w:tcPr>
            <w:tcW w:w="17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2024 and 2023, depreciation and amortization expense of property and equipment was $0.9 million and $2.0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consists of the following as of December 31, 2024 and 2023 (in thousands):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3395"/>
        <w:gridCol w:w="120"/>
        <w:gridCol w:w="140"/>
        <w:gridCol w:w="680"/>
        <w:gridCol w:w="60"/>
        <w:gridCol w:w="120"/>
        <w:gridCol w:w="140"/>
        <w:gridCol w:w="560"/>
        <w:gridCol w:w="75"/>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purchases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3,289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3,813</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2,617</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733</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301</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accrued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11,996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7,464</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2023, accrued loss on purchase commitments were $0.6 million and $3.6 million, respectively (see Note 12).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Accrued compensation consists of the following as of December 31, 2024 and 2023 (in thousands):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330"/>
        <w:gridCol w:w="120"/>
        <w:gridCol w:w="140"/>
        <w:gridCol w:w="560"/>
        <w:gridCol w:w="60"/>
        <w:gridCol w:w="120"/>
        <w:gridCol w:w="140"/>
        <w:gridCol w:w="560"/>
        <w:gridCol w:w="75"/>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Vacation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804</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724</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401K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215</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Salaries and Wages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113</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Statutory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accrued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1,938</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domestic and foreign components of loss from operations before income taxes for the years ended December 31, 2024 and 2023 (in thousands): </w:t>
      </w:r>
    </w:p>
    <w:p>
      <w:pPr>
        <w:pStyle w:val="TextBody"/>
        <w:bidi w:val="0"/>
        <w:spacing w:before="0" w:after="0"/>
        <w:jc w:val="left"/>
        <w:rPr/>
      </w:pPr>
      <w:r>
        <w:rPr/>
        <w:t> </w:t>
      </w:r>
    </w:p>
    <w:tbl>
      <w:tblPr>
        <w:tblW w:w="4850" w:type="dxa"/>
        <w:jc w:val="left"/>
        <w:tblInd w:w="0" w:type="dxa"/>
        <w:tblLayout w:type="fixed"/>
        <w:tblCellMar>
          <w:top w:w="0" w:type="dxa"/>
          <w:left w:w="0" w:type="dxa"/>
          <w:bottom w:w="0" w:type="dxa"/>
          <w:right w:w="0" w:type="dxa"/>
        </w:tblCellMar>
      </w:tblPr>
      <w:tblGrid>
        <w:gridCol w:w="2495"/>
        <w:gridCol w:w="120"/>
        <w:gridCol w:w="140"/>
        <w:gridCol w:w="755"/>
        <w:gridCol w:w="155"/>
        <w:gridCol w:w="120"/>
        <w:gridCol w:w="140"/>
        <w:gridCol w:w="755"/>
        <w:gridCol w:w="170"/>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(64,690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(89,525</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1,338</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loss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(62,147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(88,187</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components of the benefit from income taxes consists of the following for the years ended December 31, 2024 and 2023 (in thousands): </w:t>
      </w:r>
    </w:p>
    <w:p>
      <w:pPr>
        <w:pStyle w:val="TextBody"/>
        <w:bidi w:val="0"/>
        <w:spacing w:before="0" w:after="0"/>
        <w:jc w:val="left"/>
        <w:rPr/>
      </w:pPr>
      <w:r>
        <w:rPr/>
        <w:t> </w:t>
      </w:r>
    </w:p>
    <w:tbl>
      <w:tblPr>
        <w:tblW w:w="4100" w:type="dxa"/>
        <w:jc w:val="left"/>
        <w:tblInd w:w="0" w:type="dxa"/>
        <w:tblLayout w:type="fixed"/>
        <w:tblCellMar>
          <w:top w:w="0" w:type="dxa"/>
          <w:left w:w="0" w:type="dxa"/>
          <w:bottom w:w="0" w:type="dxa"/>
          <w:right w:w="0" w:type="dxa"/>
        </w:tblCellMar>
      </w:tblPr>
      <w:tblGrid>
        <w:gridCol w:w="2165"/>
        <w:gridCol w:w="120"/>
        <w:gridCol w:w="140"/>
        <w:gridCol w:w="635"/>
        <w:gridCol w:w="155"/>
        <w:gridCol w:w="120"/>
        <w:gridCol w:w="140"/>
        <w:gridCol w:w="455"/>
        <w:gridCol w:w="17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(492</w:t>
            </w:r>
          </w:p>
        </w:tc>
        <w:tc>
          <w:tcPr>
            <w:tcW w:w="17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(491</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States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(1,124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(107</w:t>
            </w:r>
          </w:p>
        </w:tc>
        <w:tc>
          <w:tcPr>
            <w:tcW w:w="17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(598</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Income tax expense differs from the amount of income tax determined by applying the U.S. federal statutory income tax rate of 21% to pretax loss as a result of the following differences for the years ended December 31, 2024 and 2023 ($ in thousands):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3845"/>
        <w:gridCol w:w="120"/>
        <w:gridCol w:w="140"/>
        <w:gridCol w:w="755"/>
        <w:gridCol w:w="155"/>
        <w:gridCol w:w="120"/>
        <w:gridCol w:w="83"/>
        <w:gridCol w:w="717"/>
        <w:gridCol w:w="275"/>
        <w:gridCol w:w="60"/>
        <w:gridCol w:w="140"/>
        <w:gridCol w:w="755"/>
        <w:gridCol w:w="155"/>
        <w:gridCol w:w="120"/>
        <w:gridCol w:w="96"/>
        <w:gridCol w:w="704"/>
        <w:gridCol w:w="290"/>
      </w:tblGrid>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9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Pretax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(62,147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(88,187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 tax at statutory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(13,049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(18,522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21.0</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 taxes, net of federal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remeasurement of warrant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equity financing charge (permanent difference)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-8.5</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permanent differences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-4.1</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Return to accrual adjustment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tax rate differential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Uncertain tax positions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-9.0</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bdr w:val="single" w:sz="2" w:space="1" w:color="000000"/>
              </w:rPr>
            </w:pPr>
            <w:r>
              <w:rPr>
                <w:bdr w:val="single" w:sz="2" w:space="1" w:color="000000"/>
              </w:rPr>
              <w:t> </w:t>
            </w:r>
          </w:p>
        </w:tc>
        <w:tc>
          <w:tcPr>
            <w:tcW w:w="717"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single" w:sz="2" w:space="1" w:color="000000"/>
              </w:rPr>
            </w:pPr>
            <w:r>
              <w:rPr>
                <w:bdr w:val="single" w:sz="2" w:space="1" w:color="000000"/>
              </w:rPr>
              <w:t> </w:t>
            </w:r>
          </w:p>
        </w:tc>
        <w:tc>
          <w:tcPr>
            <w:tcW w:w="704"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bdr w:val="double" w:sz="6" w:space="1" w:color="000000"/>
              </w:rPr>
            </w:pPr>
            <w:r>
              <w:rPr>
                <w:bdr w:val="double" w:sz="6" w:space="1" w:color="000000"/>
              </w:rPr>
              <w:t> </w:t>
            </w:r>
          </w:p>
        </w:tc>
        <w:tc>
          <w:tcPr>
            <w:tcW w:w="717"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double" w:sz="6" w:space="1" w:color="000000"/>
              </w:rPr>
            </w:pPr>
            <w:r>
              <w:rPr>
                <w:bdr w:val="double" w:sz="6" w:space="1" w:color="000000"/>
              </w:rPr>
              <w:t> </w:t>
            </w:r>
          </w:p>
        </w:tc>
        <w:tc>
          <w:tcPr>
            <w:tcW w:w="704"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the Company’s deferred tax assets and liabilities are as follows as of December 31, 2024 and 2023 (in thousands): </w:t>
      </w:r>
    </w:p>
    <w:p>
      <w:pPr>
        <w:pStyle w:val="TextBody"/>
        <w:bidi w:val="0"/>
        <w:spacing w:before="0" w:after="0"/>
        <w:jc w:val="left"/>
        <w:rPr/>
      </w:pPr>
      <w:r>
        <w:rPr/>
        <w:t> </w:t>
      </w:r>
    </w:p>
    <w:tbl>
      <w:tblPr>
        <w:tblW w:w="5330" w:type="dxa"/>
        <w:jc w:val="left"/>
        <w:tblInd w:w="0" w:type="dxa"/>
        <w:tblLayout w:type="fixed"/>
        <w:tblCellMar>
          <w:top w:w="0" w:type="dxa"/>
          <w:left w:w="0" w:type="dxa"/>
          <w:bottom w:w="0" w:type="dxa"/>
          <w:right w:w="0" w:type="dxa"/>
        </w:tblCellMar>
      </w:tblPr>
      <w:tblGrid>
        <w:gridCol w:w="2975"/>
        <w:gridCol w:w="120"/>
        <w:gridCol w:w="140"/>
        <w:gridCol w:w="755"/>
        <w:gridCol w:w="155"/>
        <w:gridCol w:w="120"/>
        <w:gridCol w:w="140"/>
        <w:gridCol w:w="755"/>
        <w:gridCol w:w="170"/>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55,739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45,600</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credit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4,989</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reserves and 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1,105</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736</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Capitalized R&amp;D Sec 174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13,423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9,533</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78,060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62,077</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(75,826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(60,937</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1,140</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(107</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2,157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1,033</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management does not believe it is more likely than not that the net deferred tax assets will be realized. Accordingly, a full valuation allowance has been established in the U.S. and the Philippines. As of December 31, 2024 and 2023, the valuation allowance was $75.8 million and $60.9 million, respectively. The increase of $14.9 million in the Company’s valuation allowance as of December 31, 2024 compared to the prior year was primarily due to an increase in deferred tax assets arising from capitalized research and experimental expenditures and net operating losses. </w:t>
      </w:r>
    </w:p>
    <w:p>
      <w:pPr>
        <w:pStyle w:val="TextBody"/>
        <w:bidi w:val="0"/>
        <w:spacing w:before="240" w:after="0"/>
        <w:jc w:val="left"/>
        <w:rPr>
          <w:rFonts w:ascii="Times New Roman" w:hAnsi="Times New Roman"/>
          <w:sz w:val="20"/>
        </w:rPr>
      </w:pPr>
      <w:r>
        <w:rPr>
          <w:rFonts w:ascii="Times New Roman" w:hAnsi="Times New Roman"/>
          <w:sz w:val="20"/>
        </w:rPr>
        <w:t xml:space="preserve">At December 31, 2024, the Company had U.S. federal net operating loss (“NOL”) carryforwards of $215.5 million and U.S. state NOL carryforwards of $149.9 million. The U.S. federal NOL carryforwards will begin to expire in the year 2030 and the state NOL carryforwards will also begin to expire in the year 2030. As of December 31, 2024, the Company had federal tax credit carryforwards of $5.7 million available to offset future U.S. federal income taxes payable, which will begin to expire in the year 2035. As of December 31, 2024, the Company had state tax credit carryforwards of $4.3 million available to offset future state income taxes payable and foreign tax credits of $97.2 million available to offset future India income taxes payable.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ability to utilize the net operating loss and tax credit carryforwards in the future may be subject to substantial restriction in the event of past or future ownership changes as defined in Section 382 of the Internal Revenue Code and similar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It is the Company’s policy to include penalties and interest expense related to income taxes as a component of income tax expense. Management determined that no accrual for interest and penalties was required as of December 31, 2024 and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It is the Company’s policy to indefinitely reinvest undistributed earnings of their foreign subsidiaries and hence, no deferred tax liability for withholding taxes on undistributed earnings is required.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Uncertain Tax Positions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applied FASB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740-10-50,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Uncertainty in Income Tax</w:t>
      </w:r>
    </w:p>
    <w:p>
      <w:pPr>
        <w:pStyle w:val="TextBody"/>
        <w:bidi w:val="0"/>
        <w:spacing w:before="120" w:after="0"/>
        <w:jc w:val="left"/>
        <w:rPr>
          <w:rFonts w:ascii="Times New Roman" w:hAnsi="Times New Roman"/>
          <w:sz w:val="20"/>
        </w:rPr>
      </w:pPr>
      <w:r>
        <w:rPr>
          <w:rFonts w:ascii="Times New Roman" w:hAnsi="Times New Roman"/>
          <w:sz w:val="20"/>
        </w:rPr>
        <w:t xml:space="preserve">, which prescribes a recognition threshold and measurement attribute for the financial statement recognition and measurement of a tax position taken or expected to be taken in a tax return.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unrecognized tax benefits of approximately $5.0 million and $4.3 million as of December 31, 2024 and 2023, respectively.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740-10</w:t>
      </w:r>
    </w:p>
    <w:p>
      <w:pPr>
        <w:pStyle w:val="TextBody"/>
        <w:bidi w:val="0"/>
        <w:spacing w:before="240" w:after="0"/>
        <w:jc w:val="left"/>
        <w:rPr>
          <w:rFonts w:ascii="Times New Roman" w:hAnsi="Times New Roman"/>
          <w:sz w:val="20"/>
        </w:rPr>
      </w:pPr>
      <w:r>
        <w:rPr>
          <w:rFonts w:ascii="Times New Roman" w:hAnsi="Times New Roman"/>
          <w:sz w:val="20"/>
        </w:rPr>
        <w:t xml:space="preserve">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beginning and ending unrecognized tax benefits amounts is as follows as of December 31, 2024 and 2023 (in thousands):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5195"/>
        <w:gridCol w:w="120"/>
        <w:gridCol w:w="140"/>
        <w:gridCol w:w="560"/>
        <w:gridCol w:w="60"/>
        <w:gridCol w:w="120"/>
        <w:gridCol w:w="140"/>
        <w:gridCol w:w="560"/>
        <w:gridCol w:w="75"/>
      </w:tblGrid>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benefits,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4,283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3,811</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taken related to prior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taken related to current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472</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benefits,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4,283</w:t>
            </w:r>
          </w:p>
        </w:tc>
        <w:tc>
          <w:tcPr>
            <w:tcW w:w="7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Convertible Notes and Demand Notes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 xml:space="preserve">2022 Convertible Securities: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Pay-to-Play</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in connection with the Company’s 2022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120" w:after="0"/>
        <w:jc w:val="left"/>
        <w:rPr>
          <w:rFonts w:ascii="Times New Roman" w:hAnsi="Times New Roman"/>
          <w:sz w:val="20"/>
        </w:rPr>
      </w:pPr>
      <w:r>
        <w:rPr>
          <w:rFonts w:ascii="Times New Roman" w:hAnsi="Times New Roman"/>
          <w:sz w:val="20"/>
        </w:rPr>
        <w:t>(“P2P”)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w:t>
      </w:r>
    </w:p>
    <w:p>
      <w:pPr>
        <w:pStyle w:val="TextBody"/>
        <w:bidi w:val="0"/>
        <w:spacing w:before="120" w:after="0"/>
        <w:jc w:val="left"/>
        <w:rPr>
          <w:rFonts w:ascii="Times New Roman" w:hAnsi="Times New Roman"/>
          <w:spacing w:val="0"/>
          <w:sz w:val="20"/>
        </w:rPr>
      </w:pPr>
      <w:r>
        <w:rPr>
          <w:rFonts w:ascii="Times New Roman" w:hAnsi="Times New Roman"/>
          <w:spacing w:val="0"/>
          <w:sz w:val="20"/>
        </w:rPr>
        <w:t>is</w:t>
      </w:r>
    </w:p>
    <w:p>
      <w:pPr>
        <w:pStyle w:val="TextBody"/>
        <w:bidi w:val="0"/>
        <w:spacing w:before="120" w:after="0"/>
        <w:jc w:val="left"/>
        <w:rPr>
          <w:rFonts w:ascii="Times New Roman" w:hAnsi="Times New Roman"/>
          <w:sz w:val="20"/>
        </w:rPr>
      </w:pPr>
      <w:r>
        <w:rPr>
          <w:rFonts w:ascii="Times New Roman" w:hAnsi="Times New Roman"/>
          <w:sz w:val="20"/>
        </w:rPr>
        <w:t xml:space="preserve">sory notes. The P2P Notes have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24-month</w:t>
      </w:r>
    </w:p>
    <w:p>
      <w:pPr>
        <w:pStyle w:val="TextBody"/>
        <w:bidi w:val="0"/>
        <w:spacing w:before="120" w:after="0"/>
        <w:jc w:val="left"/>
        <w:rPr>
          <w:rFonts w:ascii="Times New Roman" w:hAnsi="Times New Roman"/>
          <w:sz w:val="20"/>
        </w:rPr>
      </w:pPr>
      <w:r>
        <w:rPr>
          <w:rFonts w:ascii="Times New Roman" w:hAnsi="Times New Roman"/>
          <w:sz w:val="20"/>
        </w:rPr>
        <w:t xml:space="preserve">term from the date of the 2022 P2P NPA which is </w:t>
      </w:r>
    </w:p>
    <w:p>
      <w:pPr>
        <w:pStyle w:val="TextBody"/>
        <w:bidi w:val="0"/>
        <w:spacing w:before="120" w:after="0"/>
        <w:jc w:val="left"/>
        <w:rPr>
          <w:rFonts w:ascii="Times New Roman" w:hAnsi="Times New Roman"/>
          <w:sz w:val="20"/>
        </w:rPr>
      </w:pPr>
      <w:r>
        <w:rPr>
          <w:rFonts w:ascii="Times New Roman" w:hAnsi="Times New Roman"/>
          <w:sz w:val="20"/>
        </w:rPr>
        <w:t>December 9, 2024</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2022 P2P NPA provides that the P2P Notes may be converted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or repayment has not occurred wherein the Next Equity Financing is defined as the next sale of Company equity securities, including warrants, other than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 xml:space="preserve">Preferred stock or warrants to purchase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preferred stock, following the date of the 2022 P2P NPA for the purpose of raising capital with gross proceeds of at least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5</w:t>
            </w:r>
          </w:p>
          <w:p>
            <w:pPr>
              <w:pStyle w:val="TableContents"/>
              <w:bidi w:val="0"/>
              <w:spacing w:before="0" w:after="0"/>
              <w:jc w:val="left"/>
              <w:rPr/>
            </w:pPr>
            <w:r>
              <w:rPr/>
              <w:t> </w:t>
            </w:r>
            <w:r>
              <w:rPr>
                <w:rFonts w:ascii="Times New Roman" w:hAnsi="Times New Roman"/>
                <w:sz w:val="20"/>
              </w:rPr>
              <w:t xml:space="preserve">million excluding the P2P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2024 and 2023, the Company recognized a change in fair value from the P2P Notes of approximately $1.3 million and $2.6 million, respectively (see Notes 4 and 13).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z w:val="20"/>
        </w:rPr>
      </w:pPr>
      <w:r>
        <w:rPr>
          <w:rFonts w:ascii="Times New Roman" w:hAnsi="Times New Roman"/>
          <w:sz w:val="20"/>
        </w:rPr>
        <w:t xml:space="preserve">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z w:val="20"/>
        </w:rPr>
      </w:pPr>
      <w:r>
        <w:rPr>
          <w:rFonts w:ascii="Times New Roman" w:hAnsi="Times New Roman"/>
          <w:sz w:val="20"/>
        </w:rPr>
        <w:t xml:space="preserve">contribution (see Note 10). Additionally, investors in the P2P Notes also received warrants (the “P2P Warrants”) whose total exercise price is determined based on the timing of investment as well as the level of investor participation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vis-à-vis</w:t>
      </w:r>
    </w:p>
    <w:p>
      <w:pPr>
        <w:pStyle w:val="TextBody"/>
        <w:bidi w:val="0"/>
        <w:spacing w:before="240" w:after="0"/>
        <w:jc w:val="left"/>
        <w:rPr>
          <w:rFonts w:ascii="Times New Roman" w:hAnsi="Times New Roman"/>
          <w:sz w:val="20"/>
        </w:rPr>
      </w:pPr>
      <w:r>
        <w:rPr>
          <w:rFonts w:ascii="Times New Roman" w:hAnsi="Times New Roman"/>
          <w:sz w:val="20"/>
        </w:rPr>
        <w:t xml:space="preserve">each investor’s designated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z w:val="20"/>
        </w:rPr>
      </w:pPr>
      <w:r>
        <w:rPr>
          <w:rFonts w:ascii="Times New Roman" w:hAnsi="Times New Roman"/>
          <w:sz w:val="20"/>
        </w:rPr>
        <w:t xml:space="preserve">portion (see Note 8).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$61,000, was recognized as a component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240" w:after="0"/>
        <w:jc w:val="left"/>
        <w:rPr>
          <w:rFonts w:ascii="Times New Roman" w:hAnsi="Times New Roman"/>
          <w:sz w:val="20"/>
        </w:rPr>
      </w:pPr>
      <w:r>
        <w:rPr>
          <w:rFonts w:ascii="Times New Roman" w:hAnsi="Times New Roman"/>
          <w:sz w:val="20"/>
        </w:rPr>
        <w:t xml:space="preserve">financing charge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w:t>
      </w:r>
    </w:p>
    <w:p>
      <w:pPr>
        <w:pStyle w:val="TextBody"/>
        <w:bidi w:val="0"/>
        <w:spacing w:before="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0" w:after="0"/>
        <w:jc w:val="left"/>
        <w:rPr>
          <w:rFonts w:ascii="Times New Roman" w:hAnsi="Times New Roman"/>
          <w:sz w:val="20"/>
        </w:rPr>
      </w:pPr>
      <w:r>
        <w:rPr>
          <w:rFonts w:ascii="Times New Roman" w:hAnsi="Times New Roman"/>
          <w:sz w:val="20"/>
        </w:rPr>
        <w:t xml:space="preserve">financing charge in the accompanying consolidated statements of operations. During the year ended December 31, 2024, the Company did not enter into any Exchange Agreements with eligible common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as provided by the terms of the P2P notes, the outstanding P2P Notes were converted, at the option of the holders, to common stock upon the execution of the Merger (see Note 1).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2023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 </w:t>
      </w:r>
    </w:p>
    <w:p>
      <w:pPr>
        <w:pStyle w:val="TextBody"/>
        <w:bidi w:val="0"/>
        <w:spacing w:before="240" w:after="0"/>
        <w:jc w:val="left"/>
        <w:rPr>
          <w:rFonts w:ascii="Times New Roman" w:hAnsi="Times New Roman"/>
          <w:sz w:val="20"/>
        </w:rPr>
      </w:pPr>
      <w:r>
        <w:rPr>
          <w:rFonts w:ascii="Times New Roman" w:hAnsi="Times New Roman"/>
          <w:sz w:val="20"/>
        </w:rPr>
        <w:t xml:space="preserve">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z w:val="20"/>
        </w:rPr>
      </w:pPr>
      <w:r>
        <w:rPr>
          <w:rFonts w:ascii="Times New Roman" w:hAnsi="Times New Roman"/>
          <w:sz w:val="20"/>
        </w:rPr>
        <w:t xml:space="preserve">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2023 NPA provides that the notes may be converted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SPAC conversion or repayment of the outstanding principal and unpaid accrued interest has not occurred on or before the maturity date (December 31, 2025),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the existing Certificate of Incorporation), the 2023 Convertible Notes shall be repaid as follows at the closing of the Corporate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on or before July 3, 2023, in respect of a Corporate Transaction that occurs on or before July 3, 2024, an amount equal to the then accrued but unpaid interest plus three (3) times the then outstanding principal.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on or before July 3, 2023, in respect of a Corporate Transaction that occurs after July 3, 2024, an amount equal to the then accrued but unpaid interest plus five (5) times the then outstanding principal.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after July 3, 2023, in respect of any such Corporate Transaction, an amount equal to the then accrued but unpaid interest plus one and a half (1.5) times the then outstanding principal.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2023 Convertible Notes also received warrants to purchase the same type of equity shares into which the 2023 Convertible Notes are converted (see Notes 8 and 13). </w:t>
      </w:r>
    </w:p>
    <w:p>
      <w:pPr>
        <w:pStyle w:val="TextBody"/>
        <w:bidi w:val="0"/>
        <w:spacing w:before="240" w:after="0"/>
        <w:jc w:val="left"/>
        <w:rPr>
          <w:rFonts w:ascii="Times New Roman" w:hAnsi="Times New Roman"/>
          <w:sz w:val="20"/>
        </w:rPr>
      </w:pPr>
      <w:r>
        <w:rPr>
          <w:rFonts w:ascii="Times New Roman" w:hAnsi="Times New Roman"/>
          <w:sz w:val="20"/>
        </w:rPr>
        <w:t xml:space="preserve">Investors in these secured convertible notes also received warrants to purchase equity shares of the Company.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2024 and 2023, the Company recognized a change in fair value of approximately $8.7 million and $6.9 million, respectively.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One investor who purchased a 2023 Convertible Note also received an RSU grant for a total of 6,000,000 RSUs (see Note 13) which originally vested in full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one-year</w:t>
      </w:r>
    </w:p>
    <w:p>
      <w:pPr>
        <w:pStyle w:val="TextBody"/>
        <w:bidi w:val="0"/>
        <w:spacing w:before="240" w:after="0"/>
        <w:jc w:val="left"/>
        <w:rPr>
          <w:rFonts w:ascii="Times New Roman" w:hAnsi="Times New Roman"/>
          <w:sz w:val="20"/>
        </w:rPr>
      </w:pPr>
      <w:r>
        <w:rPr>
          <w:rFonts w:ascii="Times New Roman" w:hAnsi="Times New Roman"/>
          <w:sz w:val="20"/>
        </w:rPr>
        <w:t xml:space="preserve">anniversary of the grant date with such vesting subject to full acceleration upon the consummation of an IPO, SPAC Transaction, Direct Listing or Sale Event, as defined. The RSUs were valued on the date of issuance equal to the fair value of common stock approximating $2.6 million and accounted for as Debt Financing Charge on the 2023 Convertible Note. On December 22, 2023, the Company modified the RSU terms to immediately accelerate the vesting of the 6,000,000 awards outstanding and issue 6,000,000 shares of common stock (see Note 13). </w:t>
      </w:r>
    </w:p>
    <w:p>
      <w:pPr>
        <w:pStyle w:val="TextBody"/>
        <w:bidi w:val="0"/>
        <w:spacing w:before="240" w:after="0"/>
        <w:jc w:val="left"/>
        <w:rPr>
          <w:rFonts w:ascii="Times New Roman" w:hAnsi="Times New Roman"/>
          <w:sz w:val="20"/>
        </w:rPr>
      </w:pPr>
      <w:r>
        <w:rPr>
          <w:rFonts w:ascii="Times New Roman" w:hAnsi="Times New Roman"/>
          <w:sz w:val="20"/>
        </w:rPr>
        <w:t xml:space="preserve">The scheduled maturities of the Company’s outstanding convertible notes as of December 31, 2024 is as follows (in thousands): </w:t>
      </w:r>
    </w:p>
    <w:p>
      <w:pPr>
        <w:pStyle w:val="TextBody"/>
        <w:bidi w:val="0"/>
        <w:spacing w:before="0" w:after="0"/>
        <w:jc w:val="left"/>
        <w:rPr/>
      </w:pPr>
      <w:r>
        <w:rPr/>
        <w:t> </w:t>
      </w:r>
    </w:p>
    <w:tbl>
      <w:tblPr>
        <w:tblW w:w="3950" w:type="dxa"/>
        <w:jc w:val="left"/>
        <w:tblInd w:w="0" w:type="dxa"/>
        <w:tblLayout w:type="fixed"/>
        <w:tblCellMar>
          <w:top w:w="0" w:type="dxa"/>
          <w:left w:w="0" w:type="dxa"/>
          <w:bottom w:w="0" w:type="dxa"/>
          <w:right w:w="0" w:type="dxa"/>
        </w:tblCellMar>
      </w:tblPr>
      <w:tblGrid>
        <w:gridCol w:w="2645"/>
        <w:gridCol w:w="120"/>
        <w:gridCol w:w="140"/>
        <w:gridCol w:w="875"/>
        <w:gridCol w:w="170"/>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Year ending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148,629</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(148,629</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the Closing Date, as provided by the terms of the 2023 Convertible Note Agreement, the outstanding 2023 Convertible Notes were converted, at the option of the holders, to common stock upon the execution of the Merger (see Note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Demand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 13). In April 2024, the Company repaid the total outstanding principal and interest of $5.0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Note 8. Warrant Liabilities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P2P Warrants: </w:t>
      </w:r>
    </w:p>
    <w:p>
      <w:pPr>
        <w:pStyle w:val="TextBody"/>
        <w:bidi w:val="0"/>
        <w:spacing w:before="120" w:after="0"/>
        <w:jc w:val="left"/>
        <w:rPr>
          <w:rFonts w:ascii="Times New Roman" w:hAnsi="Times New Roman"/>
          <w:sz w:val="20"/>
        </w:rPr>
      </w:pPr>
      <w:r>
        <w:rPr>
          <w:rFonts w:ascii="Times New Roman" w:hAnsi="Times New Roman"/>
          <w:sz w:val="20"/>
        </w:rPr>
        <w:t xml:space="preserve">Certain investors who invested in the P2P Notes (see Notes 7 and 13) also received P2P Warrants for no additional consideration resulting in the allocation of proceeds between the P2P Notes and P2P Warrants (see Notes 7 and 13).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 </w:t>
      </w:r>
    </w:p>
    <w:p>
      <w:pPr>
        <w:pStyle w:val="TextBody"/>
        <w:bidi w:val="0"/>
        <w:spacing w:before="240" w:after="0"/>
        <w:jc w:val="left"/>
        <w:rPr>
          <w:rFonts w:ascii="Times New Roman" w:hAnsi="Times New Roman"/>
          <w:sz w:val="20"/>
        </w:rPr>
      </w:pPr>
      <w:r>
        <w:rPr>
          <w:rFonts w:ascii="Times New Roman" w:hAnsi="Times New Roman"/>
          <w:sz w:val="20"/>
        </w:rPr>
        <w:t xml:space="preserve">During 2023, in connection with the additional issuance of P2P notes, 336,950 Series D Shadow Preferred Stock warrants were reinstated at a fair value of approximately $61,000 (see Note 7) and reclassified from equity to warrant liability. </w:t>
      </w:r>
    </w:p>
    <w:p>
      <w:pPr>
        <w:pStyle w:val="TextBody"/>
        <w:bidi w:val="0"/>
        <w:spacing w:before="240" w:after="0"/>
        <w:jc w:val="left"/>
        <w:rPr>
          <w:rFonts w:ascii="Times New Roman" w:hAnsi="Times New Roman"/>
          <w:sz w:val="20"/>
        </w:rPr>
      </w:pPr>
      <w:r>
        <w:rPr>
          <w:rFonts w:ascii="Times New Roman" w:hAnsi="Times New Roman"/>
          <w:sz w:val="20"/>
        </w:rPr>
        <w:t xml:space="preserve">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S-1</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 </w:t>
      </w:r>
    </w:p>
    <w:p>
      <w:pPr>
        <w:pStyle w:val="TextBody"/>
        <w:bidi w:val="0"/>
        <w:spacing w:before="240" w:after="0"/>
        <w:jc w:val="left"/>
        <w:rPr>
          <w:rFonts w:ascii="Times New Roman" w:hAnsi="Times New Roman"/>
          <w:sz w:val="20"/>
        </w:rPr>
      </w:pPr>
      <w:r>
        <w:rPr>
          <w:rFonts w:ascii="Times New Roman" w:hAnsi="Times New Roman"/>
          <w:sz w:val="20"/>
        </w:rPr>
        <w:t xml:space="preserve">Effective February 28, 2024 the Series D Shadow Preferred Stock warrants expired unexercised. </w:t>
      </w:r>
    </w:p>
    <w:p>
      <w:pPr>
        <w:pStyle w:val="TextBody"/>
        <w:bidi w:val="0"/>
        <w:spacing w:before="240" w:after="0"/>
        <w:jc w:val="left"/>
        <w:rPr>
          <w:rFonts w:ascii="Times New Roman" w:hAnsi="Times New Roman"/>
          <w:sz w:val="20"/>
        </w:rPr>
      </w:pPr>
      <w:r>
        <w:rPr>
          <w:rFonts w:ascii="Times New Roman" w:hAnsi="Times New Roman"/>
          <w:sz w:val="20"/>
        </w:rPr>
        <w:t xml:space="preserve">As provided by the terms of the P2P notes, the notes remained outstanding and were converted, at the option of the holders, to common stock upon the Closing Date (see Note 1).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2023 Convertible Note Warrants: </w:t>
      </w:r>
    </w:p>
    <w:p>
      <w:pPr>
        <w:pStyle w:val="TextBody"/>
        <w:bidi w:val="0"/>
        <w:spacing w:before="120" w:after="0"/>
        <w:jc w:val="left"/>
        <w:rPr>
          <w:rFonts w:ascii="Times New Roman" w:hAnsi="Times New Roman"/>
          <w:sz w:val="20"/>
        </w:rPr>
      </w:pPr>
      <w:r>
        <w:rPr>
          <w:rFonts w:ascii="Times New Roman" w:hAnsi="Times New Roman"/>
          <w:sz w:val="20"/>
        </w:rPr>
        <w:t xml:space="preserve">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April 2024 amendment,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a per share price equal to the value of the consideration payable to the holder of each share of common stock of the Company. The Exercise price is defined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Next Equity Financing Conversion, the per share issue price by new money investors for the equity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Maturity Conversion, a per share price mutually agreed upon by the Company and the Requisite Noteholders;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SPAC Conversion, $11.50 per share and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Corporate Transaction, the Corporate Transaction Exercise Price, as defined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expiration date of the warrants was changed from 10 years to 5 years from the original date of issuance. </w:t>
      </w:r>
    </w:p>
    <w:p>
      <w:pPr>
        <w:pStyle w:val="TextBody"/>
        <w:bidi w:val="0"/>
        <w:spacing w:before="240" w:after="0"/>
        <w:jc w:val="left"/>
        <w:rPr>
          <w:rFonts w:ascii="Times New Roman" w:hAnsi="Times New Roman"/>
          <w:sz w:val="20"/>
        </w:rPr>
      </w:pPr>
      <w:r>
        <w:rPr>
          <w:rFonts w:ascii="Times New Roman" w:hAnsi="Times New Roman"/>
          <w:sz w:val="20"/>
        </w:rPr>
        <w:t xml:space="preserve">The 2023 Convertible Note Warrants are legally detachable and separately exercisable from the 2023 Convertible Notes. The Company accounts for the 2023 Convertible Note Warrants as liabilities measured at fair value with subsequent changes in fair value recognized in earnings. </w:t>
      </w:r>
    </w:p>
    <w:p>
      <w:pPr>
        <w:pStyle w:val="TextBody"/>
        <w:bidi w:val="0"/>
        <w:spacing w:before="240" w:after="0"/>
        <w:jc w:val="left"/>
        <w:rPr>
          <w:rFonts w:ascii="Times New Roman" w:hAnsi="Times New Roman"/>
          <w:sz w:val="20"/>
        </w:rPr>
      </w:pPr>
      <w:r>
        <w:rPr>
          <w:rFonts w:ascii="Times New Roman" w:hAnsi="Times New Roman"/>
          <w:sz w:val="20"/>
        </w:rPr>
        <w:t xml:space="preserve">As provided by the terms of the 2023 Convertible Notes, the notes remained outstanding and were converted, at the option of the holders, to common stock upon the Closing Date (see Note 1).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Other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the December 22, 2023 Merger Agreement, the Company entered into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z w:val="20"/>
        </w:rPr>
      </w:pPr>
      <w:r>
        <w:rPr>
          <w:rFonts w:ascii="Times New Roman" w:hAnsi="Times New Roman"/>
          <w:sz w:val="20"/>
        </w:rPr>
        <w:t xml:space="preserve">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z w:val="20"/>
        </w:rPr>
      </w:pPr>
      <w:r>
        <w:rPr>
          <w:rFonts w:ascii="Times New Roman" w:hAnsi="Times New Roman"/>
          <w:sz w:val="20"/>
        </w:rPr>
        <w:t xml:space="preserve">Warrant is 6,833,333, wherein a portion of this total share amount is subject to reduction, depending on the Available Acquiror Cash, as defined in the Merger Agreement, at closing. Pursuant to the terms of the Burkhan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z w:val="20"/>
        </w:rPr>
      </w:pPr>
      <w:r>
        <w:rPr>
          <w:rFonts w:ascii="Times New Roman" w:hAnsi="Times New Roman"/>
          <w:sz w:val="20"/>
        </w:rPr>
        <w:t xml:space="preserve">Warrant, in no case would the holder receive less than 2,500,000 shares of BurTech Class A common stock at closing.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All of the Company’s warrants exercisable into preferred stock are classified as liabilities requiring ongoing remeasurement at fair value. </w:t>
      </w:r>
    </w:p>
    <w:p>
      <w:pPr>
        <w:pStyle w:val="TextBody"/>
        <w:bidi w:val="0"/>
        <w:spacing w:before="240" w:after="0"/>
        <w:jc w:val="left"/>
        <w:rPr>
          <w:rFonts w:ascii="Times New Roman" w:hAnsi="Times New Roman"/>
          <w:sz w:val="20"/>
        </w:rPr>
      </w:pPr>
      <w:r>
        <w:rPr>
          <w:rFonts w:ascii="Times New Roman" w:hAnsi="Times New Roman"/>
          <w:sz w:val="20"/>
        </w:rPr>
        <w:t xml:space="preserve">As provided by the terms of the P2P notes, the notes remained outstanding and were converted, at the option of the holders, to common stock upon the execution of the Merger (see Note 1). </w:t>
      </w:r>
    </w:p>
    <w:p>
      <w:pPr>
        <w:pStyle w:val="TextBody"/>
        <w:bidi w:val="0"/>
        <w:spacing w:before="0" w:after="0"/>
        <w:jc w:val="left"/>
        <w:rPr/>
      </w:pPr>
      <w:r>
        <w:rPr/>
        <w:t> </w:t>
      </w:r>
    </w:p>
    <w:tbl>
      <w:tblPr>
        <w:tblW w:w="8583" w:type="dxa"/>
        <w:jc w:val="left"/>
        <w:tblInd w:w="0" w:type="dxa"/>
        <w:tblLayout w:type="fixed"/>
        <w:tblCellMar>
          <w:top w:w="0" w:type="dxa"/>
          <w:left w:w="0" w:type="dxa"/>
          <w:bottom w:w="0" w:type="dxa"/>
          <w:right w:w="0" w:type="dxa"/>
        </w:tblCellMar>
      </w:tblPr>
      <w:tblGrid>
        <w:gridCol w:w="2915"/>
        <w:gridCol w:w="120"/>
        <w:gridCol w:w="140"/>
        <w:gridCol w:w="740"/>
        <w:gridCol w:w="155"/>
        <w:gridCol w:w="60"/>
        <w:gridCol w:w="67"/>
        <w:gridCol w:w="898"/>
        <w:gridCol w:w="174"/>
        <w:gridCol w:w="67"/>
        <w:gridCol w:w="67"/>
        <w:gridCol w:w="1100"/>
        <w:gridCol w:w="155"/>
        <w:gridCol w:w="60"/>
        <w:gridCol w:w="147"/>
        <w:gridCol w:w="716"/>
        <w:gridCol w:w="63"/>
        <w:gridCol w:w="126"/>
        <w:gridCol w:w="147"/>
        <w:gridCol w:w="591"/>
        <w:gridCol w:w="75"/>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warrant</w:t>
              <w:br/>
              <w:t>shares at December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Approximate fair</w:t>
              <w:br/>
              <w:t>value at</w:t>
              <w:br/>
              <w:t>December 31,</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b/>
                <w:spacing w:val="0"/>
              </w:rPr>
            </w:pPr>
            <w:r>
              <w:rPr>
                <w:b/>
                <w:spacing w:val="0"/>
              </w:rPr>
              <w:t>Warrant Type:</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Exercise</w:t>
            </w:r>
          </w:p>
          <w:p>
            <w:pPr>
              <w:pStyle w:val="TableContents"/>
              <w:bidi w:val="0"/>
              <w:spacing w:before="0" w:after="0"/>
              <w:jc w:val="center"/>
              <w:rPr/>
            </w:pPr>
            <w:r>
              <w:rPr/>
            </w:r>
          </w:p>
          <w:p>
            <w:pPr>
              <w:pStyle w:val="TableContents"/>
              <w:bidi w:val="0"/>
              <w:spacing w:before="0" w:after="0"/>
              <w:jc w:val="center"/>
              <w:rPr>
                <w:b/>
                <w:spacing w:val="0"/>
              </w:rPr>
            </w:pPr>
            <w:r>
              <w:rPr>
                <w:b/>
                <w:spacing w:val="0"/>
              </w:rPr>
              <w:t>Price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 Shadow Preferred 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338,495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Shadow Preferred Warrants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756,172</w:t>
            </w:r>
          </w:p>
        </w:tc>
        <w:tc>
          <w:tcPr>
            <w:tcW w:w="17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756,172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56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894</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(a</w:t>
            </w:r>
          </w:p>
        </w:tc>
        <w:tc>
          <w:tcPr>
            <w:tcW w:w="17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976</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(c</w:t>
            </w:r>
          </w:p>
        </w:tc>
        <w:tc>
          <w:tcPr>
            <w:tcW w:w="17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79</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1,352</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 (b)</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104.43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common stock warrants (d)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(d</w:t>
            </w:r>
          </w:p>
        </w:tc>
        <w:tc>
          <w:tcPr>
            <w:tcW w:w="17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4,485</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505</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common stock warrants (e)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(e</w:t>
            </w:r>
          </w:p>
        </w:tc>
        <w:tc>
          <w:tcPr>
            <w:tcW w:w="17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10,091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bdr w:val="single" w:sz="2" w:space="1" w:color="000000"/>
              </w:rPr>
            </w:pPr>
            <w:r>
              <w:rPr>
                <w:bdr w:val="single" w:sz="2" w:space="1" w:color="000000"/>
              </w:rPr>
              <w:t> </w:t>
            </w:r>
          </w:p>
        </w:tc>
        <w:tc>
          <w:tcPr>
            <w:tcW w:w="8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716" w:type="dxa"/>
            <w:tcBorders/>
            <w:vAlign w:val="center"/>
          </w:tcPr>
          <w:p>
            <w:pPr>
              <w:pStyle w:val="TableContents"/>
              <w:bidi w:val="0"/>
              <w:spacing w:before="0" w:after="0"/>
              <w:jc w:val="left"/>
              <w:rPr>
                <w:bdr w:val="single" w:sz="2" w:space="1" w:color="000000"/>
              </w:rPr>
            </w:pPr>
            <w:r>
              <w:rPr>
                <w:bdr w:val="single" w:sz="2"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59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756,172</w:t>
            </w:r>
          </w:p>
        </w:tc>
        <w:tc>
          <w:tcPr>
            <w:tcW w:w="17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1,096,730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716" w:type="dxa"/>
            <w:tcBorders/>
            <w:vAlign w:val="center"/>
          </w:tcPr>
          <w:p>
            <w:pPr>
              <w:pStyle w:val="TableContents"/>
              <w:bidi w:val="0"/>
              <w:spacing w:before="0" w:after="283"/>
              <w:jc w:val="right"/>
              <w:rPr/>
            </w:pPr>
            <w:r>
              <w:rPr/>
              <w:t>14,712</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591" w:type="dxa"/>
            <w:tcBorders/>
            <w:vAlign w:val="center"/>
          </w:tcPr>
          <w:p>
            <w:pPr>
              <w:pStyle w:val="TableContents"/>
              <w:bidi w:val="0"/>
              <w:spacing w:before="0" w:after="283"/>
              <w:jc w:val="right"/>
              <w:rPr/>
            </w:pPr>
            <w:r>
              <w:rPr/>
              <w:t>3,730</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bdr w:val="double" w:sz="6" w:space="1" w:color="000000"/>
              </w:rPr>
            </w:pPr>
            <w:r>
              <w:rPr>
                <w:bdr w:val="double" w:sz="6" w:space="1" w:color="000000"/>
              </w:rPr>
              <w:t> </w:t>
            </w:r>
          </w:p>
        </w:tc>
        <w:tc>
          <w:tcPr>
            <w:tcW w:w="898"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716" w:type="dxa"/>
            <w:tcBorders/>
            <w:vAlign w:val="center"/>
          </w:tcPr>
          <w:p>
            <w:pPr>
              <w:pStyle w:val="TableContents"/>
              <w:bidi w:val="0"/>
              <w:spacing w:before="0" w:after="0"/>
              <w:jc w:val="left"/>
              <w:rPr>
                <w:bdr w:val="double" w:sz="6" w:space="1" w:color="000000"/>
              </w:rPr>
            </w:pPr>
            <w:r>
              <w:rPr>
                <w:bdr w:val="double" w:sz="6"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59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(b)</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(c)</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(d)</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exercise price is $45,000. As of December 31, 2024, the number of warrant shares to be issued in the form of BurTech Class A Common stock is a fixed 4,500,000 shares.</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Assumptions used in the Black-Scholes option pricing model to fair value the Shadow Series D warrants reinstated January 2023 and the assumptions used to fair value the Shadow Series D and Shadow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z w:val="20"/>
        </w:rPr>
      </w:pPr>
      <w:r>
        <w:rPr>
          <w:rFonts w:ascii="Times New Roman" w:hAnsi="Times New Roman"/>
          <w:sz w:val="20"/>
        </w:rPr>
        <w:t xml:space="preserve">preferred stock warrants as of the respective reporting period were as follows: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At issuance:</w:t>
      </w:r>
    </w:p>
    <w:p>
      <w:pPr>
        <w:pStyle w:val="TextBody"/>
        <w:bidi w:val="0"/>
        <w:spacing w:before="240" w:after="0"/>
        <w:jc w:val="left"/>
        <w:rPr>
          <w:rFonts w:ascii="Times New Roman" w:hAnsi="Times New Roman"/>
          <w:sz w:val="20"/>
        </w:rPr>
      </w:pPr>
      <w:r>
        <w:rPr>
          <w:rFonts w:ascii="Times New Roman" w:hAnsi="Times New Roman"/>
          <w:sz w:val="20"/>
        </w:rPr>
        <w:t xml:space="preserve">Issued during the years ended December 31, 2024 and 2023: </w:t>
      </w:r>
    </w:p>
    <w:p>
      <w:pPr>
        <w:pStyle w:val="TextBody"/>
        <w:bidi w:val="0"/>
        <w:spacing w:before="0" w:after="0"/>
        <w:jc w:val="left"/>
        <w:rPr/>
      </w:pPr>
      <w:r>
        <w:rPr/>
        <w:t> </w:t>
      </w:r>
    </w:p>
    <w:tbl>
      <w:tblPr>
        <w:tblW w:w="8803" w:type="dxa"/>
        <w:jc w:val="left"/>
        <w:tblInd w:w="0" w:type="dxa"/>
        <w:tblLayout w:type="fixed"/>
        <w:tblCellMar>
          <w:top w:w="0" w:type="dxa"/>
          <w:left w:w="0" w:type="dxa"/>
          <w:bottom w:w="0" w:type="dxa"/>
          <w:right w:w="0" w:type="dxa"/>
        </w:tblCellMar>
      </w:tblPr>
      <w:tblGrid>
        <w:gridCol w:w="2300"/>
        <w:gridCol w:w="120"/>
        <w:gridCol w:w="3902"/>
        <w:gridCol w:w="320"/>
        <w:gridCol w:w="374"/>
        <w:gridCol w:w="1497"/>
        <w:gridCol w:w="29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93"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D-2 Shadow Preferred Stock Warrant Reinstatement</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02"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in 2024</w:t>
            </w:r>
          </w:p>
        </w:tc>
        <w:tc>
          <w:tcPr>
            <w:tcW w:w="320" w:type="dxa"/>
            <w:tcBorders/>
            <w:vAlign w:val="center"/>
          </w:tcPr>
          <w:p>
            <w:pPr>
              <w:pStyle w:val="TableContents"/>
              <w:bidi w:val="0"/>
              <w:spacing w:before="0" w:after="283"/>
              <w:jc w:val="left"/>
              <w:rPr/>
            </w:pPr>
            <w:r>
              <w:rPr/>
              <w:t>  </w:t>
            </w:r>
          </w:p>
        </w:tc>
        <w:tc>
          <w:tcPr>
            <w:tcW w:w="187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in 2023</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3902" w:type="dxa"/>
            <w:tcBorders/>
            <w:shd w:fill="CCEEFF" w:val="clear"/>
            <w:vAlign w:val="center"/>
          </w:tcPr>
          <w:p>
            <w:pPr>
              <w:pStyle w:val="TableContents"/>
              <w:bidi w:val="0"/>
              <w:spacing w:before="0" w:after="283"/>
              <w:jc w:val="center"/>
              <w:rPr/>
            </w:pPr>
            <w:r>
              <w:rPr/>
              <w:t>NA</w:t>
            </w:r>
          </w:p>
        </w:tc>
        <w:tc>
          <w:tcPr>
            <w:tcW w:w="3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4.65</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3902" w:type="dxa"/>
            <w:tcBorders/>
            <w:vAlign w:val="center"/>
          </w:tcPr>
          <w:p>
            <w:pPr>
              <w:pStyle w:val="TableContents"/>
              <w:bidi w:val="0"/>
              <w:spacing w:before="0" w:after="283"/>
              <w:jc w:val="center"/>
              <w:rPr/>
            </w:pPr>
            <w:r>
              <w:rPr/>
              <w:t>NA</w:t>
            </w:r>
          </w:p>
        </w:tc>
        <w:tc>
          <w:tcPr>
            <w:tcW w:w="3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1.11</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3902" w:type="dxa"/>
            <w:tcBorders/>
            <w:shd w:fill="CCEEFF" w:val="clear"/>
            <w:vAlign w:val="center"/>
          </w:tcPr>
          <w:p>
            <w:pPr>
              <w:pStyle w:val="TableContents"/>
              <w:bidi w:val="0"/>
              <w:spacing w:before="0" w:after="283"/>
              <w:jc w:val="center"/>
              <w:rPr/>
            </w:pPr>
            <w:r>
              <w:rPr/>
              <w:t>NA</w:t>
            </w:r>
          </w:p>
        </w:tc>
        <w:tc>
          <w:tcPr>
            <w:tcW w:w="3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65.00</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3902" w:type="dxa"/>
            <w:tcBorders/>
            <w:vAlign w:val="center"/>
          </w:tcPr>
          <w:p>
            <w:pPr>
              <w:pStyle w:val="TableContents"/>
              <w:bidi w:val="0"/>
              <w:spacing w:before="0" w:after="283"/>
              <w:jc w:val="center"/>
              <w:rPr/>
            </w:pPr>
            <w:r>
              <w:rPr/>
              <w:t>NA</w:t>
            </w:r>
          </w:p>
        </w:tc>
        <w:tc>
          <w:tcPr>
            <w:tcW w:w="3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0.00</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3902" w:type="dxa"/>
            <w:tcBorders/>
            <w:shd w:fill="CCEEFF" w:val="clear"/>
            <w:vAlign w:val="center"/>
          </w:tcPr>
          <w:p>
            <w:pPr>
              <w:pStyle w:val="TableContents"/>
              <w:bidi w:val="0"/>
              <w:spacing w:before="0" w:after="283"/>
              <w:jc w:val="center"/>
              <w:rPr/>
            </w:pPr>
            <w:r>
              <w:rPr/>
              <w:t>NA</w:t>
            </w:r>
          </w:p>
        </w:tc>
        <w:tc>
          <w:tcPr>
            <w:tcW w:w="3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4.01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w:t>
      </w:r>
    </w:p>
    <w:p>
      <w:pPr>
        <w:pStyle w:val="TextBody"/>
        <w:bidi w:val="0"/>
        <w:spacing w:before="0" w:after="0"/>
        <w:jc w:val="left"/>
        <w:rPr/>
      </w:pPr>
      <w:r>
        <w:rPr/>
        <w:t> </w:t>
      </w:r>
    </w:p>
    <w:tbl>
      <w:tblPr>
        <w:tblW w:w="9088" w:type="dxa"/>
        <w:jc w:val="left"/>
        <w:tblInd w:w="0" w:type="dxa"/>
        <w:tblLayout w:type="fixed"/>
        <w:tblCellMar>
          <w:top w:w="0" w:type="dxa"/>
          <w:left w:w="0" w:type="dxa"/>
          <w:bottom w:w="0" w:type="dxa"/>
          <w:right w:w="0" w:type="dxa"/>
        </w:tblCellMar>
      </w:tblPr>
      <w:tblGrid>
        <w:gridCol w:w="2300"/>
        <w:gridCol w:w="120"/>
        <w:gridCol w:w="287"/>
        <w:gridCol w:w="2570"/>
        <w:gridCol w:w="123"/>
        <w:gridCol w:w="246"/>
        <w:gridCol w:w="287"/>
        <w:gridCol w:w="1155"/>
        <w:gridCol w:w="60"/>
        <w:gridCol w:w="120"/>
        <w:gridCol w:w="349"/>
        <w:gridCol w:w="1396"/>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7" w:type="dxa"/>
            <w:gridSpan w:val="2"/>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7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D Shadow</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p>
            <w:pPr>
              <w:pStyle w:val="TableContents"/>
              <w:bidi w:val="0"/>
              <w:spacing w:before="0" w:after="0"/>
              <w:jc w:val="center"/>
              <w:rPr/>
            </w:pPr>
            <w:r>
              <w:rPr/>
            </w:r>
          </w:p>
          <w:p>
            <w:pPr>
              <w:pStyle w:val="TableContents"/>
              <w:bidi w:val="0"/>
              <w:spacing w:before="0" w:after="0"/>
              <w:jc w:val="center"/>
              <w:rPr>
                <w:b/>
                <w:spacing w:val="0"/>
              </w:rPr>
            </w:pPr>
            <w:r>
              <w:rPr>
                <w:b/>
                <w:spacing w:val="0"/>
              </w:rPr>
              <w:t>Warrants</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6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D-2 Shadow Preferred Stock Warrants</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745"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2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0"/>
              <w:jc w:val="right"/>
              <w:rPr>
                <w:spacing w:val="0"/>
              </w:rPr>
            </w:pPr>
            <w:r>
              <w:rPr>
                <w:spacing w:val="0"/>
              </w:rPr>
              <w:t>4.20% - 4.40%</w:t>
            </w:r>
          </w:p>
        </w:tc>
        <w:tc>
          <w:tcPr>
            <w:tcW w:w="123"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5.50%</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right"/>
              <w:rPr/>
            </w:pPr>
            <w:r>
              <w:rPr/>
              <w:t>0.04 - 0.72</w:t>
            </w:r>
          </w:p>
        </w:tc>
        <w:tc>
          <w:tcPr>
            <w:tcW w:w="12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right"/>
              <w:rPr/>
            </w:pPr>
            <w:r>
              <w:rPr/>
              <w:t>0.16</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right"/>
              <w:rPr/>
            </w:pPr>
            <w:r>
              <w:rPr/>
              <w:t>50.80%</w:t>
            </w:r>
          </w:p>
        </w:tc>
        <w:tc>
          <w:tcPr>
            <w:tcW w:w="123"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52.50%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52.50%</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right"/>
              <w:rPr/>
            </w:pPr>
            <w:r>
              <w:rPr/>
              <w:t>0.00%</w:t>
            </w:r>
          </w:p>
        </w:tc>
        <w:tc>
          <w:tcPr>
            <w:tcW w:w="12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2570" w:type="dxa"/>
            <w:tcBorders/>
            <w:shd w:fill="CCEEFF" w:val="clear"/>
            <w:vAlign w:val="center"/>
          </w:tcPr>
          <w:p>
            <w:pPr>
              <w:pStyle w:val="TableContents"/>
              <w:bidi w:val="0"/>
              <w:spacing w:before="0" w:after="283"/>
              <w:jc w:val="right"/>
              <w:rPr/>
            </w:pPr>
            <w:r>
              <w:rPr/>
              <w:t>4.36</w:t>
            </w:r>
          </w:p>
        </w:tc>
        <w:tc>
          <w:tcPr>
            <w:tcW w:w="123"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4.19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396" w:type="dxa"/>
            <w:tcBorders/>
            <w:shd w:fill="CCEEFF" w:val="clear"/>
            <w:vAlign w:val="center"/>
          </w:tcPr>
          <w:p>
            <w:pPr>
              <w:pStyle w:val="TableContents"/>
              <w:bidi w:val="0"/>
              <w:spacing w:before="0" w:after="283"/>
              <w:jc w:val="right"/>
              <w:rPr/>
            </w:pPr>
            <w:r>
              <w:rPr/>
              <w:t>5.76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issuance: </w:t>
      </w:r>
    </w:p>
    <w:p>
      <w:pPr>
        <w:pStyle w:val="TextBody"/>
        <w:bidi w:val="0"/>
        <w:spacing w:before="240" w:after="0"/>
        <w:jc w:val="left"/>
        <w:rPr>
          <w:rFonts w:ascii="Times New Roman" w:hAnsi="Times New Roman"/>
          <w:sz w:val="20"/>
        </w:rPr>
      </w:pPr>
      <w:r>
        <w:rPr>
          <w:rFonts w:ascii="Times New Roman" w:hAnsi="Times New Roman"/>
          <w:sz w:val="20"/>
        </w:rPr>
        <w:t xml:space="preserve">Issued during the years ended December 31, 2024 and 2023: </w:t>
      </w:r>
    </w:p>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2300"/>
        <w:gridCol w:w="120"/>
        <w:gridCol w:w="2244"/>
        <w:gridCol w:w="184"/>
        <w:gridCol w:w="215"/>
        <w:gridCol w:w="1922"/>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6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Warrants issued with P2P Convertible Notes</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4"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in 2024</w:t>
            </w:r>
          </w:p>
        </w:tc>
        <w:tc>
          <w:tcPr>
            <w:tcW w:w="184" w:type="dxa"/>
            <w:tcBorders/>
            <w:vAlign w:val="center"/>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in 2023</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244" w:type="dxa"/>
            <w:tcBorders/>
            <w:shd w:fill="CCEEFF" w:val="clear"/>
            <w:vAlign w:val="center"/>
          </w:tcPr>
          <w:p>
            <w:pPr>
              <w:pStyle w:val="TableContents"/>
              <w:bidi w:val="0"/>
              <w:spacing w:before="0" w:after="283"/>
              <w:jc w:val="center"/>
              <w:rPr/>
            </w:pPr>
            <w:r>
              <w:rPr/>
              <w:t>NA</w:t>
            </w:r>
          </w:p>
        </w:tc>
        <w:tc>
          <w:tcPr>
            <w:tcW w:w="18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922" w:type="dxa"/>
            <w:tcBorders/>
            <w:shd w:fill="CCEEFF" w:val="clear"/>
            <w:vAlign w:val="center"/>
          </w:tcPr>
          <w:p>
            <w:pPr>
              <w:pStyle w:val="TableContents"/>
              <w:bidi w:val="0"/>
              <w:spacing w:before="0" w:after="0"/>
              <w:jc w:val="center"/>
              <w:rPr>
                <w:spacing w:val="0"/>
              </w:rPr>
            </w:pPr>
            <w:r>
              <w:rPr>
                <w:spacing w:val="0"/>
              </w:rPr>
              <w:t>4.09% - 4.65%</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center"/>
              <w:rPr/>
            </w:pPr>
            <w:r>
              <w:rPr/>
              <w:t>NA</w:t>
            </w:r>
          </w:p>
        </w:tc>
        <w:tc>
          <w:tcPr>
            <w:tcW w:w="18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922" w:type="dxa"/>
            <w:tcBorders/>
            <w:vAlign w:val="center"/>
          </w:tcPr>
          <w:p>
            <w:pPr>
              <w:pStyle w:val="TableContents"/>
              <w:bidi w:val="0"/>
              <w:spacing w:before="0" w:after="283"/>
              <w:jc w:val="right"/>
              <w:rPr/>
            </w:pPr>
            <w:r>
              <w:rPr/>
              <w:t>1.0 -1.94 years</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2244" w:type="dxa"/>
            <w:tcBorders/>
            <w:shd w:fill="CCEEFF" w:val="clear"/>
            <w:vAlign w:val="center"/>
          </w:tcPr>
          <w:p>
            <w:pPr>
              <w:pStyle w:val="TableContents"/>
              <w:bidi w:val="0"/>
              <w:spacing w:before="0" w:after="283"/>
              <w:jc w:val="center"/>
              <w:rPr/>
            </w:pPr>
            <w:r>
              <w:rPr/>
              <w:t>NA</w:t>
            </w:r>
          </w:p>
        </w:tc>
        <w:tc>
          <w:tcPr>
            <w:tcW w:w="18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922" w:type="dxa"/>
            <w:tcBorders/>
            <w:shd w:fill="CCEEFF" w:val="clear"/>
            <w:vAlign w:val="center"/>
          </w:tcPr>
          <w:p>
            <w:pPr>
              <w:pStyle w:val="TableContents"/>
              <w:bidi w:val="0"/>
              <w:spacing w:before="0" w:after="283"/>
              <w:jc w:val="center"/>
              <w:rPr/>
            </w:pPr>
            <w:r>
              <w:rPr/>
              <w:t>66.6% - 71.6%</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center"/>
              <w:rPr/>
            </w:pPr>
            <w:r>
              <w:rPr/>
              <w:t>NA</w:t>
            </w:r>
          </w:p>
        </w:tc>
        <w:tc>
          <w:tcPr>
            <w:tcW w:w="18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922"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2244" w:type="dxa"/>
            <w:tcBorders/>
            <w:shd w:fill="CCEEFF" w:val="clear"/>
            <w:vAlign w:val="center"/>
          </w:tcPr>
          <w:p>
            <w:pPr>
              <w:pStyle w:val="TableContents"/>
              <w:bidi w:val="0"/>
              <w:spacing w:before="0" w:after="283"/>
              <w:jc w:val="center"/>
              <w:rPr/>
            </w:pPr>
            <w:r>
              <w:rPr/>
              <w:t>NA</w:t>
            </w:r>
          </w:p>
        </w:tc>
        <w:tc>
          <w:tcPr>
            <w:tcW w:w="18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922" w:type="dxa"/>
            <w:tcBorders/>
            <w:shd w:fill="CCEEFF" w:val="clear"/>
            <w:vAlign w:val="center"/>
          </w:tcPr>
          <w:p>
            <w:pPr>
              <w:pStyle w:val="TableContents"/>
              <w:bidi w:val="0"/>
              <w:spacing w:before="0" w:after="283"/>
              <w:jc w:val="right"/>
              <w:rPr/>
            </w:pPr>
            <w:r>
              <w:rPr/>
              <w:t>1.51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center"/>
              <w:rPr/>
            </w:pPr>
            <w:r>
              <w:rPr/>
              <w:t>NA</w:t>
            </w:r>
          </w:p>
        </w:tc>
        <w:tc>
          <w:tcPr>
            <w:tcW w:w="18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1922" w:type="dxa"/>
            <w:tcBorders/>
            <w:vAlign w:val="center"/>
          </w:tcPr>
          <w:p>
            <w:pPr>
              <w:pStyle w:val="TableContents"/>
              <w:bidi w:val="0"/>
              <w:spacing w:before="0" w:after="283"/>
              <w:jc w:val="right"/>
              <w:rPr/>
            </w:pPr>
            <w:r>
              <w:rPr/>
              <w:t>0.46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w:t>
      </w:r>
    </w:p>
    <w:p>
      <w:pPr>
        <w:pStyle w:val="TextBody"/>
        <w:bidi w:val="0"/>
        <w:spacing w:before="0" w:after="0"/>
        <w:jc w:val="left"/>
        <w:rPr/>
      </w:pPr>
      <w:r>
        <w:rPr/>
        <w:t> </w:t>
      </w:r>
    </w:p>
    <w:tbl>
      <w:tblPr>
        <w:tblW w:w="6601" w:type="dxa"/>
        <w:jc w:val="left"/>
        <w:tblInd w:w="0" w:type="dxa"/>
        <w:tblLayout w:type="fixed"/>
        <w:tblCellMar>
          <w:top w:w="0" w:type="dxa"/>
          <w:left w:w="0" w:type="dxa"/>
          <w:bottom w:w="0" w:type="dxa"/>
          <w:right w:w="0" w:type="dxa"/>
        </w:tblCellMar>
      </w:tblPr>
      <w:tblGrid>
        <w:gridCol w:w="2300"/>
        <w:gridCol w:w="120"/>
        <w:gridCol w:w="161"/>
        <w:gridCol w:w="1794"/>
        <w:gridCol w:w="65"/>
        <w:gridCol w:w="131"/>
        <w:gridCol w:w="166"/>
        <w:gridCol w:w="1789"/>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0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Warrants issued with 2022 P2P Notes</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2024</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283"/>
              <w:jc w:val="right"/>
              <w:rPr/>
            </w:pPr>
            <w:r>
              <w:rPr/>
              <w:t>4.16% -4.31%</w:t>
            </w:r>
          </w:p>
        </w:tc>
        <w:tc>
          <w:tcPr>
            <w:tcW w:w="6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pPr>
            <w:r>
              <w:rPr/>
              <w:t>4.54% -4.79%</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794" w:type="dxa"/>
            <w:tcBorders/>
            <w:vAlign w:val="center"/>
          </w:tcPr>
          <w:p>
            <w:pPr>
              <w:pStyle w:val="TableContents"/>
              <w:bidi w:val="0"/>
              <w:spacing w:before="0" w:after="283"/>
              <w:jc w:val="right"/>
              <w:rPr/>
            </w:pPr>
            <w:r>
              <w:rPr/>
              <w:t>0.04 -1.00 years</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0"/>
              <w:jc w:val="right"/>
              <w:rPr>
                <w:spacing w:val="0"/>
              </w:rPr>
            </w:pPr>
            <w:r>
              <w:rPr>
                <w:spacing w:val="0"/>
              </w:rPr>
              <w:t>1.0 - 1.44 years</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0"/>
              <w:jc w:val="right"/>
              <w:rPr>
                <w:spacing w:val="0"/>
              </w:rPr>
            </w:pPr>
            <w:r>
              <w:rPr>
                <w:spacing w:val="0"/>
              </w:rPr>
              <w:t>69.8% - 71.6%</w:t>
            </w:r>
          </w:p>
        </w:tc>
        <w:tc>
          <w:tcPr>
            <w:tcW w:w="6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0"/>
              <w:jc w:val="right"/>
              <w:rPr>
                <w:spacing w:val="0"/>
              </w:rPr>
            </w:pPr>
            <w:r>
              <w:rPr>
                <w:spacing w:val="0"/>
              </w:rPr>
              <w:t>61.2% - 62.3%</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794" w:type="dxa"/>
            <w:tcBorders/>
            <w:vAlign w:val="center"/>
          </w:tcPr>
          <w:p>
            <w:pPr>
              <w:pStyle w:val="TableContents"/>
              <w:bidi w:val="0"/>
              <w:spacing w:before="0" w:after="283"/>
              <w:jc w:val="right"/>
              <w:rPr/>
            </w:pPr>
            <w:r>
              <w:rPr/>
              <w:t>0.00%</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283"/>
              <w:jc w:val="right"/>
              <w:rPr/>
            </w:pPr>
            <w:r>
              <w:rPr/>
              <w:t>immaterial</w:t>
            </w:r>
          </w:p>
        </w:tc>
        <w:tc>
          <w:tcPr>
            <w:tcW w:w="6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789" w:type="dxa"/>
            <w:tcBorders/>
            <w:shd w:fill="CCEEFF" w:val="clear"/>
            <w:vAlign w:val="center"/>
          </w:tcPr>
          <w:p>
            <w:pPr>
              <w:pStyle w:val="TableContents"/>
              <w:bidi w:val="0"/>
              <w:spacing w:before="0" w:after="283"/>
              <w:jc w:val="right"/>
              <w:rPr/>
            </w:pPr>
            <w:r>
              <w:rPr/>
              <w:t>4.16</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794" w:type="dxa"/>
            <w:tcBorders/>
            <w:vAlign w:val="center"/>
          </w:tcPr>
          <w:p>
            <w:pPr>
              <w:pStyle w:val="TableContents"/>
              <w:bidi w:val="0"/>
              <w:spacing w:before="0" w:after="283"/>
              <w:jc w:val="right"/>
              <w:rPr/>
            </w:pPr>
            <w:r>
              <w:rPr/>
              <w:t>1.94</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789" w:type="dxa"/>
            <w:tcBorders/>
            <w:vAlign w:val="center"/>
          </w:tcPr>
          <w:p>
            <w:pPr>
              <w:pStyle w:val="TableContents"/>
              <w:bidi w:val="0"/>
              <w:spacing w:before="0" w:after="283"/>
              <w:jc w:val="right"/>
              <w:rPr/>
            </w:pPr>
            <w:r>
              <w:rPr/>
              <w:t>0.74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 </w:t>
      </w:r>
    </w:p>
    <w:p>
      <w:pPr>
        <w:pStyle w:val="TextBody"/>
        <w:bidi w:val="0"/>
        <w:spacing w:before="240" w:after="0"/>
        <w:jc w:val="left"/>
        <w:rPr>
          <w:rFonts w:ascii="Times New Roman" w:hAnsi="Times New Roman"/>
          <w:sz w:val="20"/>
        </w:rPr>
      </w:pPr>
      <w:r>
        <w:rPr>
          <w:rFonts w:ascii="Times New Roman" w:hAnsi="Times New Roman"/>
          <w:sz w:val="20"/>
        </w:rPr>
        <w:t xml:space="preserve">At issuance: </w:t>
      </w:r>
    </w:p>
    <w:p>
      <w:pPr>
        <w:pStyle w:val="TextBody"/>
        <w:bidi w:val="0"/>
        <w:spacing w:before="240" w:after="0"/>
        <w:jc w:val="left"/>
        <w:rPr>
          <w:rFonts w:ascii="Times New Roman" w:hAnsi="Times New Roman"/>
          <w:sz w:val="20"/>
        </w:rPr>
      </w:pPr>
      <w:r>
        <w:rPr>
          <w:rFonts w:ascii="Times New Roman" w:hAnsi="Times New Roman"/>
          <w:sz w:val="20"/>
        </w:rPr>
        <w:t xml:space="preserve">Issued during the years ended December 31, 2024 and 2023: </w:t>
      </w:r>
    </w:p>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2300"/>
        <w:gridCol w:w="120"/>
        <w:gridCol w:w="190"/>
        <w:gridCol w:w="2193"/>
        <w:gridCol w:w="81"/>
        <w:gridCol w:w="163"/>
        <w:gridCol w:w="2013"/>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0" w:type="dxa"/>
            <w:gridSpan w:val="5"/>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Warrants issued with 2023 Convertible Notes</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in 2024</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013"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in 2023</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193" w:type="dxa"/>
            <w:tcBorders/>
            <w:shd w:fill="CCEEFF" w:val="clear"/>
            <w:vAlign w:val="center"/>
          </w:tcPr>
          <w:p>
            <w:pPr>
              <w:pStyle w:val="TableContents"/>
              <w:bidi w:val="0"/>
              <w:spacing w:before="0" w:after="0"/>
              <w:jc w:val="right"/>
              <w:rPr>
                <w:spacing w:val="0"/>
              </w:rPr>
            </w:pPr>
            <w:r>
              <w:rPr>
                <w:spacing w:val="0"/>
              </w:rPr>
              <w:t>3.86% - 5.55%</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center"/>
              <w:rPr/>
            </w:pPr>
            <w:r>
              <w:rPr/>
              <w:t>NA</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193" w:type="dxa"/>
            <w:tcBorders/>
            <w:vAlign w:val="center"/>
          </w:tcPr>
          <w:p>
            <w:pPr>
              <w:pStyle w:val="TableContents"/>
              <w:bidi w:val="0"/>
              <w:spacing w:before="0" w:after="0"/>
              <w:jc w:val="right"/>
              <w:rPr>
                <w:spacing w:val="0"/>
              </w:rPr>
            </w:pPr>
            <w:r>
              <w:rPr>
                <w:spacing w:val="0"/>
              </w:rPr>
              <w:t>0.36 - 5.00 years</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center"/>
              <w:rPr/>
            </w:pPr>
            <w:r>
              <w:rPr/>
              <w:t>NA</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193" w:type="dxa"/>
            <w:tcBorders/>
            <w:shd w:fill="CCEEFF" w:val="clear"/>
            <w:vAlign w:val="center"/>
          </w:tcPr>
          <w:p>
            <w:pPr>
              <w:pStyle w:val="TableContents"/>
              <w:bidi w:val="0"/>
              <w:spacing w:before="0" w:after="0"/>
              <w:jc w:val="right"/>
              <w:rPr>
                <w:spacing w:val="0"/>
              </w:rPr>
            </w:pPr>
            <w:r>
              <w:rPr>
                <w:spacing w:val="0"/>
              </w:rPr>
              <w:t>61.2% - 73.0%</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center"/>
              <w:rPr/>
            </w:pPr>
            <w:r>
              <w:rPr/>
              <w:t>NA</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193" w:type="dxa"/>
            <w:tcBorders/>
            <w:vAlign w:val="center"/>
          </w:tcPr>
          <w:p>
            <w:pPr>
              <w:pStyle w:val="TableContents"/>
              <w:bidi w:val="0"/>
              <w:spacing w:before="0" w:after="283"/>
              <w:jc w:val="right"/>
              <w:rPr/>
            </w:pPr>
            <w:r>
              <w:rPr/>
              <w:t>0.00%</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center"/>
              <w:rPr/>
            </w:pPr>
            <w:r>
              <w:rPr/>
              <w:t>NA</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2193" w:type="dxa"/>
            <w:tcBorders/>
            <w:shd w:fill="CCEEFF" w:val="clear"/>
            <w:vAlign w:val="center"/>
          </w:tcPr>
          <w:p>
            <w:pPr>
              <w:pStyle w:val="TableContents"/>
              <w:bidi w:val="0"/>
              <w:spacing w:before="0" w:after="283"/>
              <w:jc w:val="right"/>
              <w:rPr/>
            </w:pPr>
            <w:r>
              <w:rPr/>
              <w:t>4.16 - $4.43</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center"/>
              <w:rPr/>
            </w:pPr>
            <w:r>
              <w:rPr/>
              <w:t>NA</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2193" w:type="dxa"/>
            <w:tcBorders/>
            <w:vAlign w:val="center"/>
          </w:tcPr>
          <w:p>
            <w:pPr>
              <w:pStyle w:val="TableContents"/>
              <w:bidi w:val="0"/>
              <w:spacing w:before="0" w:after="283"/>
              <w:jc w:val="right"/>
              <w:rPr/>
            </w:pPr>
            <w:r>
              <w:rPr/>
              <w:t>0.74 - $0.81</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2300"/>
        <w:gridCol w:w="120"/>
        <w:gridCol w:w="181"/>
        <w:gridCol w:w="2013"/>
        <w:gridCol w:w="77"/>
        <w:gridCol w:w="155"/>
        <w:gridCol w:w="181"/>
        <w:gridCol w:w="2018"/>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Warrants issued with 2023 Convertible Notes</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2024</w:t>
            </w:r>
          </w:p>
        </w:tc>
        <w:tc>
          <w:tcPr>
            <w:tcW w:w="7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19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right"/>
              <w:rPr/>
            </w:pPr>
            <w:r>
              <w:rPr/>
              <w:t>3.98% -4.99%</w:t>
            </w:r>
          </w:p>
        </w:tc>
        <w:tc>
          <w:tcPr>
            <w:tcW w:w="77"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018" w:type="dxa"/>
            <w:tcBorders/>
            <w:shd w:fill="CCEEFF" w:val="clear"/>
            <w:vAlign w:val="center"/>
          </w:tcPr>
          <w:p>
            <w:pPr>
              <w:pStyle w:val="TableContents"/>
              <w:bidi w:val="0"/>
              <w:spacing w:before="0" w:after="283"/>
              <w:jc w:val="right"/>
              <w:rPr/>
            </w:pPr>
            <w:r>
              <w:rPr/>
              <w:t>3.88% -5.26%</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right"/>
              <w:rPr/>
            </w:pPr>
            <w:r>
              <w:rPr/>
              <w:t>0.04 -1.00 years</w:t>
            </w:r>
          </w:p>
        </w:tc>
        <w:tc>
          <w:tcPr>
            <w:tcW w:w="7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0.51 -9.51 years</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0"/>
              <w:jc w:val="right"/>
              <w:rPr>
                <w:spacing w:val="0"/>
              </w:rPr>
            </w:pPr>
            <w:r>
              <w:rPr>
                <w:spacing w:val="0"/>
              </w:rPr>
              <w:t>69.8% - 73.2%</w:t>
            </w:r>
          </w:p>
        </w:tc>
        <w:tc>
          <w:tcPr>
            <w:tcW w:w="77"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018" w:type="dxa"/>
            <w:tcBorders/>
            <w:shd w:fill="CCEEFF" w:val="clear"/>
            <w:vAlign w:val="center"/>
          </w:tcPr>
          <w:p>
            <w:pPr>
              <w:pStyle w:val="TableContents"/>
              <w:bidi w:val="0"/>
              <w:spacing w:before="0" w:after="0"/>
              <w:jc w:val="right"/>
              <w:rPr>
                <w:spacing w:val="0"/>
              </w:rPr>
            </w:pPr>
            <w:r>
              <w:rPr>
                <w:spacing w:val="0"/>
              </w:rPr>
              <w:t>61.2% - 62.8%</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right"/>
              <w:rPr/>
            </w:pPr>
            <w:r>
              <w:rPr/>
              <w:t>0.00%</w:t>
            </w:r>
          </w:p>
        </w:tc>
        <w:tc>
          <w:tcPr>
            <w:tcW w:w="7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right"/>
              <w:rPr/>
            </w:pPr>
            <w:r>
              <w:rPr/>
              <w:t>immaterial</w:t>
            </w:r>
          </w:p>
        </w:tc>
        <w:tc>
          <w:tcPr>
            <w:tcW w:w="77"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2018" w:type="dxa"/>
            <w:tcBorders/>
            <w:shd w:fill="CCEEFF" w:val="clear"/>
            <w:vAlign w:val="center"/>
          </w:tcPr>
          <w:p>
            <w:pPr>
              <w:pStyle w:val="TableContents"/>
              <w:bidi w:val="0"/>
              <w:spacing w:before="0" w:after="283"/>
              <w:jc w:val="right"/>
              <w:rPr/>
            </w:pPr>
            <w:r>
              <w:rPr/>
              <w:t>4.16</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2013" w:type="dxa"/>
            <w:tcBorders/>
            <w:vAlign w:val="center"/>
          </w:tcPr>
          <w:p>
            <w:pPr>
              <w:pStyle w:val="TableContents"/>
              <w:bidi w:val="0"/>
              <w:spacing w:before="0" w:after="283"/>
              <w:jc w:val="right"/>
              <w:rPr/>
            </w:pPr>
            <w:r>
              <w:rPr/>
              <w:t>1.94</w:t>
            </w:r>
          </w:p>
        </w:tc>
        <w:tc>
          <w:tcPr>
            <w:tcW w:w="7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2018" w:type="dxa"/>
            <w:tcBorders/>
            <w:vAlign w:val="center"/>
          </w:tcPr>
          <w:p>
            <w:pPr>
              <w:pStyle w:val="TableContents"/>
              <w:bidi w:val="0"/>
              <w:spacing w:before="0" w:after="283"/>
              <w:jc w:val="right"/>
              <w:rPr/>
            </w:pPr>
            <w:r>
              <w:rPr/>
              <w:t>0.74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common stock warrants has been estimated based on a probability-weighted approach of scenarios, including the scenarios that the Merger will and will not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no Company warrants have been 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provided by the terms of the Merger, the outstanding warrants were converted, at the option of the holders, to common stock upon the Closing Date (see Note 1). </w:t>
      </w:r>
    </w:p>
    <w:p>
      <w:pPr>
        <w:pStyle w:val="TextBody"/>
        <w:bidi w:val="0"/>
        <w:spacing w:before="360" w:after="0"/>
        <w:jc w:val="left"/>
        <w:rPr>
          <w:rFonts w:ascii="Times New Roman" w:hAnsi="Times New Roman"/>
          <w:b/>
          <w:sz w:val="20"/>
        </w:rPr>
      </w:pPr>
      <w:r>
        <w:rPr>
          <w:rFonts w:ascii="Times New Roman" w:hAnsi="Times New Roman"/>
          <w:b/>
          <w:sz w:val="20"/>
        </w:rPr>
        <w:t xml:space="preserve">Note 9.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 </w:t>
      </w:r>
    </w:p>
    <w:p>
      <w:pPr>
        <w:pStyle w:val="TextBody"/>
        <w:bidi w:val="0"/>
        <w:spacing w:before="240" w:after="0"/>
        <w:jc w:val="left"/>
        <w:rPr>
          <w:rFonts w:ascii="Times New Roman" w:hAnsi="Times New Roman"/>
          <w:sz w:val="20"/>
        </w:rPr>
      </w:pPr>
      <w:r>
        <w:rPr>
          <w:rFonts w:ascii="Times New Roman" w:hAnsi="Times New Roman"/>
          <w:sz w:val="20"/>
        </w:rPr>
        <w:t xml:space="preserve">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 Company executed three lease renewals for a period of five years and extinguished one lease prior to its scheduled termination date. The loss recognized on lease termination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the net lease cost reflected in the Company’s consolidated statements of operations were as follows for the years ended December 31, 2024 and 2023 (in thousands):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790"/>
        <w:gridCol w:w="120"/>
        <w:gridCol w:w="140"/>
        <w:gridCol w:w="440"/>
        <w:gridCol w:w="60"/>
        <w:gridCol w:w="120"/>
        <w:gridCol w:w="140"/>
        <w:gridCol w:w="620"/>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817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989</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 </w:t>
            </w:r>
            <w:r>
              <w:rPr/>
              <w:t>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1,035</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Company’s operating leases had a weighted average remaining lease term of 3.2 years and a weighted average discount rate related to the Company’s ROU assets and lease liabilities of 9.9%. As of December 31, 2023, the Company’s operating leases had a weighted average remaining lease term of 4.0 years and a weighted average discount rate related to the Company’s ROU assets and lease liabilities of 9.8%. </w:t>
      </w:r>
    </w:p>
    <w:p>
      <w:pPr>
        <w:pStyle w:val="TextBody"/>
        <w:bidi w:val="0"/>
        <w:spacing w:before="240" w:after="0"/>
        <w:jc w:val="left"/>
        <w:rPr>
          <w:rFonts w:ascii="Times New Roman" w:hAnsi="Times New Roman"/>
          <w:sz w:val="20"/>
        </w:rPr>
      </w:pPr>
      <w:r>
        <w:rPr>
          <w:rFonts w:ascii="Times New Roman" w:hAnsi="Times New Roman"/>
          <w:sz w:val="20"/>
        </w:rPr>
        <w:t xml:space="preserve">Supplemental information related to operating leases was as follows for the years ended December 31, 2024 and 2023 (in thousands): </w:t>
      </w:r>
    </w:p>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160"/>
        <w:gridCol w:w="120"/>
        <w:gridCol w:w="140"/>
        <w:gridCol w:w="380"/>
        <w:gridCol w:w="60"/>
        <w:gridCol w:w="120"/>
        <w:gridCol w:w="140"/>
        <w:gridCol w:w="560"/>
        <w:gridCol w:w="75"/>
      </w:tblGrid>
      <w:tr>
        <w:trPr/>
        <w:tc>
          <w:tcPr>
            <w:tcW w:w="7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785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1,673</w:t>
            </w:r>
          </w:p>
        </w:tc>
        <w:tc>
          <w:tcPr>
            <w:tcW w:w="7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 and lease liabilities extinguished upon termination of lease, net gain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108</w:t>
            </w:r>
          </w:p>
        </w:tc>
        <w:tc>
          <w:tcPr>
            <w:tcW w:w="7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variable lease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202</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future minimum lease payments under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240" w:after="0"/>
        <w:jc w:val="left"/>
        <w:rPr>
          <w:rFonts w:ascii="Times New Roman" w:hAnsi="Times New Roman"/>
          <w:sz w:val="20"/>
        </w:rPr>
      </w:pPr>
      <w:r>
        <w:rPr>
          <w:rFonts w:ascii="Times New Roman" w:hAnsi="Times New Roman"/>
          <w:sz w:val="20"/>
        </w:rPr>
        <w:t xml:space="preserve">operating leases are as follows (in thousands): </w:t>
      </w:r>
    </w:p>
    <w:p>
      <w:pPr>
        <w:pStyle w:val="TextBody"/>
        <w:bidi w:val="0"/>
        <w:spacing w:before="0" w:after="0"/>
        <w:jc w:val="left"/>
        <w:rPr/>
      </w:pPr>
      <w:r>
        <w:rPr/>
        <w:t> </w:t>
      </w:r>
    </w:p>
    <w:tbl>
      <w:tblPr>
        <w:tblW w:w="6135" w:type="dxa"/>
        <w:jc w:val="left"/>
        <w:tblInd w:w="0" w:type="dxa"/>
        <w:tblLayout w:type="fixed"/>
        <w:tblCellMar>
          <w:top w:w="0" w:type="dxa"/>
          <w:left w:w="0" w:type="dxa"/>
          <w:bottom w:w="0" w:type="dxa"/>
          <w:right w:w="0" w:type="dxa"/>
        </w:tblCellMar>
      </w:tblPr>
      <w:tblGrid>
        <w:gridCol w:w="4250"/>
        <w:gridCol w:w="120"/>
        <w:gridCol w:w="319"/>
        <w:gridCol w:w="1276"/>
        <w:gridCol w:w="170"/>
      </w:tblGrid>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9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 lease</w:t>
            </w:r>
          </w:p>
          <w:p>
            <w:pPr>
              <w:pStyle w:val="TableContents"/>
              <w:bidi w:val="0"/>
              <w:spacing w:before="0" w:after="0"/>
              <w:jc w:val="center"/>
              <w:rPr/>
            </w:pPr>
            <w:r>
              <w:rPr/>
            </w:r>
          </w:p>
          <w:p>
            <w:pPr>
              <w:pStyle w:val="TableContents"/>
              <w:bidi w:val="0"/>
              <w:spacing w:before="0" w:after="0"/>
              <w:jc w:val="center"/>
              <w:rPr>
                <w:b/>
                <w:spacing w:val="0"/>
              </w:rPr>
            </w:pPr>
            <w:r>
              <w:rPr>
                <w:b/>
                <w:spacing w:val="0"/>
              </w:rPr>
              <w:t>obligations</w:t>
            </w:r>
          </w:p>
        </w:tc>
        <w:tc>
          <w:tcPr>
            <w:tcW w:w="170" w:type="dxa"/>
            <w:vMerge w:val="restart"/>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59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721</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534</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421</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357</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2,046</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(302</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net future minimum lease payments</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1,744</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short-term operating lease liabilities</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(578</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1,166</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7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December 12, 2022 Amended and Restated Certificate of Incorporation the Company introduced “Shadow Preferred” classes of stock. A Shadow Preferred class of stock was created for each series of preferred stock outstanding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240" w:after="0"/>
        <w:jc w:val="left"/>
        <w:rPr>
          <w:rFonts w:ascii="Times New Roman" w:hAnsi="Times New Roman"/>
          <w:sz w:val="20"/>
        </w:rPr>
      </w:pPr>
      <w:r>
        <w:rPr>
          <w:rFonts w:ascii="Times New Roman" w:hAnsi="Times New Roman"/>
          <w:sz w:val="20"/>
        </w:rPr>
        <w:t xml:space="preserve">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issued and outstanding shares of the redeemable convertible preferred stock and liquidation preferences as of December 31, 2024 and 2023 were as follows (dollars in thousands): </w:t>
      </w:r>
    </w:p>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3170"/>
        <w:gridCol w:w="120"/>
        <w:gridCol w:w="60"/>
        <w:gridCol w:w="1115"/>
        <w:gridCol w:w="60"/>
        <w:gridCol w:w="120"/>
        <w:gridCol w:w="66"/>
        <w:gridCol w:w="1214"/>
        <w:gridCol w:w="60"/>
        <w:gridCol w:w="120"/>
        <w:gridCol w:w="206"/>
        <w:gridCol w:w="1179"/>
        <w:gridCol w:w="60"/>
        <w:gridCol w:w="120"/>
        <w:gridCol w:w="181"/>
        <w:gridCol w:w="1039"/>
        <w:gridCol w:w="75"/>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Authorized</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Outstanding</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Carrying</w:t>
              <w:br/>
              <w:t>Value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Liquidation</w:t>
              <w:br/>
              <w:t>Preference</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5,032,238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2,020,309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698</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15,174,130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4,573,935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3,183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3,183</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18,392,046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12,234,661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8,442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8,442</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13,722,052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10,211,548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48,661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48,661</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4,707,494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3,990,707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41,673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41,673</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4,707,494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239,405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2,500</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D-1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3,935,839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3,662,318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30,595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30,595</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D-1 Exchange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3,935,839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D-2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27,042,965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7,561,820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37,595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37,595</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1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1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single" w:sz="2" w:space="1" w:color="000000"/>
              </w:rPr>
            </w:pPr>
            <w:r>
              <w:rPr>
                <w:bdr w:val="single" w:sz="2" w:space="1" w:color="000000"/>
              </w:rPr>
              <w:t> </w:t>
            </w:r>
          </w:p>
        </w:tc>
        <w:tc>
          <w:tcPr>
            <w:tcW w:w="117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03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96,650,097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44,494,703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283"/>
              <w:jc w:val="right"/>
              <w:rPr/>
            </w:pPr>
            <w:r>
              <w:rPr/>
              <w:t>173,347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173,347</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1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1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double" w:sz="6" w:space="1" w:color="000000"/>
              </w:rPr>
            </w:pPr>
            <w:r>
              <w:rPr>
                <w:bdr w:val="double" w:sz="6" w:space="1" w:color="000000"/>
              </w:rPr>
              <w:t> </w:t>
            </w:r>
          </w:p>
        </w:tc>
        <w:tc>
          <w:tcPr>
            <w:tcW w:w="117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03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155"/>
        <w:gridCol w:w="9050"/>
      </w:tblGrid>
      <w:tr>
        <w:trPr/>
        <w:tc>
          <w:tcPr>
            <w:tcW w:w="15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of issuance cost including cash, issuance of preferred stock warrants &amp; dividend contribution(In thousands)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terms of the redeemable convertible preferred stock outstanding for Series Seed Shadow, Series A Shadow, Series B Shadow, Series C Shadow, Series D Shadow, Series D Exchange Shadow,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D-1</w:t>
      </w:r>
    </w:p>
    <w:p>
      <w:pPr>
        <w:pStyle w:val="TextBody"/>
        <w:bidi w:val="0"/>
        <w:spacing w:before="240" w:after="0"/>
        <w:jc w:val="left"/>
        <w:rPr>
          <w:rFonts w:ascii="Times New Roman" w:hAnsi="Times New Roman"/>
          <w:sz w:val="20"/>
        </w:rPr>
      </w:pPr>
      <w:r>
        <w:rPr>
          <w:rFonts w:ascii="Times New Roman" w:hAnsi="Times New Roman"/>
          <w:sz w:val="20"/>
        </w:rPr>
        <w:t xml:space="preserve">Shadow and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z w:val="20"/>
        </w:rPr>
      </w:pPr>
      <w:r>
        <w:rPr>
          <w:rFonts w:ascii="Times New Roman" w:hAnsi="Times New Roman"/>
          <w:sz w:val="20"/>
        </w:rPr>
        <w:t xml:space="preserve">Shadow redeemable convertible preferred stock of the Company (collectively the “preferred stock”). The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z w:val="20"/>
        </w:rPr>
      </w:pPr>
      <w:r>
        <w:rPr>
          <w:rFonts w:ascii="Times New Roman" w:hAnsi="Times New Roman"/>
          <w:sz w:val="20"/>
        </w:rPr>
        <w:t xml:space="preserve">Shadow Preferred Stock, Series D Exchange Shadow Preferred Stock and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D-1</w:t>
      </w:r>
    </w:p>
    <w:p>
      <w:pPr>
        <w:pStyle w:val="TextBody"/>
        <w:bidi w:val="0"/>
        <w:spacing w:before="240" w:after="0"/>
        <w:jc w:val="left"/>
        <w:rPr>
          <w:rFonts w:ascii="Times New Roman" w:hAnsi="Times New Roman"/>
          <w:sz w:val="20"/>
        </w:rPr>
      </w:pPr>
      <w:r>
        <w:rPr>
          <w:rFonts w:ascii="Times New Roman" w:hAnsi="Times New Roman"/>
          <w:sz w:val="20"/>
        </w:rPr>
        <w:t xml:space="preserve">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basis) are entitled to elect any remaining directors of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The holders of Series B Preferred Stock and Series C Preferred Stock are entitled to receive dividends</w:t>
      </w:r>
    </w:p>
    <w:p>
      <w:pPr>
        <w:pStyle w:val="TextBody"/>
        <w:bidi w:val="0"/>
        <w:spacing w:before="120" w:after="0"/>
        <w:jc w:val="left"/>
        <w:rPr>
          <w:rFonts w:ascii="Times New Roman" w:hAnsi="Times New Roman"/>
          <w:sz w:val="20"/>
        </w:rPr>
      </w:pPr>
      <w:r>
        <w:rPr>
          <w:rFonts w:ascii="Times New Roman" w:hAnsi="Times New Roman"/>
          <w:sz w:val="20"/>
        </w:rPr>
        <w:t xml:space="preserve">prior and in preference to any dividends on the Series Seed Preferred Stock, Series A Preferred Stock and Common Stock, at the rate of $0.0552 per annum for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 of Series B Preferred Stock and $0.3812 per annum for each share of Series C Preferred Stock,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non-cumulative</w:t>
      </w:r>
    </w:p>
    <w:p>
      <w:pPr>
        <w:pStyle w:val="TextBody"/>
        <w:bidi w:val="0"/>
        <w:spacing w:before="0" w:after="0"/>
        <w:jc w:val="left"/>
        <w:rPr>
          <w:rFonts w:ascii="Times New Roman" w:hAnsi="Times New Roman"/>
          <w:sz w:val="20"/>
        </w:rPr>
      </w:pPr>
      <w:r>
        <w:rPr>
          <w:rFonts w:ascii="Times New Roman" w:hAnsi="Times New Roman"/>
          <w:sz w:val="20"/>
        </w:rPr>
        <w:t xml:space="preserve">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w:t>
      </w:r>
    </w:p>
    <w:p>
      <w:pPr>
        <w:pStyle w:val="TextBody"/>
        <w:bidi w:val="0"/>
        <w:spacing w:before="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0" w:after="0"/>
        <w:jc w:val="left"/>
        <w:rPr>
          <w:rFonts w:ascii="Times New Roman" w:hAnsi="Times New Roman"/>
          <w:sz w:val="20"/>
        </w:rPr>
      </w:pPr>
      <w:r>
        <w:rPr>
          <w:rFonts w:ascii="Times New Roman" w:hAnsi="Times New Roman"/>
          <w:sz w:val="20"/>
        </w:rPr>
        <w:t xml:space="preserve">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D-1</w:t>
      </w:r>
    </w:p>
    <w:p>
      <w:pPr>
        <w:pStyle w:val="TextBody"/>
        <w:bidi w:val="0"/>
        <w:spacing w:before="240" w:after="0"/>
        <w:jc w:val="left"/>
        <w:rPr>
          <w:rFonts w:ascii="Times New Roman" w:hAnsi="Times New Roman"/>
          <w:sz w:val="20"/>
        </w:rPr>
      </w:pPr>
      <w:r>
        <w:rPr>
          <w:rFonts w:ascii="Times New Roman" w:hAnsi="Times New Roman"/>
          <w:sz w:val="20"/>
        </w:rPr>
        <w:t xml:space="preserve">Shadow Preferred Stock; $4.9717 per share for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z w:val="20"/>
        </w:rPr>
      </w:pPr>
      <w:r>
        <w:rPr>
          <w:rFonts w:ascii="Times New Roman" w:hAnsi="Times New Roman"/>
          <w:sz w:val="20"/>
        </w:rPr>
        <w:t xml:space="preserve">Shadow Preferred Stock; $10.4425 per share for Series D Exchange Shadow Preferred Stock and $8.3540 per share for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D-1</w:t>
      </w:r>
    </w:p>
    <w:p>
      <w:pPr>
        <w:pStyle w:val="TextBody"/>
        <w:bidi w:val="0"/>
        <w:spacing w:before="240" w:after="0"/>
        <w:jc w:val="left"/>
        <w:rPr>
          <w:rFonts w:ascii="Times New Roman" w:hAnsi="Times New Roman"/>
          <w:sz w:val="20"/>
        </w:rPr>
      </w:pPr>
      <w:r>
        <w:rPr>
          <w:rFonts w:ascii="Times New Roman" w:hAnsi="Times New Roman"/>
          <w:sz w:val="20"/>
        </w:rPr>
        <w:t xml:space="preserve">Exchange Preferred Stock plus any declared but unpaid dividends on such shares. </w:t>
      </w:r>
    </w:p>
    <w:p>
      <w:pPr>
        <w:pStyle w:val="TextBody"/>
        <w:bidi w:val="0"/>
        <w:spacing w:before="240" w:after="0"/>
        <w:jc w:val="left"/>
        <w:rPr>
          <w:rFonts w:ascii="Times New Roman" w:hAnsi="Times New Roman"/>
          <w:sz w:val="20"/>
        </w:rPr>
      </w:pPr>
      <w:r>
        <w:rPr>
          <w:rFonts w:ascii="Times New Roman" w:hAnsi="Times New Roman"/>
          <w:sz w:val="20"/>
        </w:rPr>
        <w:t xml:space="preserve">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request could not be made until after the fifth anniversary of the date upon which shares of the Series C Preferred Stock are first issued, or July 2023. Such request was not made as of such date (see Note 7). </w:t>
      </w:r>
    </w:p>
    <w:p>
      <w:pPr>
        <w:pStyle w:val="TextBody"/>
        <w:bidi w:val="0"/>
        <w:spacing w:before="120" w:after="0"/>
        <w:jc w:val="left"/>
        <w:rPr>
          <w:rFonts w:ascii="Times New Roman" w:hAnsi="Times New Roman"/>
          <w:sz w:val="20"/>
        </w:rPr>
      </w:pPr>
      <w:r>
        <w:rPr>
          <w:rFonts w:ascii="Times New Roman" w:hAnsi="Times New Roman"/>
          <w:sz w:val="20"/>
        </w:rPr>
        <w:t xml:space="preserve">Due to conditions of redemption that are outside the control of the Company, the redeemable convertible preferred stock has been reflected outside of stockholders’ deficit.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all outstanding preferred stock was converted to common stock upon the execution of the Merger (see Note 1). </w:t>
      </w:r>
    </w:p>
    <w:p>
      <w:pPr>
        <w:pStyle w:val="TextBody"/>
        <w:bidi w:val="0"/>
        <w:spacing w:before="360" w:after="0"/>
        <w:jc w:val="left"/>
        <w:rPr>
          <w:rFonts w:ascii="Times New Roman" w:hAnsi="Times New Roman"/>
          <w:b/>
          <w:sz w:val="20"/>
        </w:rPr>
      </w:pPr>
      <w:r>
        <w:rPr>
          <w:rFonts w:ascii="Times New Roman" w:hAnsi="Times New Roman"/>
          <w:b/>
          <w:sz w:val="20"/>
        </w:rPr>
        <w:t xml:space="preserve">Note 11. Common stock and Stock-Based Compensation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At December 31, 2024 and 2023, there were 175,095,000 shares of common stock authorized, respectively, and 17,519,999 and 17,454,353 shares issued and outstanding,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Common stock reserved for issuance as of December 31, 2024 and 2023, is as follows: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5255"/>
        <w:gridCol w:w="120"/>
        <w:gridCol w:w="60"/>
        <w:gridCol w:w="1100"/>
        <w:gridCol w:w="155"/>
        <w:gridCol w:w="120"/>
        <w:gridCol w:w="60"/>
        <w:gridCol w:w="1100"/>
        <w:gridCol w:w="170"/>
      </w:tblGrid>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2,020,309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2,020,309</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4,573,935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4,573,935</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12,234,661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12,234,661</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10,211,548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10,211,548</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3,990,707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3,990,707</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239,405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239,405</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D-1</w:t>
            </w:r>
          </w:p>
          <w:p>
            <w:pPr>
              <w:pStyle w:val="TableContents"/>
              <w:bidi w:val="0"/>
              <w:spacing w:before="0" w:after="0"/>
              <w:jc w:val="left"/>
              <w:rPr>
                <w:rFonts w:ascii="Times New Roman" w:hAnsi="Times New Roman"/>
                <w:sz w:val="20"/>
              </w:rPr>
            </w:pPr>
            <w:r>
              <w:rPr>
                <w:rFonts w:ascii="Times New Roman" w:hAnsi="Times New Roman"/>
                <w:sz w:val="20"/>
              </w:rPr>
              <w:t>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3,662,318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3,662,318</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7,561,820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7,561,820</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Warrants outstanding for future issuance of Series D Shadow and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756,172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1,094,667</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Shadow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Warrants outstanding for future issuance of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2,063</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warrants (estimated see Note 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1,127,088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721,086</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(a</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(a</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 (estimated see Note 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7,007,582</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 April 2024 (estimated see Note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and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41,018,458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21,354,809</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available for future issuance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2,226,705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839,706</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of common stock reserved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96,123,126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75,514,616</w:t>
            </w:r>
          </w:p>
        </w:tc>
        <w:tc>
          <w:tcPr>
            <w:tcW w:w="170"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shares to be issued upon exercise of the 2023 Convertible Note Warrants is not determinable as of December 31, 2023 due to the variable settlement terms (see Note 8). </w:t>
            </w:r>
          </w:p>
        </w:tc>
      </w:tr>
    </w:tbl>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compensation expense for service-based options on a straight-line basis over the requisite service period of all employees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which is the award’s vesting term, generally over four years. The Company accounts for forfeitures when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RSUs is determined based on the Company’s estimated fair value of common stock at the date of grant, as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there were service-based stock options outstanding to purchase a total of 36,363,184 shares of common stock under the Plan and 4,655,274 unvested RSUs. As of December 31, 2024, 2,226,705 shares of common stock were available for issuance for either stock option or RSU grants under the 2011 Amended Plan. </w:t>
      </w:r>
    </w:p>
    <w:p>
      <w:pPr>
        <w:pStyle w:val="TextBody"/>
        <w:bidi w:val="0"/>
        <w:spacing w:before="360" w:after="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 xml:space="preserve">Options: </w:t>
      </w:r>
    </w:p>
    <w:p>
      <w:pPr>
        <w:pStyle w:val="TextBody"/>
        <w:bidi w:val="0"/>
        <w:spacing w:before="120" w:after="0"/>
        <w:jc w:val="left"/>
        <w:rPr>
          <w:rFonts w:ascii="Times New Roman" w:hAnsi="Times New Roman"/>
          <w:sz w:val="20"/>
        </w:rPr>
      </w:pPr>
      <w:r>
        <w:rPr>
          <w:rFonts w:ascii="Times New Roman" w:hAnsi="Times New Roman"/>
          <w:sz w:val="20"/>
        </w:rPr>
        <w:t xml:space="preserve">A summary of stock option activity as of December 31, 2024 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76"/>
        <w:gridCol w:w="120"/>
        <w:gridCol w:w="63"/>
        <w:gridCol w:w="1157"/>
        <w:gridCol w:w="155"/>
        <w:gridCol w:w="120"/>
        <w:gridCol w:w="277"/>
        <w:gridCol w:w="1108"/>
        <w:gridCol w:w="60"/>
        <w:gridCol w:w="120"/>
        <w:gridCol w:w="242"/>
        <w:gridCol w:w="1293"/>
        <w:gridCol w:w="60"/>
        <w:gridCol w:w="120"/>
        <w:gridCol w:w="247"/>
        <w:gridCol w:w="1210"/>
        <w:gridCol w:w="77"/>
      </w:tblGrid>
      <w:tr>
        <w:trPr/>
        <w:tc>
          <w:tcPr>
            <w:tcW w:w="3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options</w:t>
              <w:br/>
              <w:t>outstanding</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exercise 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remaining</w:t>
              <w:br/>
              <w:t>contractual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 value</w:t>
              <w:br/>
              <w:t>(in thousands)</w:t>
            </w:r>
          </w:p>
        </w:tc>
        <w:tc>
          <w:tcPr>
            <w:tcW w:w="77" w:type="dxa"/>
            <w:tcBorders/>
            <w:vAlign w:val="center"/>
          </w:tcPr>
          <w:p>
            <w:pPr>
              <w:pStyle w:val="TableContents"/>
              <w:bidi w:val="0"/>
              <w:spacing w:before="0" w:after="283"/>
              <w:jc w:val="left"/>
              <w:rPr/>
            </w:pPr>
            <w:r>
              <w:rPr/>
              <w:t> </w:t>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2022</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1,325,844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9.10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925</w:t>
            </w:r>
          </w:p>
        </w:tc>
        <w:tc>
          <w:tcPr>
            <w:tcW w:w="77" w:type="dxa"/>
            <w:tcBorders/>
            <w:shd w:fill="CCEEFF" w:val="clear"/>
            <w:vAlign w:val="center"/>
          </w:tcPr>
          <w:p>
            <w:pPr>
              <w:pStyle w:val="TableContents"/>
              <w:bidi w:val="0"/>
              <w:spacing w:before="0" w:after="283"/>
              <w:jc w:val="left"/>
              <w:rPr/>
            </w:pPr>
            <w:r>
              <w:rPr/>
              <w:t> </w:t>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15,141,280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(8,601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0.80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(19,543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2023</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16,437,980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1.12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13,907</w:t>
            </w:r>
          </w:p>
        </w:tc>
        <w:tc>
          <w:tcPr>
            <w:tcW w:w="77" w:type="dxa"/>
            <w:tcBorders/>
            <w:vAlign w:val="center"/>
          </w:tcPr>
          <w:p>
            <w:pPr>
              <w:pStyle w:val="TableContents"/>
              <w:bidi w:val="0"/>
              <w:spacing w:before="0" w:after="283"/>
              <w:jc w:val="left"/>
              <w:rPr/>
            </w:pPr>
            <w:r>
              <w:rPr/>
              <w:t> </w:t>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21,329,457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(65,646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(5,500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(1,333,107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2024</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36,363,184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0.99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22,845</w:t>
            </w:r>
          </w:p>
        </w:tc>
        <w:tc>
          <w:tcPr>
            <w:tcW w:w="77" w:type="dxa"/>
            <w:tcBorders/>
            <w:shd w:fill="CCEEFF" w:val="clear"/>
            <w:vAlign w:val="center"/>
          </w:tcPr>
          <w:p>
            <w:pPr>
              <w:pStyle w:val="TableContents"/>
              <w:bidi w:val="0"/>
              <w:spacing w:before="0" w:after="283"/>
              <w:jc w:val="left"/>
              <w:rPr/>
            </w:pPr>
            <w:r>
              <w:rPr/>
              <w:t> </w:t>
            </w:r>
          </w:p>
        </w:tc>
      </w:tr>
      <w:tr>
        <w:trPr/>
        <w:tc>
          <w:tcPr>
            <w:tcW w:w="3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115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Vested/expected to vest at December 31, 2024</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35,560,434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0.99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22,492</w:t>
            </w:r>
          </w:p>
        </w:tc>
        <w:tc>
          <w:tcPr>
            <w:tcW w:w="77" w:type="dxa"/>
            <w:tcBorders/>
            <w:vAlign w:val="center"/>
          </w:tcPr>
          <w:p>
            <w:pPr>
              <w:pStyle w:val="TableContents"/>
              <w:bidi w:val="0"/>
              <w:spacing w:before="0" w:after="283"/>
              <w:jc w:val="left"/>
              <w:rPr/>
            </w:pPr>
            <w:r>
              <w:rPr/>
              <w:t> </w:t>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Exercisable options at December 31, 2024</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9,614,865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7,066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service-based options exercised during the years ended December 31, 2024 and 2023 was $17,000 and zero, respectively. The intrinsic value is the difference between the estimated fair value of the Company’s common stock at the date of exercise and the exercise price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in-the-money</w:t>
      </w:r>
    </w:p>
    <w:p>
      <w:pPr>
        <w:pStyle w:val="TextBody"/>
        <w:bidi w:val="0"/>
        <w:spacing w:before="240" w:after="0"/>
        <w:jc w:val="left"/>
        <w:rPr>
          <w:rFonts w:ascii="Times New Roman" w:hAnsi="Times New Roman"/>
          <w:sz w:val="20"/>
        </w:rPr>
      </w:pPr>
      <w:r>
        <w:rPr>
          <w:rFonts w:ascii="Times New Roman" w:hAnsi="Times New Roman"/>
          <w:sz w:val="20"/>
        </w:rPr>
        <w:t xml:space="preserve">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grant-date fair value of options granted during the years ended December 31, 2024 and 2023 was $0.88 per share and $0.25 per share, respectively. The total grant date fair value of stock options that vested during the years ended December 31, 2024 and 2023 was $2.8 million and $0.8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there were approximately $18.2 million of total unrecognized compensation cost related to unvested stock options granted, which is expected to be recognized over the weighted-average period of 2.4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stock-based compensation expense for stock options and the 2024 cancellation of 135,400 RSUs during the years ended December 31, 2024 and 2023, as follows (in thousands):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2870"/>
        <w:gridCol w:w="120"/>
        <w:gridCol w:w="140"/>
        <w:gridCol w:w="560"/>
        <w:gridCol w:w="60"/>
        <w:gridCol w:w="120"/>
        <w:gridCol w:w="140"/>
        <w:gridCol w:w="560"/>
        <w:gridCol w:w="75"/>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372</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2,111</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fair value of the Company’s stock options granted in the years ended December 31, 2024 and 2023 was estimated using the Black-Scholes model with the range of assumptions stated below: </w:t>
      </w:r>
    </w:p>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3755"/>
        <w:gridCol w:w="120"/>
        <w:gridCol w:w="140"/>
        <w:gridCol w:w="1685"/>
        <w:gridCol w:w="60"/>
        <w:gridCol w:w="120"/>
        <w:gridCol w:w="140"/>
        <w:gridCol w:w="1685"/>
        <w:gridCol w:w="75"/>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3.99% -4.43%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4.44% -4.46%</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5.00 -6.22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5.00 -6.01</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0"/>
              <w:jc w:val="right"/>
              <w:rPr>
                <w:spacing w:val="0"/>
              </w:rPr>
            </w:pPr>
            <w:r>
              <w:rPr>
                <w:spacing w:val="0"/>
              </w:rPr>
              <w:t>56.92% - 57.51%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0"/>
              <w:jc w:val="right"/>
              <w:rPr>
                <w:spacing w:val="0"/>
              </w:rPr>
            </w:pPr>
            <w:r>
              <w:rPr>
                <w:spacing w:val="0"/>
              </w:rPr>
              <w:t>56.74% - 57.56%</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r>
              <w:rPr/>
              <w:t>%</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fair value of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0.88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0.25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mid-point</w:t>
      </w:r>
    </w:p>
    <w:p>
      <w:pPr>
        <w:pStyle w:val="TextBody"/>
        <w:bidi w:val="0"/>
        <w:spacing w:before="240" w:after="0"/>
        <w:jc w:val="left"/>
        <w:rPr>
          <w:rFonts w:ascii="Times New Roman" w:hAnsi="Times New Roman"/>
          <w:sz w:val="20"/>
        </w:rPr>
      </w:pPr>
      <w:r>
        <w:rPr>
          <w:rFonts w:ascii="Times New Roman" w:hAnsi="Times New Roman"/>
          <w:sz w:val="20"/>
        </w:rPr>
        <w:t xml:space="preserve">between the vesting date and the end of the contractual term of the option). The Company has no history or experience of paying cash dividends on its common stock and thus, has assumed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zero-dividend</w:t>
      </w:r>
    </w:p>
    <w:p>
      <w:pPr>
        <w:pStyle w:val="TextBody"/>
        <w:bidi w:val="0"/>
        <w:spacing w:before="240" w:after="0"/>
        <w:jc w:val="left"/>
        <w:rPr>
          <w:rFonts w:ascii="Times New Roman" w:hAnsi="Times New Roman"/>
          <w:sz w:val="20"/>
        </w:rPr>
      </w:pPr>
      <w:r>
        <w:rPr>
          <w:rFonts w:ascii="Times New Roman" w:hAnsi="Times New Roman"/>
          <w:sz w:val="20"/>
        </w:rPr>
        <w:t xml:space="preserve">rate. The assumptions used to calculate the fair value of options granted are evaluated and revised for new awards, as necessary, to reflect market conditions and experience.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all outstanding options were converted into new instruments in accordance with the terms of the Merger (see Note 1). </w:t>
      </w:r>
    </w:p>
    <w:p>
      <w:pPr>
        <w:pStyle w:val="TextBody"/>
        <w:bidi w:val="0"/>
        <w:spacing w:before="360" w:after="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 xml:space="preserve">Restricted-Stock Units: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Company’s RSU activity issued under the 2011 Amended Plan, inclusive of the 6,000,000 RSUs issued to an investor (see Notes 7 and 13), for the years ended December 31, 2024 and 2023 is as follows: </w:t>
      </w:r>
    </w:p>
    <w:p>
      <w:pPr>
        <w:pStyle w:val="TextBody"/>
        <w:bidi w:val="0"/>
        <w:spacing w:before="0" w:after="0"/>
        <w:jc w:val="left"/>
        <w:rPr/>
      </w:pPr>
      <w:r>
        <w:rPr/>
        <w:t> </w:t>
      </w:r>
    </w:p>
    <w:tbl>
      <w:tblPr>
        <w:tblW w:w="6050" w:type="dxa"/>
        <w:jc w:val="left"/>
        <w:tblInd w:w="0" w:type="dxa"/>
        <w:tblLayout w:type="fixed"/>
        <w:tblCellMar>
          <w:top w:w="0" w:type="dxa"/>
          <w:left w:w="0" w:type="dxa"/>
          <w:bottom w:w="0" w:type="dxa"/>
          <w:right w:w="0" w:type="dxa"/>
        </w:tblCellMar>
      </w:tblPr>
      <w:tblGrid>
        <w:gridCol w:w="2945"/>
        <w:gridCol w:w="120"/>
        <w:gridCol w:w="60"/>
        <w:gridCol w:w="1100"/>
        <w:gridCol w:w="155"/>
        <w:gridCol w:w="120"/>
        <w:gridCol w:w="295"/>
        <w:gridCol w:w="1180"/>
        <w:gridCol w:w="75"/>
      </w:tblGrid>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Awards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 grant</w:t>
              <w:br/>
              <w:t>date fair value</w:t>
              <w:br/>
              <w:t>(per share)</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Nonvested as of January 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137,909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15.28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10,929,820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0.60</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0.44</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(150,900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1.98</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Nonvested as of December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4,916,829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1.18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(254,555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0.88</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0.82</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Nonvested as of December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4,655,274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1.19</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2024, no stock-based compensation expense was recognized for the periods presented. As of December 31, 2024, there was $6.3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6,000,000 RSUs issued as part of the 2023 Convertible Note financing were fair valued on the date of grant and recognized as debt financing charge at date of transaction (see Notes 8 and 13). Effective December 21, 2023, as a condition of executing the Merger Agreement, the Company accelerated the vesting associated with the 6,000,000 RSUs. Upon acceleration, the RSUs were immediately exchanged and 6,000,000 shares of common stock issued. The modification of vesting terms resulted in the recognition of $1.7 million in stock-based compensation expense during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all outstanding RSUs were converted into new instruments in accordance with the terms of the Merger (see Note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12.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Company had outstanding purchase orders and contractual obligations totaling $0.2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years ended December 31, 2024 and 2023, the Company purchased inventories of $4.3 million and $4.4 million, respectively, due to this obligation.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non-returnable</w:t>
      </w:r>
    </w:p>
    <w:p>
      <w:pPr>
        <w:pStyle w:val="TextBody"/>
        <w:bidi w:val="0"/>
        <w:spacing w:before="240" w:after="0"/>
        <w:jc w:val="left"/>
        <w:rPr>
          <w:rFonts w:ascii="Times New Roman" w:hAnsi="Times New Roman"/>
          <w:sz w:val="20"/>
        </w:rPr>
      </w:pPr>
      <w:r>
        <w:rPr>
          <w:rFonts w:ascii="Times New Roman" w:hAnsi="Times New Roman"/>
          <w:sz w:val="20"/>
        </w:rPr>
        <w:t xml:space="preserve">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2024 and 2023, the liability balance of the Company’s accrued losses on accrued purchase commitments equaled $0.6 million and $3.6 million, respectively, on the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BurTech LP LLC and BurTech entered into a letter agreement. Under this agreement, conditioned upon the occurrence of the closing of the Merger, BurTech LP LLC agreed to forfeit 2,000,000 BurTech Shares to be effective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z w:val="20"/>
        </w:rPr>
      </w:pPr>
      <w:r>
        <w:rPr>
          <w:rFonts w:ascii="Times New Roman" w:hAnsi="Times New Roman"/>
          <w:sz w:val="20"/>
        </w:rPr>
        <w:t xml:space="preserve">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z w:val="20"/>
        </w:rPr>
      </w:pPr>
      <w:r>
        <w:rPr>
          <w:rFonts w:ascii="Times New Roman" w:hAnsi="Times New Roman"/>
          <w:sz w:val="20"/>
        </w:rPr>
        <w:t xml:space="preserve">requirements.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2024, BurTech, Merger Sub, the Company and Burkhan entered into an Amendment No. 2 to Agreement and Plan of Merger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and subject to the conditions set forth in the Merger Agreement, on January 13, 2025, the transaction was consummated (see Note 1).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On September 19, 2024, the Company entered into an engagement letter with KeyBanc Capital Markets Inc. (“KBCM”) to serve as its (i) exclusive strategic advisor in connection with the Business Combination, (ii) sole 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by KBCM has used reasonable best efforts to secure such a private placement, a fee of $500,000 promptly (but not later than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 business days</w:t>
      </w:r>
    </w:p>
    <w:p>
      <w:pPr>
        <w:pStyle w:val="TextBody"/>
        <w:bidi w:val="0"/>
        <w:spacing w:before="120" w:after="0"/>
        <w:jc w:val="left"/>
        <w:rPr>
          <w:rFonts w:ascii="Times New Roman" w:hAnsi="Times New Roman"/>
          <w:sz w:val="20"/>
        </w:rPr>
      </w:pPr>
      <w:r>
        <w:rPr>
          <w:rFonts w:ascii="Times New Roman" w:hAnsi="Times New Roman"/>
          <w:sz w:val="20"/>
        </w:rPr>
        <w:t xml:space="preserve">) following the close of the Business Combination. Additionally, a sale transaction fee will be paid, calculated as the greater of $3,000,000 or 1% of the transaction value.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2024, contingent upon the close of the proposed merger on or before December 31, 2024 and continued employment or services to the Company on the applicable grant date, the Company’s Board of Directors approved the issuance of 6,936,285 restricted stock units under the New Blaize equity plan. </w:t>
      </w:r>
    </w:p>
    <w:p>
      <w:pPr>
        <w:pStyle w:val="TextBody"/>
        <w:bidi w:val="0"/>
        <w:spacing w:before="240" w:after="0"/>
        <w:jc w:val="left"/>
        <w:rPr>
          <w:rFonts w:ascii="Times New Roman" w:hAnsi="Times New Roman"/>
          <w:sz w:val="20"/>
        </w:rPr>
      </w:pPr>
      <w:r>
        <w:rPr>
          <w:rFonts w:ascii="Times New Roman" w:hAnsi="Times New Roman"/>
          <w:sz w:val="20"/>
        </w:rPr>
        <w:t xml:space="preserve">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the Company entered into an agreement for capital market services which included advisory services and a finder’s fee, for which payment was due upon the close of the Merger (see Note 1). Under the terms of the agreement, at the discretion of the Company, the advisory fee of $0.8 million is to be paid in the form of (i) cash and (ii) cash or a combination of cash and shares of common stock of New Blaize at a price of $10 per share at various dates in 2025. The finder’s fee, equal to a specified percentage of the trust value for the Company’s shares held by investors introduced by the advisor, is to be paid fifty percent in cash and fifty-percent in shares of New Blaize at a price of $10.00 per share, concurrent with the close of the Meger.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 </w:t>
      </w:r>
    </w:p>
    <w:p>
      <w:pPr>
        <w:pStyle w:val="TextBody"/>
        <w:bidi w:val="0"/>
        <w:spacing w:before="360" w:after="0"/>
        <w:jc w:val="left"/>
        <w:rPr>
          <w:rFonts w:ascii="Times New Roman" w:hAnsi="Times New Roman"/>
          <w:b/>
          <w:sz w:val="20"/>
        </w:rPr>
      </w:pPr>
      <w:r>
        <w:rPr>
          <w:rFonts w:ascii="Times New Roman" w:hAnsi="Times New Roman"/>
          <w:b/>
          <w:sz w:val="20"/>
        </w:rPr>
        <w:t xml:space="preserve">Note 13. Related Party Transactions and Balances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2024, the Company recognized revenues of approximately $1.5 million, or approximately 98% of its total revenue, from sales to two minority stockholders. During the year ended December 31, 2023, the Company recognized revenues of approximately $3.8 million, or nearly 100% of its total revenue, from sales to one minority stockholders. As of December 31, 2024 and 2023, there was zero and $0.5 million of accounts receivables from one of these customers, respectively, all of which was unbilled.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$5.0 million or 41% of the total 2023 Convertible Note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$6.9 million and $8.0 million, respectively. As of December 31, 2023, the related party 2023 Convertible Note and 2023 Convertible Note Warrants approximate $7.3 million and $0.9 million, respectively. During the years ended December 31, 2024 and 2023, the change in fair value for the 2023 Convertible Note equaled $0.4 million and $3.0 million, respectively (see Note 4). During the years ended December 31, 2024 and 2023, the change in fair value for the 2023 Convertible Note Warrants equaled $0.8 million and $0.2 million, respectively (see Note 4). In conjunction with the issuance of the 2023 Convertible Note, the Company issued 6,000,000 RSUs to the investor. The issuance date fair value of the RSUs was recognized as a financing charge (see Note 8). In December 2023, the terms of the RSUs were modified resulting in accelerated vesting and immediate issuance of 6,000,000 common stock shares for which incremental stock-based compensation expense was recorded (see Note 11).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one of the minority investors with which the Company had a revenue arrangement, representing 21% and zero percent of revenue for the years ended December 31, 2024 and 2023,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$4.2 million and nearly zero, respectively. As of December 31, 2023, the related party P2P Note and P2P Warrants approximate $3.9 million and $0.3 million, respectively. During the years ended December 31, 2024 and 2023, the change in fair value for the P2P Note equaled $0.3 million and $0.9 million, respectively (see Note 4). During the years ended December 31, 2024 and 2023, the change in fair value for P2P Warrants equaled $0.3 million and $32,000 respectively (see Note 4).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one of the minority stockholders with which the Company had a revenue arrangement, representing 77% and nearly 100% of total revenues for the years ended December 31, 2024 and 2023, and zero percent and 98% of accounts receivable as of December 31, 2024 and 2023, respectively, also invested in a 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$0.5 million and nearly zero, respectively. As of December 31, 2023, the related party P2P Note and P2P Warrants approximate $0.4 million and $29,000, respectively. During the year ended December 31, 2024, the change in fair value for the P2P Note and P2P Note Warrants equaled $38,000 and $29,000, respectively (see Note 4). During the year ended December 31, 2023, the change in fair value for the P2P Note and P2P Note Warrants was immaterial (see Note 4). </w:t>
      </w:r>
    </w:p>
    <w:p>
      <w:pPr>
        <w:pStyle w:val="TextBody"/>
        <w:bidi w:val="0"/>
        <w:spacing w:before="240" w:after="0"/>
        <w:jc w:val="left"/>
        <w:rPr>
          <w:rFonts w:ascii="Times New Roman" w:hAnsi="Times New Roman"/>
          <w:sz w:val="20"/>
        </w:rPr>
      </w:pPr>
      <w:r>
        <w:rPr>
          <w:rFonts w:ascii="Times New Roman" w:hAnsi="Times New Roman"/>
          <w:sz w:val="20"/>
        </w:rPr>
        <w:t xml:space="preserve">During 2024, the Company incurred $0.3 million of marketing expenses paid to a Company owned by a direct family member of a minority stockholder and Company board of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Note 14. Net Loss Per Share Attributable to Common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computation of basic and dilutive net loss per share attributable to common stockholders for the years ended December 31,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85"/>
        <w:gridCol w:w="1987"/>
        <w:gridCol w:w="2006"/>
        <w:gridCol w:w="120"/>
        <w:gridCol w:w="140"/>
        <w:gridCol w:w="1100"/>
        <w:gridCol w:w="155"/>
        <w:gridCol w:w="120"/>
        <w:gridCol w:w="140"/>
        <w:gridCol w:w="980"/>
        <w:gridCol w:w="172"/>
      </w:tblGrid>
      <w:tr>
        <w:trPr/>
        <w:tc>
          <w:tcPr>
            <w:tcW w:w="328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78" w:type="dxa"/>
            <w:gridSpan w:val="3"/>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2" w:type="dxa"/>
            <w:tcBorders/>
            <w:vAlign w:val="center"/>
          </w:tcPr>
          <w:p>
            <w:pPr>
              <w:pStyle w:val="TableContents"/>
              <w:bidi w:val="0"/>
              <w:spacing w:before="0" w:after="283"/>
              <w:jc w:val="left"/>
              <w:rPr/>
            </w:pPr>
            <w:r>
              <w:rPr/>
              <w:t> </w:t>
            </w:r>
          </w:p>
        </w:tc>
      </w:tr>
      <w:tr>
        <w:trPr/>
        <w:tc>
          <w:tcPr>
            <w:tcW w:w="7278" w:type="dxa"/>
            <w:gridSpan w:val="3"/>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78" w:type="dxa"/>
            <w:gridSpan w:val="3"/>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(87,589</w:t>
            </w:r>
          </w:p>
        </w:tc>
        <w:tc>
          <w:tcPr>
            <w:tcW w:w="172" w:type="dxa"/>
            <w:tcBorders/>
            <w:vAlign w:val="center"/>
          </w:tcPr>
          <w:p>
            <w:pPr>
              <w:pStyle w:val="TableContents"/>
              <w:bidi w:val="0"/>
              <w:spacing w:before="0" w:after="283"/>
              <w:jc w:val="left"/>
              <w:rPr/>
            </w:pPr>
            <w:r>
              <w:rPr/>
              <w:t>) </w:t>
            </w:r>
          </w:p>
        </w:tc>
      </w:tr>
      <w:tr>
        <w:trPr/>
        <w:tc>
          <w:tcPr>
            <w:tcW w:w="7278" w:type="dxa"/>
            <w:gridSpan w:val="3"/>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78" w:type="dxa"/>
            <w:gridSpan w:val="3"/>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78"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outstanding used to compute 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17,476,105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4,213,244</w:t>
            </w:r>
          </w:p>
        </w:tc>
        <w:tc>
          <w:tcPr>
            <w:tcW w:w="172" w:type="dxa"/>
            <w:tcBorders/>
            <w:shd w:fill="CCEEFF" w:val="clear"/>
            <w:vAlign w:val="center"/>
          </w:tcPr>
          <w:p>
            <w:pPr>
              <w:pStyle w:val="TableContents"/>
              <w:bidi w:val="0"/>
              <w:spacing w:before="0" w:after="283"/>
              <w:jc w:val="left"/>
              <w:rPr/>
            </w:pPr>
            <w:r>
              <w:rPr/>
              <w:t> </w:t>
            </w:r>
          </w:p>
        </w:tc>
      </w:tr>
      <w:tr>
        <w:trPr/>
        <w:tc>
          <w:tcPr>
            <w:tcW w:w="7278"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7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(20.79</w:t>
            </w:r>
          </w:p>
        </w:tc>
        <w:tc>
          <w:tcPr>
            <w:tcW w:w="172" w:type="dxa"/>
            <w:tcBorders/>
            <w:vAlign w:val="center"/>
          </w:tcPr>
          <w:p>
            <w:pPr>
              <w:pStyle w:val="TableContents"/>
              <w:bidi w:val="0"/>
              <w:spacing w:before="0" w:after="283"/>
              <w:jc w:val="left"/>
              <w:rPr/>
            </w:pPr>
            <w:r>
              <w:rPr/>
              <w:t>) </w:t>
            </w:r>
          </w:p>
        </w:tc>
      </w:tr>
      <w:tr>
        <w:trPr/>
        <w:tc>
          <w:tcPr>
            <w:tcW w:w="7278"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potentially dilutive securities were excluded from the calculation of diluted net loss per share attributable to common shareholders for the periods presented because the impact of including them would have been anti-dilutive for the years ended December 31, 2024 and 2023: </w:t>
      </w:r>
    </w:p>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3425"/>
        <w:gridCol w:w="120"/>
        <w:gridCol w:w="60"/>
        <w:gridCol w:w="1100"/>
        <w:gridCol w:w="155"/>
        <w:gridCol w:w="120"/>
        <w:gridCol w:w="60"/>
        <w:gridCol w:w="1100"/>
        <w:gridCol w:w="17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44,494,703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44,494,703</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36,363,184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16,437,980</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4,655,274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4,916,829</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D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preferred stock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756,172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1,094,667</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warrants (estimated See Note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1,127,088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721,086</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(a</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(a</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2,063</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 (estimated See Note 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7,007,582</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 April 2024 (estimated See Note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potentially dilutive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93,896,421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74,674,910</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shares to be issued upon exercise of the 2023 Convertible Note Warrants is not determinable due to the variable settlement terms (see Note 8).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15. Employee Benefit Plan </w:t>
      </w:r>
    </w:p>
    <w:p>
      <w:pPr>
        <w:pStyle w:val="TextBody"/>
        <w:bidi w:val="0"/>
        <w:spacing w:before="120" w:after="0"/>
        <w:jc w:val="left"/>
        <w:rPr>
          <w:rFonts w:ascii="Times New Roman" w:hAnsi="Times New Roman"/>
          <w:sz w:val="20"/>
        </w:rPr>
      </w:pPr>
      <w:r>
        <w:rPr>
          <w:rFonts w:ascii="Times New Roman" w:hAnsi="Times New Roman"/>
          <w:sz w:val="20"/>
        </w:rPr>
        <w:t xml:space="preserve">A 401(k) plan is provided that covers substantially all employees meeting certain age and service requirements. The Company makes discretionary contributions to the 401(k) plan. The Company recorded $0.6 million and $0.5 million in matching contributions for the years ended December 31, 2024 and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Long-term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2024 and 2023, the related liability is included within accrued compensation and other liabilities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16.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 </w:t>
      </w:r>
    </w:p>
    <w:p>
      <w:pPr>
        <w:pStyle w:val="TextBody"/>
        <w:bidi w:val="0"/>
        <w:spacing w:before="240" w:after="0"/>
        <w:jc w:val="left"/>
        <w:rPr>
          <w:rFonts w:ascii="Times New Roman" w:hAnsi="Times New Roman"/>
          <w:sz w:val="20"/>
        </w:rPr>
      </w:pPr>
      <w:r>
        <w:rPr>
          <w:rFonts w:ascii="Times New Roman" w:hAnsi="Times New Roman"/>
          <w:sz w:val="20"/>
        </w:rPr>
        <w:t xml:space="preserve">Net loss for the years ended December 31, 2024 and 2023 is as follows (in thousands): </w:t>
      </w:r>
    </w:p>
    <w:p>
      <w:pPr>
        <w:pStyle w:val="TextBody"/>
        <w:bidi w:val="0"/>
        <w:spacing w:before="0" w:after="0"/>
        <w:jc w:val="left"/>
        <w:rPr/>
      </w:pPr>
      <w:r>
        <w:rPr/>
        <w:t> </w:t>
      </w:r>
    </w:p>
    <w:tbl>
      <w:tblPr>
        <w:tblW w:w="5735" w:type="dxa"/>
        <w:jc w:val="left"/>
        <w:tblInd w:w="0" w:type="dxa"/>
        <w:tblLayout w:type="fixed"/>
        <w:tblCellMar>
          <w:top w:w="0" w:type="dxa"/>
          <w:left w:w="0" w:type="dxa"/>
          <w:bottom w:w="0" w:type="dxa"/>
          <w:right w:w="0" w:type="dxa"/>
        </w:tblCellMar>
      </w:tblPr>
      <w:tblGrid>
        <w:gridCol w:w="3380"/>
        <w:gridCol w:w="120"/>
        <w:gridCol w:w="140"/>
        <w:gridCol w:w="755"/>
        <w:gridCol w:w="155"/>
        <w:gridCol w:w="120"/>
        <w:gridCol w:w="140"/>
        <w:gridCol w:w="755"/>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3,856</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Costs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3,656</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31,981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23,773</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2,693</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2,040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interest (income)/expense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changes and financing charges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16,187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49,454</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10,325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9,574</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(87,589</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in segment net loss includes marketing expense, professional fees, income tax expense, facilities costs, foreign currency exchange gains and losses, credit loss, and other overhead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measure of segment assets is reported on the consolidated balance sheet as total consolidated assets. Long-lived and ROU assets located in the United States, Asia Pacific and United Kingdon region were as follows: </w:t>
      </w:r>
    </w:p>
    <w:p>
      <w:pPr>
        <w:pStyle w:val="TextBody"/>
        <w:bidi w:val="0"/>
        <w:spacing w:before="0" w:after="0"/>
        <w:jc w:val="left"/>
        <w:rPr/>
      </w:pPr>
      <w:r>
        <w:rPr/>
        <w:t> </w:t>
      </w:r>
    </w:p>
    <w:tbl>
      <w:tblPr>
        <w:tblW w:w="7279" w:type="dxa"/>
        <w:jc w:val="left"/>
        <w:tblInd w:w="0" w:type="dxa"/>
        <w:tblLayout w:type="fixed"/>
        <w:tblCellMar>
          <w:top w:w="0" w:type="dxa"/>
          <w:left w:w="0" w:type="dxa"/>
          <w:bottom w:w="0" w:type="dxa"/>
          <w:right w:w="0" w:type="dxa"/>
        </w:tblCellMar>
      </w:tblPr>
      <w:tblGrid>
        <w:gridCol w:w="1400"/>
        <w:gridCol w:w="120"/>
        <w:gridCol w:w="256"/>
        <w:gridCol w:w="1024"/>
        <w:gridCol w:w="74"/>
        <w:gridCol w:w="148"/>
        <w:gridCol w:w="250"/>
        <w:gridCol w:w="1000"/>
        <w:gridCol w:w="60"/>
        <w:gridCol w:w="120"/>
        <w:gridCol w:w="256"/>
        <w:gridCol w:w="1024"/>
        <w:gridCol w:w="74"/>
        <w:gridCol w:w="148"/>
        <w:gridCol w:w="250"/>
        <w:gridCol w:w="1000"/>
        <w:gridCol w:w="7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2" w:type="dxa"/>
            <w:gridSpan w:val="6"/>
            <w:tcBorders/>
            <w:vAlign w:val="center"/>
          </w:tcPr>
          <w:p>
            <w:pPr>
              <w:pStyle w:val="TableContents"/>
              <w:bidi w:val="0"/>
              <w:spacing w:before="0" w:after="0"/>
              <w:jc w:val="center"/>
              <w:rPr>
                <w:b/>
                <w:spacing w:val="0"/>
              </w:rPr>
            </w:pPr>
            <w:r>
              <w:rPr>
                <w:b/>
                <w:spacing w:val="0"/>
              </w:rPr>
              <w:t>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2" w:type="dxa"/>
            <w:gridSpan w:val="6"/>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Fixed Assets</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ROU 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Fixed Assets</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ROU Assets</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1,095</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368</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421</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913</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1,175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1,038</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1,477</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73</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149</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525</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2,081</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1,555</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2,423</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024"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024"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17.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the Company consummated the Merger (See Note 1 “Description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$0.5 million for capital market advisory services is due (1) $0.3 million upon the closing of the Merger with fifty-percent paid in cash and fifty percent paid in common stock of New Blaize; and 0.2 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50 000 shares of common stock at a price of $11.50 per share for a term of five years. On February 10, 2025, New Blaize issued the 50,000 common stock warrants. </w:t>
      </w:r>
    </w:p>
    <w:p>
      <w:pPr>
        <w:pStyle w:val="TextBody"/>
        <w:bidi w:val="0"/>
        <w:spacing w:before="240" w:after="0"/>
        <w:jc w:val="left"/>
        <w:rPr>
          <w:rFonts w:ascii="Times New Roman" w:hAnsi="Times New Roman"/>
          <w:sz w:val="20"/>
        </w:rPr>
      </w:pPr>
      <w:r>
        <w:rPr>
          <w:rFonts w:ascii="Times New Roman" w:hAnsi="Times New Roman"/>
          <w:sz w:val="20"/>
        </w:rPr>
        <w:t xml:space="preserve">During January 2025 the Company received $15.4 million in funding in accordance with the PIPE Subscription Agreements (see Note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z w:val="20"/>
        </w:rPr>
      </w:pPr>
      <w:r>
        <w:rPr>
          <w:rFonts w:ascii="Times New Roman" w:hAnsi="Times New Roman"/>
          <w:b/>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Blaize Holdings,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Blaize Holdings, Inc. (the “Company”) as of December 31, 2024 and 2023, the related consolidated statements of operations,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Explanatory Paragraph -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 Marcum LLP </w:t>
      </w:r>
    </w:p>
    <w:p>
      <w:pPr>
        <w:pStyle w:val="TextBody"/>
        <w:bidi w:val="0"/>
        <w:spacing w:before="240" w:after="0"/>
        <w:jc w:val="left"/>
        <w:rPr>
          <w:rFonts w:ascii="Times New Roman" w:hAnsi="Times New Roman"/>
          <w:sz w:val="20"/>
        </w:rPr>
      </w:pPr>
      <w:r>
        <w:rPr>
          <w:rFonts w:ascii="Times New Roman" w:hAnsi="Times New Roman"/>
          <w:sz w:val="20"/>
        </w:rPr>
        <w:t xml:space="preserve">Marcum LLP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the Company’s auditor from 2021 to 2024. </w:t>
      </w:r>
    </w:p>
    <w:p>
      <w:pPr>
        <w:pStyle w:val="TextBody"/>
        <w:bidi w:val="0"/>
        <w:spacing w:before="24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April 14,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70"/>
        <w:gridCol w:w="120"/>
        <w:gridCol w:w="140"/>
        <w:gridCol w:w="1175"/>
        <w:gridCol w:w="155"/>
        <w:gridCol w:w="60"/>
        <w:gridCol w:w="140"/>
        <w:gridCol w:w="1175"/>
        <w:gridCol w:w="170"/>
      </w:tblGrid>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757,336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843,313</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318,888</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Trust Account - Restricted for Redeeming Shareholders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24,539,002</w:t>
            </w:r>
          </w:p>
        </w:tc>
        <w:tc>
          <w:tcPr>
            <w:tcW w:w="17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758,842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25,701,203</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47,558,112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46,893,175</w:t>
            </w:r>
          </w:p>
        </w:tc>
        <w:tc>
          <w:tcPr>
            <w:tcW w:w="17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1175" w:type="dxa"/>
            <w:tcBorders/>
            <w:shd w:fill="CCEEFF" w:val="clear"/>
            <w:vAlign w:val="center"/>
          </w:tcPr>
          <w:p>
            <w:pPr>
              <w:pStyle w:val="TableContents"/>
              <w:bidi w:val="0"/>
              <w:spacing w:before="0" w:after="0"/>
              <w:jc w:val="right"/>
              <w:rPr>
                <w:b/>
                <w:spacing w:val="0"/>
              </w:rPr>
            </w:pPr>
            <w:r>
              <w:rPr>
                <w:b/>
                <w:spacing w:val="0"/>
              </w:rPr>
              <w:t>48,316,954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1175" w:type="dxa"/>
            <w:tcBorders/>
            <w:shd w:fill="CCEEFF" w:val="clear"/>
            <w:vAlign w:val="center"/>
          </w:tcPr>
          <w:p>
            <w:pPr>
              <w:pStyle w:val="TableContents"/>
              <w:bidi w:val="0"/>
              <w:spacing w:before="0" w:after="0"/>
              <w:jc w:val="right"/>
              <w:rPr>
                <w:b/>
                <w:spacing w:val="0"/>
              </w:rPr>
            </w:pPr>
            <w:r>
              <w:rPr>
                <w:b/>
                <w:spacing w:val="0"/>
              </w:rPr>
              <w:t>72,594,378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4,882,163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2,123,846</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35,800</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Due to Trust Account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318,888</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Redeemed stock payable to public stockholders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24,539,002</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promissory note - related party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810,345</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Advances from sponsor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2,971,258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517,179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1,027,644</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Derivative liability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1,084,963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Excise tax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2,861,625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2,523,150</w:t>
            </w:r>
          </w:p>
        </w:tc>
        <w:tc>
          <w:tcPr>
            <w:tcW w:w="17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14,017,188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31,378,675</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underwriting commission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10,062,500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10,062,500</w:t>
            </w:r>
          </w:p>
        </w:tc>
        <w:tc>
          <w:tcPr>
            <w:tcW w:w="17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24,079,688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41,441,175</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A common stock subject to possible redemption, 4,104,543 and 4,345,663 shares at redemption value of approximately $11.60 and $10.81 as of December 31, 2024 and 2023, respectively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47,598,269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46,991,932</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 shares authorized; none issued and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280,000,000 shares authorized; 10,816,995 shares issued and outstanding (excluding 4,104,543 and 4,345,663 shares subject to possible redemption) as of December 31, 2024 and 2023,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1,082</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20,000,000 shares authorized; 5 shares issued and outstanding as of December 31, 2024 and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(23,362,085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(15,839,811</w:t>
            </w:r>
          </w:p>
        </w:tc>
        <w:tc>
          <w:tcPr>
            <w:tcW w:w="17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(23,361,003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(15,838,729</w:t>
            </w:r>
          </w:p>
        </w:tc>
        <w:tc>
          <w:tcPr>
            <w:tcW w:w="17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1175" w:type="dxa"/>
            <w:tcBorders/>
            <w:shd w:fill="CCEEFF" w:val="clear"/>
            <w:vAlign w:val="center"/>
          </w:tcPr>
          <w:p>
            <w:pPr>
              <w:pStyle w:val="TableContents"/>
              <w:bidi w:val="0"/>
              <w:spacing w:before="0" w:after="0"/>
              <w:jc w:val="right"/>
              <w:rPr>
                <w:b/>
                <w:spacing w:val="0"/>
              </w:rPr>
            </w:pPr>
            <w:r>
              <w:rPr>
                <w:b/>
                <w:spacing w:val="0"/>
              </w:rPr>
              <w:t>48,316,954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1175" w:type="dxa"/>
            <w:tcBorders/>
            <w:shd w:fill="CCEEFF" w:val="clear"/>
            <w:vAlign w:val="center"/>
          </w:tcPr>
          <w:p>
            <w:pPr>
              <w:pStyle w:val="TableContents"/>
              <w:bidi w:val="0"/>
              <w:spacing w:before="0" w:after="0"/>
              <w:jc w:val="right"/>
              <w:rPr>
                <w:b/>
                <w:spacing w:val="0"/>
              </w:rPr>
            </w:pPr>
            <w:r>
              <w:rPr>
                <w:b/>
                <w:spacing w:val="0"/>
              </w:rPr>
              <w:t>72,594,378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audited consolidated financial statements. </w:t>
      </w:r>
    </w:p>
    <w:p>
      <w:pPr>
        <w:pStyle w:val="TextBody"/>
        <w:bidi w:val="0"/>
        <w:spacing w:before="480" w:after="0"/>
        <w:jc w:val="center"/>
        <w:rPr>
          <w:rFonts w:ascii="Times New Roman" w:hAnsi="Times New Roman"/>
          <w:b/>
          <w:sz w:val="20"/>
        </w:rPr>
      </w:pPr>
      <w:r>
        <w:rPr>
          <w:rFonts w:ascii="Times New Roman" w:hAnsi="Times New Roman"/>
          <w:b/>
          <w:sz w:val="20"/>
        </w:rPr>
        <w:t xml:space="preserve">BLAIZE HOLDINGS, INC. (F/K/A BURTECH ACQUISITION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7558" w:type="dxa"/>
        <w:jc w:val="left"/>
        <w:tblInd w:w="0" w:type="dxa"/>
        <w:tblLayout w:type="fixed"/>
        <w:tblCellMar>
          <w:top w:w="0" w:type="dxa"/>
          <w:left w:w="0" w:type="dxa"/>
          <w:bottom w:w="0" w:type="dxa"/>
          <w:right w:w="0" w:type="dxa"/>
        </w:tblCellMar>
      </w:tblPr>
      <w:tblGrid>
        <w:gridCol w:w="4550"/>
        <w:gridCol w:w="120"/>
        <w:gridCol w:w="141"/>
        <w:gridCol w:w="1110"/>
        <w:gridCol w:w="156"/>
        <w:gridCol w:w="60"/>
        <w:gridCol w:w="141"/>
        <w:gridCol w:w="1110"/>
        <w:gridCol w:w="170"/>
      </w:tblGrid>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4,459,541</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3,040,539</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Penalties and interest on excise tax</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310,728</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Franchise tax expense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206,259</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344,271</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1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(4,976,528</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(3,384,810</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0"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earned on Trust Account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2,465,138</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5,751,596</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fair value of derivative liability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(1,084,963</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1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other income, net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1,380,175</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5,751,596</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(3,596,353</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2,366,786</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(517,179</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(1,027,644</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1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0"/>
              <w:jc w:val="left"/>
              <w:rPr>
                <w:b/>
                <w:spacing w:val="0"/>
              </w:rPr>
            </w:pPr>
            <w:r>
              <w:rPr>
                <w:b/>
                <w:spacing w:val="0"/>
              </w:rPr>
              <w:t>$</w:t>
            </w:r>
          </w:p>
        </w:tc>
        <w:tc>
          <w:tcPr>
            <w:tcW w:w="1110" w:type="dxa"/>
            <w:tcBorders/>
            <w:shd w:fill="CCEEFF" w:val="clear"/>
            <w:vAlign w:val="center"/>
          </w:tcPr>
          <w:p>
            <w:pPr>
              <w:pStyle w:val="TableContents"/>
              <w:bidi w:val="0"/>
              <w:spacing w:before="0" w:after="0"/>
              <w:jc w:val="right"/>
              <w:rPr>
                <w:b/>
                <w:spacing w:val="0"/>
              </w:rPr>
            </w:pPr>
            <w:r>
              <w:rPr>
                <w:b/>
                <w:spacing w:val="0"/>
              </w:rPr>
              <w:t>(4,113,532</w:t>
            </w:r>
          </w:p>
        </w:tc>
        <w:tc>
          <w:tcPr>
            <w:tcW w:w="156"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0"/>
              <w:jc w:val="left"/>
              <w:rPr>
                <w:b/>
                <w:spacing w:val="0"/>
              </w:rPr>
            </w:pPr>
            <w:r>
              <w:rPr>
                <w:b/>
                <w:spacing w:val="0"/>
              </w:rPr>
              <w:t>$</w:t>
            </w:r>
          </w:p>
        </w:tc>
        <w:tc>
          <w:tcPr>
            <w:tcW w:w="1110" w:type="dxa"/>
            <w:tcBorders/>
            <w:shd w:fill="CCEEFF" w:val="clear"/>
            <w:vAlign w:val="center"/>
          </w:tcPr>
          <w:p>
            <w:pPr>
              <w:pStyle w:val="TableContents"/>
              <w:bidi w:val="0"/>
              <w:spacing w:before="0" w:after="0"/>
              <w:jc w:val="right"/>
              <w:rPr>
                <w:b/>
                <w:spacing w:val="0"/>
              </w:rPr>
            </w:pPr>
            <w:r>
              <w:rPr>
                <w:b/>
                <w:spacing w:val="0"/>
              </w:rPr>
              <w:t>1,339,142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redemption:</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4,333,146</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10,578,271</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basic and diluted</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10" w:type="dxa"/>
            <w:tcBorders/>
            <w:vAlign w:val="center"/>
          </w:tcPr>
          <w:p>
            <w:pPr>
              <w:pStyle w:val="TableContents"/>
              <w:bidi w:val="0"/>
              <w:spacing w:before="0" w:after="283"/>
              <w:jc w:val="right"/>
              <w:rPr/>
            </w:pPr>
            <w:r>
              <w:rPr/>
              <w:t>(0.27</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10" w:type="dxa"/>
            <w:tcBorders/>
            <w:vAlign w:val="center"/>
          </w:tcPr>
          <w:p>
            <w:pPr>
              <w:pStyle w:val="TableContents"/>
              <w:bidi w:val="0"/>
              <w:spacing w:before="0" w:after="283"/>
              <w:jc w:val="right"/>
              <w:rPr/>
            </w:pPr>
            <w:r>
              <w:rPr/>
              <w:t>0.06</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Non-redeemable</w:t>
            </w:r>
          </w:p>
          <w:p>
            <w:pPr>
              <w:pStyle w:val="TableContents"/>
              <w:bidi w:val="0"/>
              <w:spacing w:before="0" w:after="0"/>
              <w:jc w:val="left"/>
              <w:rPr>
                <w:rFonts w:ascii="Times New Roman" w:hAnsi="Times New Roman"/>
                <w:b/>
                <w:sz w:val="20"/>
              </w:rPr>
            </w:pPr>
            <w:r>
              <w:rPr>
                <w:rFonts w:ascii="Times New Roman" w:hAnsi="Times New Roman"/>
                <w:b/>
                <w:sz w:val="20"/>
              </w:rPr>
              <w:t>Class A common stock:</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0"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 and diluted</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10,816,995</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1,803,670</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basic and diluted</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(0.27</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0.06</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Class B common stock:</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5</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9,071,610</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basic and diluted</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10" w:type="dxa"/>
            <w:tcBorders/>
            <w:vAlign w:val="center"/>
          </w:tcPr>
          <w:p>
            <w:pPr>
              <w:pStyle w:val="TableContents"/>
              <w:bidi w:val="0"/>
              <w:spacing w:before="0" w:after="283"/>
              <w:jc w:val="right"/>
              <w:rPr/>
            </w:pPr>
            <w:r>
              <w:rPr/>
              <w:t>(0.27</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10" w:type="dxa"/>
            <w:tcBorders/>
            <w:vAlign w:val="center"/>
          </w:tcPr>
          <w:p>
            <w:pPr>
              <w:pStyle w:val="TableContents"/>
              <w:bidi w:val="0"/>
              <w:spacing w:before="0" w:after="283"/>
              <w:jc w:val="right"/>
              <w:rPr/>
            </w:pPr>
            <w:r>
              <w:rPr/>
              <w:t>0.06</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1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audited consolidated financial statements. </w:t>
      </w:r>
    </w:p>
    <w:p>
      <w:pPr>
        <w:pStyle w:val="TextBody"/>
        <w:bidi w:val="0"/>
        <w:spacing w:before="480" w:after="0"/>
        <w:jc w:val="center"/>
        <w:rPr>
          <w:rFonts w:ascii="Times New Roman" w:hAnsi="Times New Roman"/>
          <w:b/>
          <w:sz w:val="20"/>
        </w:rPr>
      </w:pPr>
      <w:r>
        <w:rPr>
          <w:rFonts w:ascii="Times New Roman" w:hAnsi="Times New Roman"/>
          <w:b/>
          <w:sz w:val="20"/>
        </w:rPr>
        <w:t xml:space="preserve">BLAIZE HOLDINGS, INC. (F/K/A BURTECH ACQUISITION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STOCKHOLDERS’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12090" w:type="dxa"/>
        <w:jc w:val="left"/>
        <w:tblInd w:w="0" w:type="dxa"/>
        <w:tblLayout w:type="fixed"/>
        <w:tblCellMar>
          <w:top w:w="0" w:type="dxa"/>
          <w:left w:w="0" w:type="dxa"/>
          <w:bottom w:w="0" w:type="dxa"/>
          <w:right w:w="0" w:type="dxa"/>
        </w:tblCellMar>
      </w:tblPr>
      <w:tblGrid>
        <w:gridCol w:w="1190"/>
        <w:gridCol w:w="120"/>
        <w:gridCol w:w="60"/>
        <w:gridCol w:w="1100"/>
        <w:gridCol w:w="60"/>
        <w:gridCol w:w="120"/>
        <w:gridCol w:w="172"/>
        <w:gridCol w:w="688"/>
        <w:gridCol w:w="60"/>
        <w:gridCol w:w="120"/>
        <w:gridCol w:w="161"/>
        <w:gridCol w:w="699"/>
        <w:gridCol w:w="161"/>
        <w:gridCol w:w="322"/>
        <w:gridCol w:w="376"/>
        <w:gridCol w:w="701"/>
        <w:gridCol w:w="60"/>
        <w:gridCol w:w="120"/>
        <w:gridCol w:w="673"/>
        <w:gridCol w:w="1252"/>
        <w:gridCol w:w="60"/>
        <w:gridCol w:w="120"/>
        <w:gridCol w:w="145"/>
        <w:gridCol w:w="1225"/>
        <w:gridCol w:w="155"/>
        <w:gridCol w:w="60"/>
        <w:gridCol w:w="206"/>
        <w:gridCol w:w="1734"/>
        <w:gridCol w:w="170"/>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 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 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 Paid-In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Stockholders’</w:t>
            </w:r>
          </w:p>
        </w:tc>
        <w:tc>
          <w:tcPr>
            <w:tcW w:w="17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61"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10,816,995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5</w:t>
            </w:r>
          </w:p>
        </w:tc>
        <w:tc>
          <w:tcPr>
            <w:tcW w:w="161"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(15,839,811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(15,838,729</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Accretion for common stock subject to redemption amount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(3,380,995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right"/>
              <w:rPr/>
            </w:pPr>
            <w:r>
              <w:rPr/>
              <w:t>(3,380,995</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(27,747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(27,747</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(4,113,532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right"/>
              <w:rPr/>
            </w:pPr>
            <w:r>
              <w:rPr/>
              <w:t>(4,113,532</w:t>
            </w:r>
          </w:p>
        </w:tc>
        <w:tc>
          <w:tcPr>
            <w:tcW w:w="17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68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699" w:type="dxa"/>
            <w:tcBorders/>
            <w:vAlign w:val="center"/>
          </w:tcPr>
          <w:p>
            <w:pPr>
              <w:pStyle w:val="TableContents"/>
              <w:bidi w:val="0"/>
              <w:spacing w:before="0" w:after="0"/>
              <w:jc w:val="left"/>
              <w:rPr>
                <w:bdr w:val="single" w:sz="2" w:space="1" w:color="000000"/>
              </w:rPr>
            </w:pPr>
            <w:r>
              <w:rPr>
                <w:bdr w:val="single" w:sz="2" w:space="1" w:color="000000"/>
              </w:rPr>
              <w:t> </w:t>
            </w:r>
          </w:p>
        </w:tc>
        <w:tc>
          <w:tcPr>
            <w:tcW w:w="161"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10,816,995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0"/>
              <w:jc w:val="left"/>
              <w:rPr>
                <w:b/>
                <w:spacing w:val="0"/>
              </w:rPr>
            </w:pPr>
            <w:r>
              <w:rPr>
                <w:b/>
                <w:spacing w:val="0"/>
              </w:rPr>
              <w:t>$</w:t>
            </w:r>
          </w:p>
        </w:tc>
        <w:tc>
          <w:tcPr>
            <w:tcW w:w="688" w:type="dxa"/>
            <w:tcBorders/>
            <w:shd w:fill="CCEEFF" w:val="clear"/>
            <w:vAlign w:val="center"/>
          </w:tcPr>
          <w:p>
            <w:pPr>
              <w:pStyle w:val="TableContents"/>
              <w:bidi w:val="0"/>
              <w:spacing w:before="0" w:after="0"/>
              <w:jc w:val="right"/>
              <w:rPr>
                <w:b/>
                <w:spacing w:val="0"/>
              </w:rPr>
            </w:pPr>
            <w:r>
              <w:rPr>
                <w:b/>
                <w:spacing w:val="0"/>
              </w:rPr>
              <w:t>1,082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5</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322"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0"/>
              <w:jc w:val="left"/>
              <w:rPr>
                <w:b/>
                <w:spacing w:val="0"/>
              </w:rPr>
            </w:pPr>
            <w:r>
              <w:rPr>
                <w:b/>
                <w:spacing w:val="0"/>
              </w:rPr>
              <w:t>$</w:t>
            </w:r>
          </w:p>
        </w:tc>
        <w:tc>
          <w:tcPr>
            <w:tcW w:w="701"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0"/>
              <w:jc w:val="left"/>
              <w:rPr>
                <w:b/>
                <w:spacing w:val="0"/>
              </w:rPr>
            </w:pPr>
            <w:r>
              <w:rPr>
                <w:b/>
                <w:spacing w:val="0"/>
              </w:rPr>
              <w:t>$</w:t>
            </w:r>
          </w:p>
        </w:tc>
        <w:tc>
          <w:tcPr>
            <w:tcW w:w="1252"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b/>
                <w:spacing w:val="0"/>
              </w:rPr>
            </w:pPr>
            <w:r>
              <w:rPr>
                <w:b/>
                <w:spacing w:val="0"/>
              </w:rPr>
              <w:t>$</w:t>
            </w:r>
          </w:p>
        </w:tc>
        <w:tc>
          <w:tcPr>
            <w:tcW w:w="1225" w:type="dxa"/>
            <w:tcBorders/>
            <w:shd w:fill="CCEEFF" w:val="clear"/>
            <w:vAlign w:val="center"/>
          </w:tcPr>
          <w:p>
            <w:pPr>
              <w:pStyle w:val="TableContents"/>
              <w:bidi w:val="0"/>
              <w:spacing w:before="0" w:after="0"/>
              <w:jc w:val="right"/>
              <w:rPr>
                <w:b/>
                <w:spacing w:val="0"/>
              </w:rPr>
            </w:pPr>
            <w:r>
              <w:rPr>
                <w:b/>
                <w:spacing w:val="0"/>
              </w:rPr>
              <w:t>(23,362,085</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0"/>
              <w:jc w:val="left"/>
              <w:rPr>
                <w:b/>
                <w:spacing w:val="0"/>
              </w:rPr>
            </w:pPr>
            <w:r>
              <w:rPr>
                <w:b/>
                <w:spacing w:val="0"/>
              </w:rPr>
              <w:t>$</w:t>
            </w:r>
          </w:p>
        </w:tc>
        <w:tc>
          <w:tcPr>
            <w:tcW w:w="1734" w:type="dxa"/>
            <w:tcBorders/>
            <w:shd w:fill="CCEEFF" w:val="clear"/>
            <w:vAlign w:val="center"/>
          </w:tcPr>
          <w:p>
            <w:pPr>
              <w:pStyle w:val="TableContents"/>
              <w:bidi w:val="0"/>
              <w:spacing w:before="0" w:after="0"/>
              <w:jc w:val="right"/>
              <w:rPr>
                <w:b/>
                <w:spacing w:val="0"/>
              </w:rPr>
            </w:pPr>
            <w:r>
              <w:rPr>
                <w:b/>
                <w:spacing w:val="0"/>
              </w:rPr>
              <w:t>(23,361,003</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68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699" w:type="dxa"/>
            <w:tcBorders/>
            <w:vAlign w:val="center"/>
          </w:tcPr>
          <w:p>
            <w:pPr>
              <w:pStyle w:val="TableContents"/>
              <w:bidi w:val="0"/>
              <w:spacing w:before="0" w:after="0"/>
              <w:jc w:val="left"/>
              <w:rPr>
                <w:bdr w:val="double" w:sz="6" w:space="1" w:color="000000"/>
              </w:rPr>
            </w:pPr>
            <w:r>
              <w:rPr>
                <w:bdr w:val="double" w:sz="6" w:space="1" w:color="000000"/>
              </w:rPr>
              <w:t> </w:t>
            </w:r>
          </w:p>
        </w:tc>
        <w:tc>
          <w:tcPr>
            <w:tcW w:w="161"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0"/>
              <w:jc w:val="left"/>
              <w:rPr>
                <w:bdr w:val="double" w:sz="6" w:space="1" w:color="000000"/>
              </w:rPr>
            </w:pPr>
            <w:r>
              <w:rPr>
                <w:bdr w:val="double" w:sz="6" w:space="1" w:color="000000"/>
              </w:rPr>
              <w:t> </w:t>
            </w:r>
          </w:p>
        </w:tc>
        <w:tc>
          <w:tcPr>
            <w:tcW w:w="70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5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double" w:sz="6" w:space="1" w:color="000000"/>
              </w:rPr>
            </w:pPr>
            <w:r>
              <w:rPr>
                <w:bdr w:val="double" w:sz="6" w:space="1" w:color="000000"/>
              </w:rPr>
              <w:t> </w:t>
            </w:r>
          </w:p>
        </w:tc>
        <w:tc>
          <w:tcPr>
            <w:tcW w:w="173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2747" w:type="dxa"/>
        <w:jc w:val="left"/>
        <w:tblInd w:w="0" w:type="dxa"/>
        <w:tblLayout w:type="fixed"/>
        <w:tblCellMar>
          <w:top w:w="0" w:type="dxa"/>
          <w:left w:w="0" w:type="dxa"/>
          <w:bottom w:w="0" w:type="dxa"/>
          <w:right w:w="0" w:type="dxa"/>
        </w:tblCellMar>
      </w:tblPr>
      <w:tblGrid>
        <w:gridCol w:w="1445"/>
        <w:gridCol w:w="120"/>
        <w:gridCol w:w="71"/>
        <w:gridCol w:w="1312"/>
        <w:gridCol w:w="71"/>
        <w:gridCol w:w="143"/>
        <w:gridCol w:w="171"/>
        <w:gridCol w:w="689"/>
        <w:gridCol w:w="60"/>
        <w:gridCol w:w="120"/>
        <w:gridCol w:w="75"/>
        <w:gridCol w:w="1326"/>
        <w:gridCol w:w="194"/>
        <w:gridCol w:w="75"/>
        <w:gridCol w:w="201"/>
        <w:gridCol w:w="659"/>
        <w:gridCol w:w="155"/>
        <w:gridCol w:w="60"/>
        <w:gridCol w:w="673"/>
        <w:gridCol w:w="1252"/>
        <w:gridCol w:w="60"/>
        <w:gridCol w:w="120"/>
        <w:gridCol w:w="145"/>
        <w:gridCol w:w="1225"/>
        <w:gridCol w:w="155"/>
        <w:gridCol w:w="60"/>
        <w:gridCol w:w="206"/>
        <w:gridCol w:w="1734"/>
        <w:gridCol w:w="17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 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 Common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 Paid-In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Stockholders’</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1,329,500</w:t>
            </w:r>
          </w:p>
        </w:tc>
        <w:tc>
          <w:tcPr>
            <w:tcW w:w="7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9,487,500</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659" w:type="dxa"/>
            <w:tcBorders/>
            <w:shd w:fill="CCEEFF" w:val="clear"/>
            <w:vAlign w:val="center"/>
          </w:tcPr>
          <w:p>
            <w:pPr>
              <w:pStyle w:val="TableContents"/>
              <w:bidi w:val="0"/>
              <w:spacing w:before="0" w:after="283"/>
              <w:jc w:val="right"/>
              <w:rPr/>
            </w:pPr>
            <w:r>
              <w:rPr/>
              <w:t>949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(10,145,752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(10,144,670</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Class B to Class A Shares</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9,487,495</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949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(9,487,495</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8,758,683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8,758,683</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(8,758,683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right"/>
              <w:rPr/>
            </w:pPr>
            <w:r>
              <w:rPr/>
              <w:t>(8,758,683</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(2,523,150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(2,523,150</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Accretion for common stock subject to redemption amount</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(4,510,051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right"/>
              <w:rPr/>
            </w:pPr>
            <w:r>
              <w:rPr/>
              <w:t>(4,510,051</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1,339,142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1,339,142</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single" w:sz="2" w:space="1" w:color="000000"/>
              </w:rPr>
            </w:pPr>
            <w:r>
              <w:rPr>
                <w:bdr w:val="single" w:sz="2" w:space="1" w:color="000000"/>
              </w:rPr>
              <w:t> </w:t>
            </w:r>
          </w:p>
        </w:tc>
        <w:tc>
          <w:tcPr>
            <w:tcW w:w="1312" w:type="dxa"/>
            <w:tcBorders/>
            <w:vAlign w:val="center"/>
          </w:tcPr>
          <w:p>
            <w:pPr>
              <w:pStyle w:val="TableContents"/>
              <w:bidi w:val="0"/>
              <w:spacing w:before="0" w:after="0"/>
              <w:jc w:val="left"/>
              <w:rPr>
                <w:bdr w:val="single" w:sz="2" w:space="1" w:color="000000"/>
              </w:rPr>
            </w:pPr>
            <w:r>
              <w:rPr>
                <w:bdr w:val="single" w:sz="2" w:space="1" w:color="000000"/>
              </w:rPr>
              <w:t> </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bdr w:val="single" w:sz="2" w:space="1" w:color="000000"/>
              </w:rPr>
            </w:pPr>
            <w:r>
              <w:rPr>
                <w:bdr w:val="single" w:sz="2" w:space="1" w:color="000000"/>
              </w:rPr>
              <w:t> </w:t>
            </w:r>
          </w:p>
        </w:tc>
        <w:tc>
          <w:tcPr>
            <w:tcW w:w="68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bdr w:val="single" w:sz="2" w:space="1" w:color="000000"/>
              </w:rPr>
            </w:pPr>
            <w:r>
              <w:rPr>
                <w:bdr w:val="single" w:sz="2" w:space="1" w:color="000000"/>
              </w:rPr>
              <w:t> </w:t>
            </w:r>
          </w:p>
        </w:tc>
        <w:tc>
          <w:tcPr>
            <w:tcW w:w="1326"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6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spacing w:val="0"/>
              </w:rPr>
            </w:pPr>
            <w:r>
              <w:rPr>
                <w:spacing w:val="0"/>
              </w:rPr>
              <w:t> </w:t>
            </w:r>
          </w:p>
        </w:tc>
        <w:tc>
          <w:tcPr>
            <w:tcW w:w="1312" w:type="dxa"/>
            <w:tcBorders/>
            <w:vAlign w:val="center"/>
          </w:tcPr>
          <w:p>
            <w:pPr>
              <w:pStyle w:val="TableContents"/>
              <w:bidi w:val="0"/>
              <w:spacing w:before="0" w:after="0"/>
              <w:jc w:val="right"/>
              <w:rPr>
                <w:b/>
                <w:spacing w:val="0"/>
              </w:rPr>
            </w:pPr>
            <w:r>
              <w:rPr>
                <w:b/>
                <w:spacing w:val="0"/>
              </w:rPr>
              <w:t>10,816,995</w:t>
            </w:r>
          </w:p>
        </w:tc>
        <w:tc>
          <w:tcPr>
            <w:tcW w:w="71" w:type="dxa"/>
            <w:tcBorders/>
            <w:vAlign w:val="center"/>
          </w:tcPr>
          <w:p>
            <w:pPr>
              <w:pStyle w:val="TableContents"/>
              <w:bidi w:val="0"/>
              <w:spacing w:before="0" w:after="0"/>
              <w:jc w:val="left"/>
              <w:rPr>
                <w:spacing w:val="0"/>
              </w:rPr>
            </w:pPr>
            <w:r>
              <w:rPr>
                <w:spacing w:val="0"/>
              </w:rPr>
              <w:t> </w:t>
            </w:r>
          </w:p>
        </w:tc>
        <w:tc>
          <w:tcPr>
            <w:tcW w:w="14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b/>
                <w:spacing w:val="0"/>
              </w:rPr>
            </w:pPr>
            <w:r>
              <w:rPr>
                <w:b/>
                <w:spacing w:val="0"/>
              </w:rPr>
              <w:t>$</w:t>
            </w:r>
          </w:p>
        </w:tc>
        <w:tc>
          <w:tcPr>
            <w:tcW w:w="689" w:type="dxa"/>
            <w:tcBorders/>
            <w:vAlign w:val="center"/>
          </w:tcPr>
          <w:p>
            <w:pPr>
              <w:pStyle w:val="TableContents"/>
              <w:bidi w:val="0"/>
              <w:spacing w:before="0" w:after="0"/>
              <w:jc w:val="right"/>
              <w:rPr>
                <w:b/>
                <w:spacing w:val="0"/>
              </w:rPr>
            </w:pPr>
            <w:r>
              <w:rPr>
                <w:b/>
                <w:spacing w:val="0"/>
              </w:rPr>
              <w:t>1,082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rPr>
            </w:pPr>
            <w:r>
              <w:rPr>
                <w:spacing w:val="0"/>
              </w:rPr>
              <w:t> </w:t>
            </w:r>
          </w:p>
        </w:tc>
        <w:tc>
          <w:tcPr>
            <w:tcW w:w="1326" w:type="dxa"/>
            <w:tcBorders/>
            <w:vAlign w:val="center"/>
          </w:tcPr>
          <w:p>
            <w:pPr>
              <w:pStyle w:val="TableContents"/>
              <w:bidi w:val="0"/>
              <w:spacing w:before="0" w:after="0"/>
              <w:jc w:val="right"/>
              <w:rPr>
                <w:b/>
                <w:spacing w:val="0"/>
              </w:rPr>
            </w:pPr>
            <w:r>
              <w:rPr>
                <w:b/>
                <w:spacing w:val="0"/>
              </w:rPr>
              <w:t>5</w:t>
            </w:r>
          </w:p>
        </w:tc>
        <w:tc>
          <w:tcPr>
            <w:tcW w:w="194"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
                <w:spacing w:val="0"/>
              </w:rPr>
            </w:pPr>
            <w:r>
              <w:rPr>
                <w:b/>
                <w:spacing w:val="0"/>
              </w:rPr>
              <w:t>$</w:t>
            </w:r>
          </w:p>
        </w:tc>
        <w:tc>
          <w:tcPr>
            <w:tcW w:w="659"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0"/>
              <w:jc w:val="left"/>
              <w:rPr>
                <w:b/>
                <w:spacing w:val="0"/>
              </w:rPr>
            </w:pPr>
            <w:r>
              <w:rPr>
                <w:b/>
                <w:spacing w:val="0"/>
              </w:rPr>
              <w:t>$</w:t>
            </w:r>
          </w:p>
        </w:tc>
        <w:tc>
          <w:tcPr>
            <w:tcW w:w="1252"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
                <w:spacing w:val="0"/>
              </w:rPr>
            </w:pPr>
            <w:r>
              <w:rPr>
                <w:b/>
                <w:spacing w:val="0"/>
              </w:rPr>
              <w:t>$</w:t>
            </w:r>
          </w:p>
        </w:tc>
        <w:tc>
          <w:tcPr>
            <w:tcW w:w="1225" w:type="dxa"/>
            <w:tcBorders/>
            <w:vAlign w:val="center"/>
          </w:tcPr>
          <w:p>
            <w:pPr>
              <w:pStyle w:val="TableContents"/>
              <w:bidi w:val="0"/>
              <w:spacing w:before="0" w:after="0"/>
              <w:jc w:val="right"/>
              <w:rPr>
                <w:b/>
                <w:spacing w:val="0"/>
              </w:rPr>
            </w:pPr>
            <w:r>
              <w:rPr>
                <w:b/>
                <w:spacing w:val="0"/>
              </w:rPr>
              <w:t>(15,839,811</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
                <w:spacing w:val="0"/>
              </w:rPr>
            </w:pPr>
            <w:r>
              <w:rPr>
                <w:b/>
                <w:spacing w:val="0"/>
              </w:rPr>
              <w:t>$</w:t>
            </w:r>
          </w:p>
        </w:tc>
        <w:tc>
          <w:tcPr>
            <w:tcW w:w="1734" w:type="dxa"/>
            <w:tcBorders/>
            <w:vAlign w:val="center"/>
          </w:tcPr>
          <w:p>
            <w:pPr>
              <w:pStyle w:val="TableContents"/>
              <w:bidi w:val="0"/>
              <w:spacing w:before="0" w:after="0"/>
              <w:jc w:val="right"/>
              <w:rPr>
                <w:b/>
                <w:spacing w:val="0"/>
              </w:rPr>
            </w:pPr>
            <w:r>
              <w:rPr>
                <w:b/>
                <w:spacing w:val="0"/>
              </w:rPr>
              <w:t>(15,838,729</w:t>
            </w:r>
          </w:p>
        </w:tc>
        <w:tc>
          <w:tcPr>
            <w:tcW w:w="170" w:type="dxa"/>
            <w:tcBorders/>
            <w:vAlign w:val="center"/>
          </w:tcPr>
          <w:p>
            <w:pPr>
              <w:pStyle w:val="TableContents"/>
              <w:bidi w:val="0"/>
              <w:spacing w:before="0" w:after="0"/>
              <w:jc w:val="left"/>
              <w:rPr>
                <w:b/>
                <w:spacing w:val="0"/>
              </w:rPr>
            </w:pPr>
            <w:r>
              <w:rPr>
                <w:b/>
                <w:spacing w:val="0"/>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double" w:sz="6" w:space="1" w:color="000000"/>
              </w:rPr>
            </w:pPr>
            <w:r>
              <w:rPr>
                <w:bdr w:val="double" w:sz="6" w:space="1" w:color="000000"/>
              </w:rPr>
              <w:t> </w:t>
            </w:r>
          </w:p>
        </w:tc>
        <w:tc>
          <w:tcPr>
            <w:tcW w:w="1312" w:type="dxa"/>
            <w:tcBorders/>
            <w:vAlign w:val="center"/>
          </w:tcPr>
          <w:p>
            <w:pPr>
              <w:pStyle w:val="TableContents"/>
              <w:bidi w:val="0"/>
              <w:spacing w:before="0" w:after="0"/>
              <w:jc w:val="left"/>
              <w:rPr>
                <w:bdr w:val="double" w:sz="6" w:space="1" w:color="000000"/>
              </w:rPr>
            </w:pPr>
            <w:r>
              <w:rPr>
                <w:bdr w:val="double" w:sz="6" w:space="1" w:color="000000"/>
              </w:rPr>
              <w:t> </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bdr w:val="double" w:sz="6" w:space="1" w:color="000000"/>
              </w:rPr>
            </w:pPr>
            <w:r>
              <w:rPr>
                <w:bdr w:val="double" w:sz="6" w:space="1" w:color="000000"/>
              </w:rPr>
              <w:t> </w:t>
            </w:r>
          </w:p>
        </w:tc>
        <w:tc>
          <w:tcPr>
            <w:tcW w:w="68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bdr w:val="double" w:sz="6" w:space="1" w:color="000000"/>
              </w:rPr>
            </w:pPr>
            <w:r>
              <w:rPr>
                <w:bdr w:val="double" w:sz="6" w:space="1" w:color="000000"/>
              </w:rPr>
              <w:t> </w:t>
            </w:r>
          </w:p>
        </w:tc>
        <w:tc>
          <w:tcPr>
            <w:tcW w:w="1326" w:type="dxa"/>
            <w:tcBorders/>
            <w:vAlign w:val="center"/>
          </w:tcPr>
          <w:p>
            <w:pPr>
              <w:pStyle w:val="TableContents"/>
              <w:bidi w:val="0"/>
              <w:spacing w:before="0" w:after="0"/>
              <w:jc w:val="left"/>
              <w:rPr>
                <w:bdr w:val="double" w:sz="6" w:space="1" w:color="000000"/>
              </w:rPr>
            </w:pPr>
            <w:r>
              <w:rPr>
                <w:bdr w:val="double" w:sz="6" w:space="1" w:color="000000"/>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double" w:sz="6" w:space="1" w:color="000000"/>
              </w:rPr>
            </w:pPr>
            <w:r>
              <w:rPr>
                <w:bdr w:val="double" w:sz="6" w:space="1" w:color="000000"/>
              </w:rPr>
              <w:t> </w:t>
            </w:r>
          </w:p>
        </w:tc>
        <w:tc>
          <w:tcPr>
            <w:tcW w:w="6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5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double" w:sz="6" w:space="1" w:color="000000"/>
              </w:rPr>
            </w:pPr>
            <w:r>
              <w:rPr>
                <w:bdr w:val="double" w:sz="6" w:space="1" w:color="000000"/>
              </w:rPr>
              <w:t> </w:t>
            </w:r>
          </w:p>
        </w:tc>
        <w:tc>
          <w:tcPr>
            <w:tcW w:w="173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audited consolidated financial statements </w:t>
      </w:r>
    </w:p>
    <w:p>
      <w:pPr>
        <w:pStyle w:val="TextBody"/>
        <w:bidi w:val="0"/>
        <w:spacing w:before="480" w:after="0"/>
        <w:jc w:val="center"/>
        <w:rPr>
          <w:rFonts w:ascii="Times New Roman" w:hAnsi="Times New Roman"/>
          <w:b/>
          <w:sz w:val="20"/>
        </w:rPr>
      </w:pPr>
      <w:r>
        <w:rPr>
          <w:rFonts w:ascii="Times New Roman" w:hAnsi="Times New Roman"/>
          <w:b/>
          <w:sz w:val="20"/>
        </w:rPr>
        <w:t xml:space="preserve">BLAIZE HOLDINGS, INC. (F/K/A BURTECH ACQUISITION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9365" w:type="dxa"/>
        <w:jc w:val="left"/>
        <w:tblInd w:w="0" w:type="dxa"/>
        <w:tblLayout w:type="fixed"/>
        <w:tblCellMar>
          <w:top w:w="0" w:type="dxa"/>
          <w:left w:w="0" w:type="dxa"/>
          <w:bottom w:w="0" w:type="dxa"/>
          <w:right w:w="0" w:type="dxa"/>
        </w:tblCellMar>
      </w:tblPr>
      <w:tblGrid>
        <w:gridCol w:w="6230"/>
        <w:gridCol w:w="120"/>
        <w:gridCol w:w="140"/>
        <w:gridCol w:w="1055"/>
        <w:gridCol w:w="155"/>
        <w:gridCol w:w="60"/>
        <w:gridCol w:w="140"/>
        <w:gridCol w:w="1295"/>
        <w:gridCol w:w="170"/>
      </w:tblGrid>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(4,113,532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1,339,142</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earned on cash and marketable securities held in Trust Account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(2,465,138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(5,751,596</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Penalties and interest on excise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310,728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fair value of derivative liability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1,084,963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current assets and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186,532</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2,722,517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1,618,895</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35,800</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(510,465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235,886</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(2,770,927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(2,335,341</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used to pay franchise and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664,839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1,314,246</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Principal deposits into Trust Account for Extension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(1,639,296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(130,370</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843,313</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318,888</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in connection with redemptions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2,774,658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227,776,035</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1,800,201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230,122,112</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advances from Sponsor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2,971,258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convertible promissory note – related party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689,655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810,345</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Redemptions of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(2,774,658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(227,776,035</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886,255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(226,965,690</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(84,471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821,081</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restricted cash –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843,313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22,232</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restricted cash –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1055" w:type="dxa"/>
            <w:tcBorders/>
            <w:shd w:fill="CCEEFF" w:val="clear"/>
            <w:vAlign w:val="center"/>
          </w:tcPr>
          <w:p>
            <w:pPr>
              <w:pStyle w:val="TableContents"/>
              <w:bidi w:val="0"/>
              <w:spacing w:before="0" w:after="0"/>
              <w:jc w:val="right"/>
              <w:rPr>
                <w:b/>
                <w:spacing w:val="0"/>
              </w:rPr>
            </w:pPr>
            <w:r>
              <w:rPr>
                <w:b/>
                <w:spacing w:val="0"/>
              </w:rPr>
              <w:t>758,842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1295" w:type="dxa"/>
            <w:tcBorders/>
            <w:shd w:fill="CCEEFF" w:val="clear"/>
            <w:vAlign w:val="center"/>
          </w:tcPr>
          <w:p>
            <w:pPr>
              <w:pStyle w:val="TableContents"/>
              <w:bidi w:val="0"/>
              <w:spacing w:before="0" w:after="0"/>
              <w:jc w:val="right"/>
              <w:rPr>
                <w:b/>
                <w:spacing w:val="0"/>
              </w:rPr>
            </w:pPr>
            <w:r>
              <w:rPr>
                <w:b/>
                <w:spacing w:val="0"/>
              </w:rPr>
              <w:t>843,313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9195" w:type="dxa"/>
            <w:gridSpan w:val="8"/>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disclosures;</w:t>
            </w:r>
          </w:p>
        </w:tc>
        <w:tc>
          <w:tcPr>
            <w:tcW w:w="170" w:type="dxa"/>
            <w:tcBorders/>
            <w:vAlign w:val="center"/>
          </w:tcPr>
          <w:p>
            <w:pPr>
              <w:pStyle w:val="TableContents"/>
              <w:bidi w:val="0"/>
              <w:spacing w:before="0" w:after="0"/>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1,027,644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791,758</w:t>
            </w:r>
          </w:p>
        </w:tc>
        <w:tc>
          <w:tcPr>
            <w:tcW w:w="170" w:type="dxa"/>
            <w:tcBorders/>
            <w:shd w:fill="CCEEFF" w:val="clear"/>
            <w:vAlign w:val="center"/>
          </w:tcPr>
          <w:p>
            <w:pPr>
              <w:pStyle w:val="TableContents"/>
              <w:bidi w:val="0"/>
              <w:spacing w:before="0" w:after="283"/>
              <w:jc w:val="left"/>
              <w:rPr/>
            </w:pPr>
            <w:r>
              <w:rPr/>
              <w:t> </w:t>
            </w:r>
          </w:p>
        </w:tc>
      </w:tr>
      <w:tr>
        <w:trPr/>
        <w:tc>
          <w:tcPr>
            <w:tcW w:w="9195" w:type="dxa"/>
            <w:gridSpan w:val="8"/>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disclosures;</w:t>
            </w:r>
          </w:p>
        </w:tc>
        <w:tc>
          <w:tcPr>
            <w:tcW w:w="170" w:type="dxa"/>
            <w:tcBorders/>
            <w:vAlign w:val="center"/>
          </w:tcPr>
          <w:p>
            <w:pPr>
              <w:pStyle w:val="TableContents"/>
              <w:bidi w:val="0"/>
              <w:spacing w:before="0" w:after="0"/>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27,747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2,523,150</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Accretion of Class A common stock subject to possible redemption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3,380,995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4,510,051</w:t>
            </w:r>
          </w:p>
        </w:tc>
        <w:tc>
          <w:tcPr>
            <w:tcW w:w="170" w:type="dxa"/>
            <w:tcBorders/>
            <w:vAlign w:val="center"/>
          </w:tcPr>
          <w:p>
            <w:pPr>
              <w:pStyle w:val="TableContents"/>
              <w:bidi w:val="0"/>
              <w:spacing w:before="0" w:after="283"/>
              <w:jc w:val="left"/>
              <w:rPr/>
            </w:pPr>
            <w:r>
              <w:rPr/>
              <w:t> </w:t>
            </w:r>
          </w:p>
        </w:tc>
      </w:tr>
      <w:tr>
        <w:trPr/>
        <w:tc>
          <w:tcPr>
            <w:tcW w:w="9195" w:type="dxa"/>
            <w:gridSpan w:val="8"/>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Reconciliation of cash and restricted cash:</w:t>
            </w:r>
          </w:p>
        </w:tc>
        <w:tc>
          <w:tcPr>
            <w:tcW w:w="170" w:type="dxa"/>
            <w:tcBorders/>
            <w:shd w:fill="CCEEFF" w:val="clear"/>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22,232</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843,313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restricted cash –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843,313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22,232</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757,336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843,313</w:t>
            </w:r>
          </w:p>
        </w:tc>
        <w:tc>
          <w:tcPr>
            <w:tcW w:w="17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restricted cash –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758,842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843,313</w:t>
            </w:r>
          </w:p>
        </w:tc>
        <w:tc>
          <w:tcPr>
            <w:tcW w:w="170" w:type="dxa"/>
            <w:tcBorders/>
            <w:shd w:fill="CCEEFF" w:val="clear"/>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sz w:val="20"/>
        </w:rPr>
      </w:pPr>
      <w:r>
        <w:rPr>
          <w:rFonts w:ascii="Times New Roman" w:hAnsi="Times New Roman"/>
          <w:sz w:val="20"/>
        </w:rPr>
        <w:t xml:space="preserve">The accompanying notes are an integral part of these 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BurTech Acquisition Corp. (“BurTech” or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one wholly owned inactive subsidiary, BurTech Merger Sub Inc. (the “Merger Sub”), a Delaware corporation, formed on December 6, 2023. The Company’s sponsor is BurTech LP LLC, (the “Sponsor”).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not commenced any operations. All activity for the period from March 2, 2021 (inception) through December 31, 2024 relates to the Company’s formation and the Initial Public Offering (the “IPO”). The Company will not generate any operating revenues until after the completion of its initial Business Combination, at the earliest. The Company will generate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240" w:after="0"/>
        <w:jc w:val="left"/>
        <w:rPr>
          <w:rFonts w:ascii="Times New Roman" w:hAnsi="Times New Roman"/>
          <w:sz w:val="20"/>
        </w:rPr>
      </w:pPr>
      <w:r>
        <w:rPr>
          <w:rFonts w:ascii="Times New Roman" w:hAnsi="Times New Roman"/>
          <w:sz w:val="20"/>
        </w:rPr>
        <w:t xml:space="preserve">income in the form of interest income from the proceeds derived from the IPO. The Company has selected December 31 as its fiscal year end.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the Company, entered into an Agreement and Plan of Merger (the “Merger Agreement”) by and among the Company, BurTech Merger Sub Inc., a Delaware corporation and a direct, wholly owned subsidiary of the Company (“ Merger Sub”), Blaize, Inc., a Delaware corporation (“Legacy Blaize”), and, solely for the limited purposes set forth therein, Burkhan Capital LLC, a Delaware limited liability company (“Burkhan”), pursuant to which Merger Sub will merge with and into Legacy Blaize, whereupon the separate corporate existence of Merger Sub will cease and Legacy Blaize will be the surviving company and continue in existence as a direct, wholly owned subsidiary of BurTech, on the terms and subject to the conditions set forth therein (the “Merger” and, collectively with the other transactions described in the Merger Agreement, the “Business Combination”). In connection with the consummation of the Business Combination, BurTech will be renamed “Blaize Holdings, Inc.” (“Blaize”).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entered into an amendment of its Merger Agreement which modified certain terms and conditions as follows: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entered into an additional letter agreement which modified its convertible note financing and certain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lock-up</w:t>
            </w:r>
          </w:p>
          <w:p>
            <w:pPr>
              <w:pStyle w:val="TableContents"/>
              <w:bidi w:val="0"/>
              <w:spacing w:before="0" w:after="0"/>
              <w:jc w:val="left"/>
              <w:rPr>
                <w:rFonts w:ascii="Times New Roman" w:hAnsi="Times New Roman"/>
                <w:sz w:val="20"/>
              </w:rPr>
            </w:pPr>
            <w:r>
              <w:rPr>
                <w:rFonts w:ascii="Times New Roman" w:hAnsi="Times New Roman"/>
                <w:sz w:val="20"/>
              </w:rPr>
              <w:t xml:space="preserve">provisions which will exist in the closing of the Company’s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entered into an additional letter agreement in connection with its convertible note financing subject to funding conditions which will exist in the closing of the Company’s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and the Company entered into an additional letter agreement, under which the Sponsor agreed to forfeit 2,000,000 Company Shares to be effective immediately prior to the closing of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Amendment also revised the aggregate reserve size under the 2025 Plan and 2025 ESPP (each as defined below) to 20% of the aggregate number of shares of the Company’s common stock issued and outstanding immediately after the closing of the Business Combination and the evergreen percentage for the 2025 Plan to 7% of the aggregate number of shares of the Company’s common stock issued and outstanding on the last day of the calendar year immediately preceding the year of the applicable evergreen increase.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Merger Sub, Legacy Blaize and Burkhan amended the Agreement and Plan of Merger, amending the original Merger Agreement to make the following adjustments: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Base Purchase Price from $700 million to $767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Acknowledged that the Legacy Blaize Note Financing and the Legacy Blaize Warrant Financing constitute a Company Financing for all purposes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Added a new component to the definition of “Base Merger Consideration”, which is the product of (a) the number of shares of the Excluded Company Stock multiplied by (b) the Per Company Share Merger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Added a new definition of “Proportionate Shares Number,” which means (a) 325,000 Company Shares multiplied by (b.) the Cash Ratio; (viii) Added a closing condition for the benefit of Legacy Blaize requiring that the sum of the Trust Amount plus the amount of funds received pursuant to the Backstop Subscription Agreement shall be no less than the Backstop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Additionally, adjustments were made to various definitions and covenants to reflect the funding commitment of the Sponsor pursuant to the Backstop Subscription Agreement and the amounts of certain convertible notes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 xml:space="preserve">warrants Burkhan, its affiliates or nominees purchased from the Company. </w:t>
            </w:r>
          </w:p>
        </w:tc>
      </w:tr>
    </w:tbl>
    <w:p>
      <w:pPr>
        <w:pStyle w:val="TextBody"/>
        <w:bidi w:val="0"/>
        <w:spacing w:before="480" w:after="0"/>
        <w:jc w:val="left"/>
        <w:rPr>
          <w:rFonts w:ascii="Times New Roman" w:hAnsi="Times New Roman"/>
          <w:sz w:val="20"/>
        </w:rPr>
      </w:pPr>
      <w:r>
        <w:rPr>
          <w:rFonts w:ascii="Times New Roman" w:hAnsi="Times New Roman"/>
          <w:sz w:val="20"/>
        </w:rPr>
        <w:t xml:space="preserve">On October 24, 2024, the Company, Legacy Blaize and Burkhan entered into an Amendment No. 2 to Agreement and Plan of Merger (the “Second Amendment to Merger Agreement”). The Second Amendment to Merger Agreement amended the original merger agreement to revise the Blaize Board designees to be comprised of nine members, including four individuals to be designated by Legacy Blaize (rather than two individuals to be designated by the Sponsor and two individuals to be designated by Legacy Blaize in the previous merger agreement) and five independent directors, designated by Legacy Blaize after consultation, in good faith, with the Company regarding the determination of the independent directors, with Lane M. Bess to be designated as the Chairman until a new chairperson is appointed by the Blaize Board.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2024, the Company, Legacy Blaize and Burkhan entered into an Amendment No. 3 to Agreement and Plan of Merger (the “Third Amendment to Merger Agreement”). The Third Amendment to Merger Agreement amended the original merger agreement to (i) revise the Blaize Board designees to be comprised of seven members, including two individuals to be designated by Legacy Blaize and five independent directors, designated by Legacy Blaize after consultation, in good faith, with the Company regarding the determination of the independent directors, with Lane M. Bess to be designated as the Chairman until a new chairperson is appointed by the Blaize Board, (ii) remove the agreement between the Company,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Blaize Board will not be a classified board.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Special Meeting and Closing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2024, the Company held a special meeting in lieu of the 2024 annual meeting of stockholders (the “Special Meeting”), at which the Company’s stockholders considered and adopted, among other matters, a proposal to approve the Business Combination, including (a) adopting the Merger Agreement and (b) approving the other transactions contemplated by the Merger Agreement and related agreements described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subject to the conditions set forth in the Merger Agreement, following the Special Meeting, on January 13, 2025 (the “Closing Date”), the Business Combination was consummated (the “Closing”).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Prior to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 </w:t>
      </w:r>
    </w:p>
    <w:p>
      <w:pPr>
        <w:pStyle w:val="TextBody"/>
        <w:bidi w:val="0"/>
        <w:spacing w:before="240" w:after="0"/>
        <w:jc w:val="left"/>
        <w:rPr>
          <w:rFonts w:ascii="Times New Roman" w:hAnsi="Times New Roman"/>
          <w:sz w:val="20"/>
        </w:rPr>
      </w:pPr>
      <w:r>
        <w:rPr>
          <w:rFonts w:ascii="Times New Roman" w:hAnsi="Times New Roman"/>
          <w:sz w:val="20"/>
        </w:rPr>
        <w:t xml:space="preserve">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 </w:t>
      </w:r>
    </w:p>
    <w:p>
      <w:pPr>
        <w:pStyle w:val="TextBody"/>
        <w:bidi w:val="0"/>
        <w:spacing w:before="480" w:after="0"/>
        <w:jc w:val="left"/>
        <w:rPr>
          <w:rFonts w:ascii="Times New Roman" w:hAnsi="Times New Roman"/>
          <w:sz w:val="20"/>
        </w:rPr>
      </w:pPr>
      <w:r>
        <w:rPr>
          <w:rFonts w:ascii="Times New Roman" w:hAnsi="Times New Roman"/>
          <w:sz w:val="20"/>
        </w:rPr>
        <w:t xml:space="preserve">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w:t>
      </w:r>
    </w:p>
    <w:p>
      <w:pPr>
        <w:pStyle w:val="TextBody"/>
        <w:bidi w:val="0"/>
        <w:spacing w:before="480" w:after="0"/>
        <w:jc w:val="left"/>
        <w:rPr>
          <w:rFonts w:ascii="Times New Roman" w:hAnsi="Times New Roman"/>
          <w:spacing w:val="0"/>
          <w:sz w:val="20"/>
        </w:rPr>
      </w:pPr>
      <w:r>
        <w:rPr>
          <w:rFonts w:ascii="Times New Roman" w:hAnsi="Times New Roman"/>
          <w:spacing w:val="0"/>
          <w:sz w:val="20"/>
        </w:rPr>
        <w:t>2a-7</w:t>
      </w:r>
    </w:p>
    <w:p>
      <w:pPr>
        <w:pStyle w:val="TextBody"/>
        <w:bidi w:val="0"/>
        <w:spacing w:before="480" w:after="0"/>
        <w:jc w:val="left"/>
        <w:rPr>
          <w:rFonts w:ascii="Times New Roman" w:hAnsi="Times New Roman"/>
          <w:sz w:val="20"/>
        </w:rPr>
      </w:pPr>
      <w:r>
        <w:rPr>
          <w:rFonts w:ascii="Times New Roman" w:hAnsi="Times New Roman"/>
          <w:sz w:val="20"/>
        </w:rPr>
        <w:t xml:space="preserve">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w:t>
      </w:r>
    </w:p>
    <w:p>
      <w:pPr>
        <w:pStyle w:val="TextBody"/>
        <w:bidi w:val="0"/>
        <w:spacing w:before="480" w:after="0"/>
        <w:jc w:val="left"/>
        <w:rPr>
          <w:rFonts w:ascii="Times New Roman" w:hAnsi="Times New Roman"/>
          <w:spacing w:val="0"/>
          <w:sz w:val="20"/>
        </w:rPr>
      </w:pPr>
      <w:r>
        <w:rPr>
          <w:rFonts w:ascii="Times New Roman" w:hAnsi="Times New Roman"/>
          <w:spacing w:val="0"/>
          <w:sz w:val="20"/>
        </w:rPr>
        <w:t>pre-Business</w:t>
      </w:r>
    </w:p>
    <w:p>
      <w:pPr>
        <w:pStyle w:val="TextBody"/>
        <w:bidi w:val="0"/>
        <w:spacing w:before="480" w:after="0"/>
        <w:jc w:val="left"/>
        <w:rPr>
          <w:rFonts w:ascii="Times New Roman" w:hAnsi="Times New Roman"/>
          <w:sz w:val="20"/>
        </w:rPr>
      </w:pPr>
      <w:r>
        <w:rPr>
          <w:rFonts w:ascii="Times New Roman" w:hAnsi="Times New Roman"/>
          <w:sz w:val="20"/>
        </w:rPr>
        <w:t xml:space="preserve">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public stockholders with the opportunity to redeem all or a portion of their public shares upon the completion of the initial Business Combination at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per-share</w:t>
      </w:r>
    </w:p>
    <w:p>
      <w:pPr>
        <w:pStyle w:val="TextBody"/>
        <w:bidi w:val="0"/>
        <w:spacing w:before="240" w:after="0"/>
        <w:jc w:val="left"/>
        <w:rPr>
          <w:rFonts w:ascii="Times New Roman" w:hAnsi="Times New Roman"/>
          <w:sz w:val="20"/>
        </w:rPr>
      </w:pPr>
      <w:r>
        <w:rPr>
          <w:rFonts w:ascii="Times New Roman" w:hAnsi="Times New Roman"/>
          <w:sz w:val="20"/>
        </w:rPr>
        <w:t xml:space="preserve">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per-share</w:t>
      </w:r>
    </w:p>
    <w:p>
      <w:pPr>
        <w:pStyle w:val="TextBody"/>
        <w:bidi w:val="0"/>
        <w:spacing w:before="240" w:after="0"/>
        <w:jc w:val="left"/>
        <w:rPr>
          <w:rFonts w:ascii="Times New Roman" w:hAnsi="Times New Roman"/>
          <w:sz w:val="20"/>
        </w:rPr>
      </w:pPr>
      <w:r>
        <w:rPr>
          <w:rFonts w:ascii="Times New Roman" w:hAnsi="Times New Roman"/>
          <w:sz w:val="20"/>
        </w:rPr>
        <w:t xml:space="preserve">price, payable in cash, equal to the aggregate amount then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 </w:t>
      </w:r>
    </w:p>
    <w:p>
      <w:pPr>
        <w:pStyle w:val="TextBody"/>
        <w:bidi w:val="0"/>
        <w:spacing w:before="0" w:after="0"/>
        <w:jc w:val="left"/>
        <w:rPr>
          <w:rFonts w:ascii="Times New Roman" w:hAnsi="Times New Roman"/>
          <w:sz w:val="20"/>
        </w:rPr>
      </w:pPr>
      <w:r>
        <w:rPr>
          <w:rFonts w:ascii="Times New Roman" w:hAnsi="Times New Roman"/>
          <w:sz w:val="20"/>
        </w:rPr>
        <w:t xml:space="preserve">On March 10, 2023, the Company and Sponsor entered into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0" w:after="0"/>
        <w:jc w:val="left"/>
        <w:rPr>
          <w:rFonts w:ascii="Times New Roman" w:hAnsi="Times New Roman"/>
          <w:sz w:val="20"/>
        </w:rPr>
      </w:pPr>
      <w:r>
        <w:rPr>
          <w:rFonts w:ascii="Times New Roman" w:hAnsi="Times New Roman"/>
          <w:sz w:val="20"/>
        </w:rPr>
        <w:t xml:space="preserve">agreements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0" w:after="0"/>
        <w:jc w:val="left"/>
        <w:rPr>
          <w:rFonts w:ascii="Times New Roman" w:hAnsi="Times New Roman"/>
          <w:sz w:val="20"/>
        </w:rPr>
      </w:pPr>
      <w:r>
        <w:rPr>
          <w:rFonts w:ascii="Times New Roman" w:hAnsi="Times New Roman"/>
          <w:sz w:val="20"/>
        </w:rPr>
        <w:t xml:space="preserve">Agreements”) with one or more unaffiliated third party or parties in exchange for such third party or third parties agreeing not to redeem up to an aggregate of 4,597,648 shares of the Company’s Class A common stock sold in its initial public offering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0" w:after="0"/>
        <w:jc w:val="left"/>
        <w:rPr>
          <w:rFonts w:ascii="Times New Roman" w:hAnsi="Times New Roman"/>
          <w:sz w:val="20"/>
        </w:rPr>
      </w:pPr>
      <w:r>
        <w:rPr>
          <w:rFonts w:ascii="Times New Roman" w:hAnsi="Times New Roman"/>
          <w:sz w:val="20"/>
        </w:rPr>
        <w:t xml:space="preserve">Shares”) in connection with the special meeting of the stockholders called by the Company (the “Special Meeting”), In exchange for the foregoing commitments not to redeem such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0" w:after="0"/>
        <w:jc w:val="left"/>
        <w:rPr>
          <w:rFonts w:ascii="Times New Roman" w:hAnsi="Times New Roman"/>
          <w:sz w:val="20"/>
        </w:rPr>
      </w:pPr>
      <w:r>
        <w:rPr>
          <w:rFonts w:ascii="Times New Roman" w:hAnsi="Times New Roman"/>
          <w:sz w:val="20"/>
        </w:rPr>
        <w:t xml:space="preserve">Shares, the Sponsor has agreed to transfer to such third party or third parties up to an aggregate of 1,274,412 shares of the Company’s Class A common stock held by the Sponsor immediately following the consummation of an initial business combination if they continue to hold such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0" w:after="0"/>
        <w:jc w:val="left"/>
        <w:rPr>
          <w:rFonts w:ascii="Times New Roman" w:hAnsi="Times New Roman"/>
          <w:sz w:val="20"/>
        </w:rPr>
      </w:pPr>
      <w:r>
        <w:rPr>
          <w:rFonts w:ascii="Times New Roman" w:hAnsi="Times New Roman"/>
          <w:sz w:val="20"/>
        </w:rPr>
        <w:t xml:space="preserve">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one-month</w:t>
      </w:r>
    </w:p>
    <w:p>
      <w:pPr>
        <w:pStyle w:val="TextBody"/>
        <w:bidi w:val="0"/>
        <w:spacing w:before="240" w:after="0"/>
        <w:jc w:val="left"/>
        <w:rPr>
          <w:rFonts w:ascii="Times New Roman" w:hAnsi="Times New Roman"/>
          <w:sz w:val="20"/>
        </w:rPr>
      </w:pPr>
      <w:r>
        <w:rPr>
          <w:rFonts w:ascii="Times New Roman" w:hAnsi="Times New Roman"/>
          <w:sz w:val="20"/>
        </w:rPr>
        <w:t xml:space="preserve">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From January through November, the Sponsor deposited $130,370 approximately the 15th of each month into the Trust Account to extend the life of the Company from January 15, 2024 to December 15, 2024.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stockholders’ vote at the Third Special Meeting of stockholders held by the Company on December 9, 2024, The Company’s stockholders redeemed 241,120 shares during the Third Special Meeting. As a result, approximately $2.7 million (approximately $11.51 per share) was removed from the Company’s trust account to pay such holders. The amount was removed from the Trust Account on December 12, 2024. In conjunction with these redemptions, the stockholders also voted on extending the extended liquidation from December 15, 2024 to May 15, 2025, (the “extended liquidation date”) extending the life of the Company to complete an initial business combination. The Company has the right to extend the time to complete a business combination until May 15, 2025, by depositing into the Trust Account the lesser of $0.05 per unredeemed share of Class A common stock or $205,227 (the “New Extension Payment”) for each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one-month</w:t>
      </w:r>
    </w:p>
    <w:p>
      <w:pPr>
        <w:pStyle w:val="TextBody"/>
        <w:bidi w:val="0"/>
        <w:spacing w:before="240" w:after="0"/>
        <w:jc w:val="left"/>
        <w:rPr>
          <w:rFonts w:ascii="Times New Roman" w:hAnsi="Times New Roman"/>
          <w:sz w:val="20"/>
        </w:rPr>
      </w:pPr>
      <w:r>
        <w:rPr>
          <w:rFonts w:ascii="Times New Roman" w:hAnsi="Times New Roman"/>
          <w:sz w:val="20"/>
        </w:rPr>
        <w:t xml:space="preserve">Extension. On December 15, 2024 the Sponsor deposited $205,227 on into the Trust Account to extend the life of the Company to January 15, 2025.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 </w:t>
      </w:r>
    </w:p>
    <w:p>
      <w:pPr>
        <w:pStyle w:val="TextBody"/>
        <w:bidi w:val="0"/>
        <w:spacing w:before="240" w:after="0"/>
        <w:jc w:val="left"/>
        <w:rPr>
          <w:rFonts w:ascii="Times New Roman" w:hAnsi="Times New Roman"/>
          <w:sz w:val="20"/>
        </w:rPr>
      </w:pPr>
      <w:r>
        <w:rPr>
          <w:rFonts w:ascii="Times New Roman" w:hAnsi="Times New Roman"/>
          <w:sz w:val="20"/>
        </w:rPr>
        <w:t xml:space="preserve">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pre-initial</w:t>
      </w:r>
    </w:p>
    <w:p>
      <w:pPr>
        <w:pStyle w:val="TextBody"/>
        <w:bidi w:val="0"/>
        <w:spacing w:before="240" w:after="0"/>
        <w:jc w:val="left"/>
        <w:rPr>
          <w:rFonts w:ascii="Times New Roman" w:hAnsi="Times New Roman"/>
          <w:sz w:val="20"/>
        </w:rPr>
      </w:pPr>
      <w:r>
        <w:rPr>
          <w:rFonts w:ascii="Times New Roman" w:hAnsi="Times New Roman"/>
          <w:sz w:val="20"/>
        </w:rPr>
        <w:t xml:space="preserve">Business Combination activity and (iii) waive their rights to liquidating distributions from the Trust Account with respect to any founder shares and placement shares held by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 </w:t>
      </w:r>
    </w:p>
    <w:p>
      <w:pPr>
        <w:pStyle w:val="TextBody"/>
        <w:bidi w:val="0"/>
        <w:spacing w:before="0" w:after="0"/>
        <w:jc w:val="left"/>
        <w:rPr>
          <w:rFonts w:ascii="Times New Roman" w:hAnsi="Times New Roman"/>
          <w:sz w:val="20"/>
        </w:rPr>
      </w:pPr>
      <w:r>
        <w:rPr>
          <w:rFonts w:ascii="Times New Roman" w:hAnsi="Times New Roman"/>
          <w:sz w:val="20"/>
        </w:rPr>
        <w:t xml:space="preserve">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 </w:t>
      </w:r>
    </w:p>
    <w:p>
      <w:pPr>
        <w:pStyle w:val="TextBody"/>
        <w:bidi w:val="0"/>
        <w:spacing w:before="240" w:after="0"/>
        <w:jc w:val="left"/>
        <w:rPr>
          <w:rFonts w:ascii="Times New Roman" w:hAnsi="Times New Roman"/>
          <w:sz w:val="20"/>
        </w:rPr>
      </w:pPr>
      <w:r>
        <w:rPr>
          <w:rFonts w:ascii="Times New Roman" w:hAnsi="Times New Roman"/>
          <w:sz w:val="20"/>
        </w:rPr>
        <w:t xml:space="preserve">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2024, the Company received a notice (the “Notice”) from the Nasdaq Stock Market LLC (“Nasdaq”), stating that the Company did not comply with Nasdaq Interpretive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IM-5101-2</w:t>
      </w:r>
    </w:p>
    <w:p>
      <w:pPr>
        <w:pStyle w:val="TextBody"/>
        <w:bidi w:val="0"/>
        <w:spacing w:before="240" w:after="0"/>
        <w:jc w:val="left"/>
        <w:rPr>
          <w:rFonts w:ascii="Times New Roman" w:hAnsi="Times New Roman"/>
          <w:spacing w:val="0"/>
          <w:sz w:val="20"/>
        </w:rPr>
      </w:pPr>
      <w:r>
        <w:rPr>
          <w:rFonts w:ascii="Times New Roman" w:hAnsi="Times New Roman"/>
          <w:spacing w:val="0"/>
          <w:sz w:val="20"/>
        </w:rPr>
        <w:t>(“IM-5101-2”),</w:t>
      </w:r>
    </w:p>
    <w:p>
      <w:pPr>
        <w:pStyle w:val="TextBody"/>
        <w:bidi w:val="0"/>
        <w:spacing w:before="240" w:after="0"/>
        <w:jc w:val="left"/>
        <w:rPr>
          <w:rFonts w:ascii="Times New Roman" w:hAnsi="Times New Roman"/>
          <w:sz w:val="20"/>
        </w:rPr>
      </w:pPr>
      <w:r>
        <w:rPr>
          <w:rFonts w:ascii="Times New Roman" w:hAnsi="Times New Roman"/>
          <w:sz w:val="20"/>
        </w:rPr>
        <w:t xml:space="preserve">and that its securities are now subject to delisting. Pursuant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IM-5101-2,</w:t>
      </w:r>
    </w:p>
    <w:p>
      <w:pPr>
        <w:pStyle w:val="TextBody"/>
        <w:bidi w:val="0"/>
        <w:spacing w:before="240" w:after="0"/>
        <w:jc w:val="left"/>
        <w:rPr>
          <w:rFonts w:ascii="Times New Roman" w:hAnsi="Times New Roman"/>
          <w:sz w:val="20"/>
        </w:rPr>
      </w:pPr>
      <w:r>
        <w:rPr>
          <w:rFonts w:ascii="Times New Roman" w:hAnsi="Times New Roman"/>
          <w:sz w:val="20"/>
        </w:rPr>
        <w:t xml:space="preserve">the Company, a special purpose acquisition company, must complete one or more business combinations within 36 months of the effectiveness of its IPO registration statement. Since the Company did not complete its initial business combination by December 10, 2024, the Company did not comply with </w:t>
      </w:r>
    </w:p>
    <w:p>
      <w:pPr>
        <w:pStyle w:val="TextBody"/>
        <w:bidi w:val="0"/>
        <w:spacing w:before="240" w:after="0"/>
        <w:jc w:val="left"/>
        <w:rPr>
          <w:rFonts w:ascii="Times New Roman" w:hAnsi="Times New Roman"/>
          <w:spacing w:val="0"/>
          <w:sz w:val="20"/>
        </w:rPr>
      </w:pPr>
      <w:r>
        <w:rPr>
          <w:rFonts w:ascii="Times New Roman" w:hAnsi="Times New Roman"/>
          <w:spacing w:val="0"/>
          <w:sz w:val="20"/>
        </w:rPr>
        <w:t>IM-5101-2,</w:t>
      </w:r>
    </w:p>
    <w:p>
      <w:pPr>
        <w:pStyle w:val="TextBody"/>
        <w:bidi w:val="0"/>
        <w:spacing w:before="240" w:after="0"/>
        <w:jc w:val="left"/>
        <w:rPr>
          <w:rFonts w:ascii="Times New Roman" w:hAnsi="Times New Roman"/>
          <w:sz w:val="20"/>
        </w:rPr>
      </w:pPr>
      <w:r>
        <w:rPr>
          <w:rFonts w:ascii="Times New Roman" w:hAnsi="Times New Roman"/>
          <w:sz w:val="20"/>
        </w:rPr>
        <w:t xml:space="preserve">and its securities are now subject to delisting. Unless the Company requests a timely appeal of this determination by Nasdaq, trading of the Company’s securities on Nasdaq will be suspended at the opening of business on December 18, 2024, and a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25-NSE</w:t>
      </w:r>
    </w:p>
    <w:p>
      <w:pPr>
        <w:pStyle w:val="TextBody"/>
        <w:bidi w:val="0"/>
        <w:spacing w:before="240" w:after="0"/>
        <w:jc w:val="left"/>
        <w:rPr>
          <w:rFonts w:ascii="Times New Roman" w:hAnsi="Times New Roman"/>
          <w:sz w:val="20"/>
        </w:rPr>
      </w:pPr>
      <w:r>
        <w:rPr>
          <w:rFonts w:ascii="Times New Roman" w:hAnsi="Times New Roman"/>
          <w:sz w:val="20"/>
        </w:rPr>
        <w:t xml:space="preserve">will be filed with the Securities and Exchange Commission (the “SEC”), which will remove the Company’s securities from listing on Nasdaq. The Company will not appeal Nasdaq’s determination to delist the Company securities and accordingly, the Company’s securities will be suspended from trading on Nasdaq at the opening of business on December 18, 2024. The Company plans to transfer its securities to OTC for quotation under the same ticker symbols following the delisting of the Company’s securities on Nasdaq. </w:t>
      </w:r>
    </w:p>
    <w:p>
      <w:pPr>
        <w:pStyle w:val="TextBody"/>
        <w:bidi w:val="0"/>
        <w:spacing w:before="240" w:after="0"/>
        <w:jc w:val="left"/>
        <w:rPr>
          <w:rFonts w:ascii="Times New Roman" w:hAnsi="Times New Roman"/>
          <w:sz w:val="20"/>
        </w:rPr>
      </w:pPr>
      <w:r>
        <w:rPr>
          <w:rFonts w:ascii="Times New Roman" w:hAnsi="Times New Roman"/>
          <w:sz w:val="20"/>
        </w:rPr>
        <w:t xml:space="preserve">On July 18, 2024, the Company and Legacy Blaize filed the registration statement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S-4</w:t>
      </w:r>
    </w:p>
    <w:p>
      <w:pPr>
        <w:pStyle w:val="TextBody"/>
        <w:bidi w:val="0"/>
        <w:spacing w:before="240" w:after="0"/>
        <w:jc w:val="left"/>
        <w:rPr>
          <w:rFonts w:ascii="Times New Roman" w:hAnsi="Times New Roman"/>
          <w:sz w:val="20"/>
        </w:rPr>
      </w:pPr>
      <w:r>
        <w:rPr>
          <w:rFonts w:ascii="Times New Roman" w:hAnsi="Times New Roman"/>
          <w:sz w:val="20"/>
        </w:rPr>
        <w:t xml:space="preserve">related the Business Combination detailed below. </w:t>
      </w:r>
    </w:p>
    <w:p>
      <w:pPr>
        <w:pStyle w:val="TextBody"/>
        <w:bidi w:val="0"/>
        <w:spacing w:before="240" w:after="0"/>
        <w:jc w:val="left"/>
        <w:rPr>
          <w:rFonts w:ascii="Times New Roman" w:hAnsi="Times New Roman"/>
          <w:sz w:val="20"/>
        </w:rPr>
      </w:pPr>
      <w:r>
        <w:rPr>
          <w:rFonts w:ascii="Times New Roman" w:hAnsi="Times New Roman"/>
          <w:sz w:val="20"/>
        </w:rPr>
        <w:t xml:space="preserve">On December 23, 2024, the Company held a special meeting in lieu of the 2024 annual meeting of the stockholders of the Company (the “Special Meeting”) in connection with the Business Combination and other related matters, as described in the definitive proxy statement filed by the Company with the Securities and Exchange Commission on December 2, 2024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stockholders’ vote on December 23, 2024 (discussed above) and after certain Investors entered into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Agreements, 937,844 shares were tendered for redemption on January 12, 2025. As a result, approximately $10.9 million (approximately $11.58 per share) will be removed from the Company’s trust account to pay such holders, after taking into account additional allocation of payments to cover any tax obligation of the Company, such as franchise taxes, but not including any excise tax, since that date. Following redemptions and execution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Agreements, the Company will have approximately $36.6 million in the Company’s trust account. In connection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Agreements, approximately $33.1 million will be transferred into a separate escrow account with Continental Stock Transfer &amp; Trust Company at the closing of the Business Combination and held until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240" w:after="0"/>
        <w:jc w:val="left"/>
        <w:rPr>
          <w:rFonts w:ascii="Times New Roman" w:hAnsi="Times New Roman"/>
          <w:sz w:val="20"/>
        </w:rPr>
      </w:pPr>
      <w:r>
        <w:rPr>
          <w:rFonts w:ascii="Times New Roman" w:hAnsi="Times New Roman"/>
          <w:sz w:val="20"/>
        </w:rPr>
        <w:t xml:space="preserve">Shares are either sold in the market and/or put to the Company in accordance with the procedures described above and such funds are then distributed to the Investors and Company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Company had $1,506 in cash, $757,336 in restricted cash, and $47,558,112 in investments held in trust. Restricted cash is held exclusively for payment of current tax liabilities and $40,157 of over withdrawn interest from the Trust Account. As of December 31, 2024, $4,214,138 of the amount on deposit in the Trust Account represents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Our liquidity needs up to December 31,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December 31, 2024, the Company had $1,500,000 outstanding under a Convertible Promissory Note and $2,971,258 outstanding as advances from sponsor. </w:t>
      </w:r>
    </w:p>
    <w:p>
      <w:pPr>
        <w:pStyle w:val="TextBody"/>
        <w:bidi w:val="0"/>
        <w:spacing w:before="0" w:after="0"/>
        <w:jc w:val="left"/>
        <w:rPr>
          <w:rFonts w:ascii="Times New Roman" w:hAnsi="Times New Roman"/>
          <w:sz w:val="20"/>
        </w:rPr>
      </w:pPr>
      <w:r>
        <w:rPr>
          <w:rFonts w:ascii="Times New Roman" w:hAnsi="Times New Roman"/>
          <w:sz w:val="20"/>
        </w:rPr>
        <w:t xml:space="preserve">Until the consummation of the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the Company consummated the Closing on January 13, 2025. As such, management of Legacy Blaize has determined that due to the incurred recurring losses and negative cash flows incurred and projected, there is a liquidity condition due to working capital restrictions.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transaction involving Legacy Blaize (i.e., the Business Combination) (the “Jefferies Engagement Letter”), pursuant to which Jefferies would be eligible for a fee of $4,500,000 contingent upon the closing of a Business Combination and for reimbursement of expenses up to $500,000.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pre-and</w:t>
      </w:r>
    </w:p>
    <w:p>
      <w:pPr>
        <w:pStyle w:val="TextBody"/>
        <w:bidi w:val="0"/>
        <w:spacing w:before="240" w:after="0"/>
        <w:jc w:val="left"/>
        <w:rPr>
          <w:rFonts w:ascii="Times New Roman" w:hAnsi="Times New Roman"/>
          <w:sz w:val="20"/>
        </w:rPr>
      </w:pPr>
      <w:r>
        <w:rPr>
          <w:rFonts w:ascii="Times New Roman" w:hAnsi="Times New Roman"/>
          <w:sz w:val="20"/>
        </w:rPr>
        <w:t xml:space="preserve">post-judgment interest and attorneys’ fees and legal costs incurred in connection with the lawsuit. Such contingent obligation could require the use of cash or impact the collection of cash in future periods; however, we are unable to accurately predict the timing and estimate the amount of such contingent obligation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Accounting Standards Codification Subtopic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240" w:after="0"/>
        <w:jc w:val="left"/>
        <w:rPr/>
      </w:pPr>
      <w:r>
        <w:rPr/>
        <w:t>“</w:t>
      </w:r>
      <w:r>
        <w:rPr>
          <w:rFonts w:ascii="Times New Roman" w:hAnsi="Times New Roman"/>
          <w:sz w:val="20"/>
        </w:rPr>
        <w:t xml:space="preserve">Presentation of Financial Statements – Going Concern,” Management has determined that the liquidity condition due to insufficient working capital, described above, raises substantial doubt about the Company’s ability to continue as a going concern for at least one year from the date the consolidated financial statements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currently evaluating the impact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COVID-19</w:t>
      </w:r>
    </w:p>
    <w:p>
      <w:pPr>
        <w:pStyle w:val="TextBody"/>
        <w:bidi w:val="0"/>
        <w:spacing w:before="120" w:after="0"/>
        <w:jc w:val="left"/>
        <w:rPr>
          <w:rFonts w:ascii="Times New Roman" w:hAnsi="Times New Roman"/>
          <w:sz w:val="20"/>
        </w:rPr>
      </w:pPr>
      <w:r>
        <w:rPr>
          <w:rFonts w:ascii="Times New Roman" w:hAnsi="Times New Roman"/>
          <w:sz w:val="20"/>
        </w:rPr>
        <w:t xml:space="preserve">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COVID-19</w:t>
      </w:r>
    </w:p>
    <w:p>
      <w:pPr>
        <w:pStyle w:val="TextBody"/>
        <w:bidi w:val="0"/>
        <w:spacing w:before="240" w:after="0"/>
        <w:jc w:val="left"/>
        <w:rPr>
          <w:rFonts w:ascii="Times New Roman" w:hAnsi="Times New Roman"/>
          <w:sz w:val="20"/>
        </w:rPr>
      </w:pPr>
      <w:r>
        <w:rPr>
          <w:rFonts w:ascii="Times New Roman" w:hAnsi="Times New Roman"/>
          <w:sz w:val="20"/>
        </w:rPr>
        <w:t xml:space="preserve">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Cash, Due from Sponsor, and Trust Payable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Trust agreement, the Company is permitted to withdraw funds from the trust account to pay its tax obligations, including income and franchise taxes. During the year ended December 31, 2024, the Company withdrew $664,838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as of December 31, 2024 and 2023 amounted to nil and $318,888, respectively. As of December 31, 2024 and 2023, the balance in restricted cash in the amount of $757,336 and $843,313, respectively, on the accompanying consolidated balance sheets, represents amounts withheld from the trust account available exclusively for payment of current tax liabilities, except for 2024 which includes $40,157 over withdrawn from the Trust Account for taxes. </w:t>
      </w:r>
    </w:p>
    <w:p>
      <w:pPr>
        <w:pStyle w:val="TextBody"/>
        <w:bidi w:val="0"/>
        <w:spacing w:before="360" w:after="0"/>
        <w:jc w:val="left"/>
        <w:rPr>
          <w:rFonts w:ascii="Times New Roman" w:hAnsi="Times New Roman"/>
          <w:b/>
          <w:sz w:val="20"/>
        </w:rPr>
      </w:pPr>
      <w:r>
        <w:rPr>
          <w:rFonts w:ascii="Times New Roman" w:hAnsi="Times New Roman"/>
          <w:b/>
          <w:sz w:val="20"/>
        </w:rPr>
        <w:t xml:space="preserve">NOTE 2. BASIS OF PRESENTATION AND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are presented in conformity with accounting principles generally accepted in the U.S. (“GAAP”) and pursuant to the rules and regulations of the SEC.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Revision to Prior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2023, the Company converted 9,487,495 Class B Shares to Class A Shares. In prior financial statements it was reflected that 9,487,500 were transferred from Class B shares to Class A shares. This revision only impacts the consolidated statements of equity whereas 5 shares are shown as Class B Shares and Class A shares are shown as 9,487,495. There are no other impacts to the Company’s consolidated financial statements.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subsidiary. All significant intercompany balances and transactions have been eliminated in consolidation.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non-emerging</w:t>
      </w:r>
    </w:p>
    <w:p>
      <w:pPr>
        <w:pStyle w:val="TextBody"/>
        <w:bidi w:val="0"/>
        <w:spacing w:before="240" w:after="0"/>
        <w:jc w:val="left"/>
        <w:rPr>
          <w:rFonts w:ascii="Times New Roman" w:hAnsi="Times New Roman"/>
          <w:sz w:val="20"/>
        </w:rPr>
      </w:pPr>
      <w:r>
        <w:rPr>
          <w:rFonts w:ascii="Times New Roman" w:hAnsi="Times New Roman"/>
          <w:sz w:val="20"/>
        </w:rPr>
        <w:t xml:space="preserve">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consolidated financial statements,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management considered in formulating its estimate, could change in the near term due to one or more future confirming events. One of the more significant accounting estimates included in these consolidated financial statements is the determination of fair value of the warrant liabilities. Such estimates may be subject to change as more current information becomes available and accordingly, the actual results could differ significantly from those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As of December 31, 2024 and 2023, the Company had $1,506 and $0 in cash, respectively, and no cash equivalents. As of December 31, 2024 and 2023, the Company also had $757,336 and $843,313 of restricted cash, respectively, related to funds withdrawn from the Trust Account reserved to the payment of taxes.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2023, the Company had $47,558,112 and $71,432,177 (as of December 31, 2023, $24,539,002 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December 31, 2024 and 2023, 4,104,543 and 4,345,663 Class A common stock subject to possible redemption, respectively, are presented at redemption value as temporary equity, outside of the stockholders’ deficit section of the Company’s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340-10-S99-1,</w:t>
      </w:r>
    </w:p>
    <w:p>
      <w:pPr>
        <w:pStyle w:val="TextBody"/>
        <w:bidi w:val="0"/>
        <w:spacing w:before="120" w:after="0"/>
        <w:jc w:val="left"/>
        <w:rPr>
          <w:rFonts w:ascii="Times New Roman" w:hAnsi="Times New Roman"/>
          <w:sz w:val="20"/>
        </w:rPr>
      </w:pPr>
      <w:r>
        <w:rPr>
          <w:rFonts w:ascii="Times New Roman" w:hAnsi="Times New Roman"/>
          <w:sz w:val="20"/>
        </w:rPr>
        <w:t xml:space="preserve">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2024 and 2023, the Company’s deferred tax asset had a full valuation allowance recorded against it. </w:t>
      </w:r>
    </w:p>
    <w:p>
      <w:pPr>
        <w:pStyle w:val="TextBody"/>
        <w:bidi w:val="0"/>
        <w:spacing w:before="24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consolidated financial statements and prescribes a recognition threshold and measurement process for financial statement recognition and measurement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position taken or expected to be taken in a tax return. For those benefits to be recognized, a tax position must be </w:t>
      </w:r>
    </w:p>
    <w:p>
      <w:pPr>
        <w:pStyle w:val="TextBody"/>
        <w:bidi w:val="0"/>
        <w:spacing w:before="0" w:after="0"/>
        <w:jc w:val="left"/>
        <w:rPr>
          <w:rFonts w:ascii="Times New Roman" w:hAnsi="Times New Roman"/>
          <w:spacing w:val="0"/>
          <w:sz w:val="20"/>
        </w:rPr>
      </w:pPr>
      <w:r>
        <w:rPr>
          <w:rFonts w:ascii="Times New Roman" w:hAnsi="Times New Roman"/>
          <w:spacing w:val="0"/>
          <w:sz w:val="20"/>
        </w:rPr>
        <w:t>more-likely-than-not</w:t>
      </w:r>
    </w:p>
    <w:p>
      <w:pPr>
        <w:pStyle w:val="TextBody"/>
        <w:bidi w:val="0"/>
        <w:spacing w:before="0" w:after="0"/>
        <w:jc w:val="left"/>
        <w:rPr>
          <w:rFonts w:ascii="Times New Roman" w:hAnsi="Times New Roman"/>
          <w:sz w:val="20"/>
        </w:rPr>
      </w:pPr>
      <w:r>
        <w:rPr>
          <w:rFonts w:ascii="Times New Roman" w:hAnsi="Times New Roman"/>
          <w:sz w:val="20"/>
        </w:rPr>
        <w:t xml:space="preserve">to be sustained upon examination by taxing authorities. ASC 740 also provides guidance on derecognition, classification, interest and penalties, accounting in interim period, disclosure and transition.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income taxes and unrecognized tax benefits as income tax expense. There were no unrecognized tax benefits as of December 31, 2024 and 2023. During the year ended December 31, 2024, the Company’s provision for income taxes included $41,498 for interest and penalties. The $41,498 is included in income taxes payable on the Company’s balance sheets as of December 31, 2024.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identified the U.S.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Company’s effective tax rate was (14.4)% and 43.4% for the year ended December 31, 2024 and 2023, respectively. The effective tax rate differs from the statutory tax rate of 21% due to the valuation allowance on the deferred tax assets and the deductibility of penalties on tax obligations and merger and acquisition costs.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Income (Loss) Per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(losses) earnings per share for the year ended December 31, 2024 and 2023 because the warrants are contingently exercisable, and the contingencies have not yet been met and its inclusion would be anti- dilutive. As a result, diluted net (loss) income per common stock is the same as basic net (loss) income per common stock for the periods.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a reconciliation of the numerator and denominator used to compute basic and diluted net (loss) income per share for each class of common stock: </w:t>
      </w:r>
    </w:p>
    <w:p>
      <w:pPr>
        <w:pStyle w:val="TextBody"/>
        <w:bidi w:val="0"/>
        <w:spacing w:before="0" w:after="0"/>
        <w:jc w:val="left"/>
        <w:rPr/>
      </w:pPr>
      <w:r>
        <w:rPr/>
        <w:t> </w:t>
      </w:r>
    </w:p>
    <w:tbl>
      <w:tblPr>
        <w:tblW w:w="12560" w:type="dxa"/>
        <w:jc w:val="left"/>
        <w:tblInd w:w="0" w:type="dxa"/>
        <w:tblLayout w:type="fixed"/>
        <w:tblCellMar>
          <w:top w:w="0" w:type="dxa"/>
          <w:left w:w="0" w:type="dxa"/>
          <w:bottom w:w="0" w:type="dxa"/>
          <w:right w:w="0" w:type="dxa"/>
        </w:tblCellMar>
      </w:tblPr>
      <w:tblGrid>
        <w:gridCol w:w="1520"/>
        <w:gridCol w:w="120"/>
        <w:gridCol w:w="172"/>
        <w:gridCol w:w="1303"/>
        <w:gridCol w:w="155"/>
        <w:gridCol w:w="60"/>
        <w:gridCol w:w="200"/>
        <w:gridCol w:w="1575"/>
        <w:gridCol w:w="155"/>
        <w:gridCol w:w="60"/>
        <w:gridCol w:w="377"/>
        <w:gridCol w:w="1398"/>
        <w:gridCol w:w="155"/>
        <w:gridCol w:w="60"/>
        <w:gridCol w:w="142"/>
        <w:gridCol w:w="1123"/>
        <w:gridCol w:w="60"/>
        <w:gridCol w:w="120"/>
        <w:gridCol w:w="221"/>
        <w:gridCol w:w="1554"/>
        <w:gridCol w:w="60"/>
        <w:gridCol w:w="120"/>
        <w:gridCol w:w="221"/>
        <w:gridCol w:w="1554"/>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45" w:type="dxa"/>
            <w:gridSpan w:val="2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Redeemable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0"/>
              <w:jc w:val="center"/>
              <w:rPr>
                <w:b/>
                <w:spacing w:val="0"/>
              </w:rPr>
            </w:pPr>
            <w:r>
              <w:rPr>
                <w:b/>
                <w:spacing w:val="0"/>
              </w:rPr>
              <w:t>Non-Redeemable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0"/>
              <w:jc w:val="center"/>
              <w:rPr>
                <w:b/>
                <w:spacing w:val="0"/>
              </w:rPr>
            </w:pPr>
            <w:r>
              <w:rPr>
                <w:b/>
                <w:spacing w:val="0"/>
              </w:rPr>
              <w:t>Non-Redeemable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0"/>
              <w:jc w:val="center"/>
              <w:rPr>
                <w:b/>
                <w:spacing w:val="0"/>
              </w:rPr>
            </w:pPr>
            <w:r>
              <w:rPr>
                <w:b/>
                <w:spacing w:val="0"/>
              </w:rPr>
              <w:t>Redeemable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0"/>
              <w:jc w:val="center"/>
              <w:rPr>
                <w:b/>
                <w:spacing w:val="0"/>
              </w:rPr>
            </w:pPr>
            <w:r>
              <w:rPr>
                <w:b/>
                <w:spacing w:val="0"/>
              </w:rPr>
              <w:t>Non-Redeemable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0"/>
              <w:jc w:val="center"/>
              <w:rPr>
                <w:b/>
                <w:spacing w:val="0"/>
              </w:rPr>
            </w:pPr>
            <w:r>
              <w:rPr>
                <w:b/>
                <w:spacing w:val="0"/>
              </w:rPr>
              <w:t>Non-Redeemable</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sz w:val="4"/>
                <w:szCs w:val="4"/>
              </w:rPr>
            </w:pPr>
            <w:r>
              <w:rPr>
                <w:sz w:val="4"/>
                <w:szCs w:val="4"/>
              </w:rPr>
            </w:r>
          </w:p>
        </w:tc>
        <w:tc>
          <w:tcPr>
            <w:tcW w:w="139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5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55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Allocation of net income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303" w:type="dxa"/>
            <w:tcBorders/>
            <w:vAlign w:val="center"/>
          </w:tcPr>
          <w:p>
            <w:pPr>
              <w:pStyle w:val="TableContents"/>
              <w:bidi w:val="0"/>
              <w:spacing w:before="0" w:after="283"/>
              <w:jc w:val="right"/>
              <w:rPr/>
            </w:pPr>
            <w:r>
              <w:rPr/>
              <w:t>(1,176,526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575" w:type="dxa"/>
            <w:tcBorders/>
            <w:vAlign w:val="center"/>
          </w:tcPr>
          <w:p>
            <w:pPr>
              <w:pStyle w:val="TableContents"/>
              <w:bidi w:val="0"/>
              <w:spacing w:before="0" w:after="283"/>
              <w:jc w:val="right"/>
              <w:rPr/>
            </w:pPr>
            <w:r>
              <w:rPr/>
              <w:t>(2,937,005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660,301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554" w:type="dxa"/>
            <w:tcBorders/>
            <w:vAlign w:val="center"/>
          </w:tcPr>
          <w:p>
            <w:pPr>
              <w:pStyle w:val="TableContents"/>
              <w:bidi w:val="0"/>
              <w:spacing w:before="0" w:after="283"/>
              <w:jc w:val="right"/>
              <w:rPr/>
            </w:pPr>
            <w:r>
              <w:rPr/>
              <w:t>112,586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554" w:type="dxa"/>
            <w:tcBorders/>
            <w:vAlign w:val="center"/>
          </w:tcPr>
          <w:p>
            <w:pPr>
              <w:pStyle w:val="TableContents"/>
              <w:bidi w:val="0"/>
              <w:spacing w:before="0" w:after="283"/>
              <w:jc w:val="right"/>
              <w:rPr/>
            </w:pPr>
            <w:r>
              <w:rPr/>
              <w:t>566,255</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sz w:val="4"/>
                <w:szCs w:val="4"/>
              </w:rPr>
            </w:pPr>
            <w:r>
              <w:rPr>
                <w:sz w:val="4"/>
                <w:szCs w:val="4"/>
              </w:rPr>
            </w:r>
          </w:p>
        </w:tc>
        <w:tc>
          <w:tcPr>
            <w:tcW w:w="139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5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55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(1)</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4,333,146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10,816,995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10,578,271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right"/>
              <w:rPr/>
            </w:pPr>
            <w:r>
              <w:rPr/>
              <w:t>1,803,670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right"/>
              <w:rPr/>
            </w:pPr>
            <w:r>
              <w:rPr/>
              <w:t>9,071,610</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3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0"/>
              <w:jc w:val="left"/>
              <w:rPr>
                <w:bdr w:val="single" w:sz="2" w:space="1" w:color="000000"/>
              </w:rPr>
            </w:pPr>
            <w:r>
              <w:rPr>
                <w:bdr w:val="single" w:sz="2" w:space="1" w:color="000000"/>
              </w:rPr>
              <w:t> </w:t>
            </w:r>
          </w:p>
        </w:tc>
        <w:tc>
          <w:tcPr>
            <w:tcW w:w="13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0"/>
              <w:jc w:val="left"/>
              <w:rPr>
                <w:b/>
                <w:spacing w:val="0"/>
              </w:rPr>
            </w:pPr>
            <w:r>
              <w:rPr>
                <w:b/>
                <w:spacing w:val="0"/>
              </w:rPr>
              <w:t>$</w:t>
            </w:r>
          </w:p>
        </w:tc>
        <w:tc>
          <w:tcPr>
            <w:tcW w:w="1303" w:type="dxa"/>
            <w:tcBorders/>
            <w:shd w:fill="CCEEFF" w:val="clear"/>
            <w:vAlign w:val="center"/>
          </w:tcPr>
          <w:p>
            <w:pPr>
              <w:pStyle w:val="TableContents"/>
              <w:bidi w:val="0"/>
              <w:spacing w:before="0" w:after="0"/>
              <w:jc w:val="right"/>
              <w:rPr>
                <w:b/>
                <w:spacing w:val="0"/>
              </w:rPr>
            </w:pPr>
            <w:r>
              <w:rPr>
                <w:b/>
                <w:spacing w:val="0"/>
              </w:rPr>
              <w:t>(0.27</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0"/>
              <w:jc w:val="left"/>
              <w:rPr>
                <w:b/>
                <w:spacing w:val="0"/>
              </w:rPr>
            </w:pPr>
            <w:r>
              <w:rPr>
                <w:b/>
                <w:spacing w:val="0"/>
              </w:rPr>
              <w:t>$</w:t>
            </w:r>
          </w:p>
        </w:tc>
        <w:tc>
          <w:tcPr>
            <w:tcW w:w="1575" w:type="dxa"/>
            <w:tcBorders/>
            <w:shd w:fill="CCEEFF" w:val="clear"/>
            <w:vAlign w:val="center"/>
          </w:tcPr>
          <w:p>
            <w:pPr>
              <w:pStyle w:val="TableContents"/>
              <w:bidi w:val="0"/>
              <w:spacing w:before="0" w:after="0"/>
              <w:jc w:val="right"/>
              <w:rPr>
                <w:b/>
                <w:spacing w:val="0"/>
              </w:rPr>
            </w:pPr>
            <w:r>
              <w:rPr>
                <w:b/>
                <w:spacing w:val="0"/>
              </w:rPr>
              <w:t>(0.27</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0"/>
              <w:jc w:val="left"/>
              <w:rPr>
                <w:b/>
                <w:spacing w:val="0"/>
              </w:rPr>
            </w:pPr>
            <w:r>
              <w:rPr>
                <w:b/>
                <w:spacing w:val="0"/>
              </w:rPr>
              <w:t>$</w:t>
            </w:r>
          </w:p>
        </w:tc>
        <w:tc>
          <w:tcPr>
            <w:tcW w:w="1398" w:type="dxa"/>
            <w:tcBorders/>
            <w:shd w:fill="CCEEFF" w:val="clear"/>
            <w:vAlign w:val="center"/>
          </w:tcPr>
          <w:p>
            <w:pPr>
              <w:pStyle w:val="TableContents"/>
              <w:bidi w:val="0"/>
              <w:spacing w:before="0" w:after="0"/>
              <w:jc w:val="right"/>
              <w:rPr>
                <w:b/>
                <w:spacing w:val="0"/>
              </w:rPr>
            </w:pPr>
            <w:r>
              <w:rPr>
                <w:b/>
                <w:spacing w:val="0"/>
              </w:rPr>
              <w:t>(0.27</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0"/>
              <w:jc w:val="left"/>
              <w:rPr>
                <w:b/>
                <w:spacing w:val="0"/>
              </w:rPr>
            </w:pPr>
            <w:r>
              <w:rPr>
                <w:b/>
                <w:spacing w:val="0"/>
              </w:rPr>
              <w:t>$</w:t>
            </w:r>
          </w:p>
        </w:tc>
        <w:tc>
          <w:tcPr>
            <w:tcW w:w="1123" w:type="dxa"/>
            <w:tcBorders/>
            <w:shd w:fill="CCEEFF" w:val="clear"/>
            <w:vAlign w:val="center"/>
          </w:tcPr>
          <w:p>
            <w:pPr>
              <w:pStyle w:val="TableContents"/>
              <w:bidi w:val="0"/>
              <w:spacing w:before="0" w:after="0"/>
              <w:jc w:val="right"/>
              <w:rPr>
                <w:b/>
                <w:spacing w:val="0"/>
              </w:rPr>
            </w:pPr>
            <w:r>
              <w:rPr>
                <w:b/>
                <w:spacing w:val="0"/>
              </w:rPr>
              <w:t>0.06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0"/>
              <w:jc w:val="left"/>
              <w:rPr>
                <w:b/>
                <w:spacing w:val="0"/>
              </w:rPr>
            </w:pPr>
            <w:r>
              <w:rPr>
                <w:b/>
                <w:spacing w:val="0"/>
              </w:rPr>
              <w:t>$</w:t>
            </w:r>
          </w:p>
        </w:tc>
        <w:tc>
          <w:tcPr>
            <w:tcW w:w="1554" w:type="dxa"/>
            <w:tcBorders/>
            <w:shd w:fill="CCEEFF" w:val="clear"/>
            <w:vAlign w:val="center"/>
          </w:tcPr>
          <w:p>
            <w:pPr>
              <w:pStyle w:val="TableContents"/>
              <w:bidi w:val="0"/>
              <w:spacing w:before="0" w:after="0"/>
              <w:jc w:val="right"/>
              <w:rPr>
                <w:b/>
                <w:spacing w:val="0"/>
              </w:rPr>
            </w:pPr>
            <w:r>
              <w:rPr>
                <w:b/>
                <w:spacing w:val="0"/>
              </w:rPr>
              <w:t>0.06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0"/>
              <w:jc w:val="left"/>
              <w:rPr>
                <w:b/>
                <w:spacing w:val="0"/>
              </w:rPr>
            </w:pPr>
            <w:r>
              <w:rPr>
                <w:b/>
                <w:spacing w:val="0"/>
              </w:rPr>
              <w:t>$</w:t>
            </w:r>
          </w:p>
        </w:tc>
        <w:tc>
          <w:tcPr>
            <w:tcW w:w="1554" w:type="dxa"/>
            <w:tcBorders/>
            <w:shd w:fill="CCEEFF" w:val="clear"/>
            <w:vAlign w:val="center"/>
          </w:tcPr>
          <w:p>
            <w:pPr>
              <w:pStyle w:val="TableContents"/>
              <w:bidi w:val="0"/>
              <w:spacing w:before="0" w:after="0"/>
              <w:jc w:val="right"/>
              <w:rPr>
                <w:b/>
                <w:spacing w:val="0"/>
              </w:rPr>
            </w:pPr>
            <w:r>
              <w:rPr>
                <w:b/>
                <w:spacing w:val="0"/>
              </w:rPr>
              <w:t>0.06</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130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0"/>
              <w:jc w:val="left"/>
              <w:rPr>
                <w:bdr w:val="double" w:sz="6" w:space="1" w:color="000000"/>
              </w:rPr>
            </w:pPr>
            <w:r>
              <w:rPr>
                <w:bdr w:val="double" w:sz="6" w:space="1" w:color="000000"/>
              </w:rPr>
              <w:t> </w:t>
            </w:r>
          </w:p>
        </w:tc>
        <w:tc>
          <w:tcPr>
            <w:tcW w:w="139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305"/>
        <w:gridCol w:w="6950"/>
      </w:tblGrid>
      <w:tr>
        <w:trPr/>
        <w:tc>
          <w:tcPr>
            <w:tcW w:w="305" w:type="dxa"/>
            <w:tcBorders/>
            <w:vAlign w:val="center"/>
          </w:tcPr>
          <w:p>
            <w:pPr>
              <w:pStyle w:val="TableContents"/>
              <w:bidi w:val="0"/>
              <w:spacing w:before="0" w:after="283"/>
              <w:jc w:val="left"/>
              <w:rPr/>
            </w:pPr>
            <w:r>
              <w:rPr/>
              <w:t>(1)</w:t>
            </w:r>
          </w:p>
        </w:tc>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Weighted-average shares outstanding includes common stock subject to redemption.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coverage of $250,000. As of December 31, 2024 and 2023, the Company had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the FASB ASC 820, “Fair Value Measurements and Disclosures,” approximates the carrying amounts represented in the consolidated balance sheets, primarily due to its short-term 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ASC 820, which establishes a framework for measuring fair value and clarifies the definition of fair value within that framework. ASC 820 defines fair value as an exit price, which is the price that would be received for an asset or paid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1—Assets and liabilities with unadjusted, quoted prices listed on active market exchanges. Inputs to the fair value measurement are observable inputs, such as quoted prices in active markets for identical assets or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3—Inputs to the fair value measurement are unobservable inputs, such as estimates, assumptions, and valuation techniques when little or no market data exists for the assets or liabilities.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Derivative Liabilities – 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Backstop Subscription Agreement (see Note 6) in accordance with the guidance contained in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815-40,</w:t>
      </w:r>
    </w:p>
    <w:p>
      <w:pPr>
        <w:pStyle w:val="TextBody"/>
        <w:bidi w:val="0"/>
        <w:spacing w:before="120" w:after="0"/>
        <w:jc w:val="left"/>
        <w:rPr/>
      </w:pPr>
      <w:r>
        <w:rPr/>
        <w:t>“</w:t>
      </w:r>
      <w:r>
        <w:rPr>
          <w:rFonts w:ascii="Times New Roman" w:hAnsi="Times New Roman"/>
          <w:sz w:val="20"/>
        </w:rPr>
        <w:t xml:space="preserve">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re-measurement</w:t>
      </w:r>
    </w:p>
    <w:p>
      <w:pPr>
        <w:pStyle w:val="TextBody"/>
        <w:bidi w:val="0"/>
        <w:spacing w:before="120" w:after="0"/>
        <w:jc w:val="left"/>
        <w:rPr>
          <w:rFonts w:ascii="Times New Roman" w:hAnsi="Times New Roman"/>
          <w:sz w:val="20"/>
        </w:rPr>
      </w:pPr>
      <w:r>
        <w:rPr>
          <w:rFonts w:ascii="Times New Roman" w:hAnsi="Times New Roman"/>
          <w:sz w:val="20"/>
        </w:rPr>
        <w:t xml:space="preserve">at each balance sheet date until exercised, and any change in fair value is recognized in the statements of operations. The Backstop Subscription Agreement is valued using a Probability Weighted Expected Return Method (“PWERM”).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Derivative Liability –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Non-Redemption</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(see Note 6) in accordance with the guidance contained in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815-40,</w:t>
      </w:r>
    </w:p>
    <w:p>
      <w:pPr>
        <w:pStyle w:val="TextBody"/>
        <w:bidi w:val="0"/>
        <w:spacing w:before="120" w:after="0"/>
        <w:jc w:val="left"/>
        <w:rPr/>
      </w:pPr>
      <w:r>
        <w:rPr/>
        <w:t>“</w:t>
      </w:r>
      <w:r>
        <w:rPr>
          <w:rFonts w:ascii="Times New Roman" w:hAnsi="Times New Roman"/>
          <w:sz w:val="20"/>
        </w:rPr>
        <w:t xml:space="preserve">Derivatives and Hedging”, under which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does not meet the criteria for equity treatment and must be recorded as a liability. Accordingly, the Company classified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as a liability at its fair value and adjusts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to fair value at each reporting period. This liability is subject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re-measurement</w:t>
      </w:r>
    </w:p>
    <w:p>
      <w:pPr>
        <w:pStyle w:val="TextBody"/>
        <w:bidi w:val="0"/>
        <w:spacing w:before="120" w:after="0"/>
        <w:jc w:val="left"/>
        <w:rPr>
          <w:rFonts w:ascii="Times New Roman" w:hAnsi="Times New Roman"/>
          <w:sz w:val="20"/>
        </w:rPr>
      </w:pPr>
      <w:r>
        <w:rPr>
          <w:rFonts w:ascii="Times New Roman" w:hAnsi="Times New Roman"/>
          <w:sz w:val="20"/>
        </w:rPr>
        <w:t xml:space="preserve">at each balance sheet date until exercised, and any change in fair value is recognized in the statements of operations.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is valued using a Monte Carlo model.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Income Taxes (Topic 740): Improvements to Income Tax Disclosures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which requires disclosure of incremental income tax information within the rate reconciliation and expanded disclosures of income taxes paid, among other disclosure requirements.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fiscal years beginning after December 15, 2024. Early adoption is permitted. The Company’s management does not believe the adoption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will have a material impact on its consolidated financial statements and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November 2023, the FASB issued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0" w:after="0"/>
        <w:jc w:val="left"/>
        <w:rPr/>
      </w:pPr>
      <w:r>
        <w:rPr/>
        <w:t>“</w:t>
      </w:r>
      <w:r>
        <w:rPr>
          <w:rFonts w:ascii="Times New Roman" w:hAnsi="Times New Roman"/>
          <w:sz w:val="20"/>
        </w:rPr>
        <w:t xml:space="preserve">Segment Reporting (Topic 280): Improvements to Reportable Segment Disclosures.”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Company adopted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0" w:after="0"/>
        <w:jc w:val="left"/>
        <w:rPr>
          <w:rFonts w:ascii="Times New Roman" w:hAnsi="Times New Roman"/>
          <w:sz w:val="20"/>
        </w:rPr>
      </w:pPr>
      <w:r>
        <w:rPr>
          <w:rFonts w:ascii="Times New Roman" w:hAnsi="Times New Roman"/>
          <w:sz w:val="20"/>
        </w:rPr>
        <w:t xml:space="preserve">as required for the year ended December 31, 2024. The adoption requires the Company to provide additional disclosures, but otherwise it does not materially impact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does not believe that any other recently issued, but not yet effective, accounting standards if currently adopted would have a material effect on its consolidated financial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Public Units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480-10-S99,</w:t>
      </w:r>
    </w:p>
    <w:p>
      <w:pPr>
        <w:pStyle w:val="TextBody"/>
        <w:bidi w:val="0"/>
        <w:spacing w:before="240" w:after="0"/>
        <w:jc w:val="left"/>
        <w:rPr>
          <w:rFonts w:ascii="Times New Roman" w:hAnsi="Times New Roman"/>
          <w:sz w:val="20"/>
        </w:rPr>
      </w:pPr>
      <w:r>
        <w:rPr>
          <w:rFonts w:ascii="Times New Roman" w:hAnsi="Times New Roman"/>
          <w:sz w:val="20"/>
        </w:rPr>
        <w:t xml:space="preserve">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470-20.</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is subject to SEC and its staff’s guidance on redeemable equity instruments, which has been codified in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480-</w:t>
      </w:r>
    </w:p>
    <w:p>
      <w:pPr>
        <w:pStyle w:val="TextBody"/>
        <w:bidi w:val="0"/>
        <w:spacing w:before="120" w:after="0"/>
        <w:jc w:val="left"/>
        <w:rPr>
          <w:rFonts w:ascii="Times New Roman" w:hAnsi="Times New Roman"/>
          <w:spacing w:val="0"/>
          <w:sz w:val="20"/>
        </w:rPr>
      </w:pPr>
      <w:r>
        <w:rPr>
          <w:rFonts w:ascii="Times New Roman" w:hAnsi="Times New Roman"/>
          <w:spacing w:val="0"/>
          <w:sz w:val="20"/>
        </w:rPr>
        <w:t>10-S99.</w:t>
      </w:r>
    </w:p>
    <w:p>
      <w:pPr>
        <w:pStyle w:val="TextBody"/>
        <w:bidi w:val="0"/>
        <w:spacing w:before="120" w:after="0"/>
        <w:jc w:val="left"/>
        <w:rPr>
          <w:rFonts w:ascii="Times New Roman" w:hAnsi="Times New Roman"/>
          <w:sz w:val="20"/>
        </w:rPr>
      </w:pPr>
      <w:r>
        <w:rPr>
          <w:rFonts w:ascii="Times New Roman" w:hAnsi="Times New Roman"/>
          <w:sz w:val="20"/>
        </w:rPr>
        <w:t xml:space="preserve">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and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common stock subject to redemption reflected on the balance sheet are reconciled in the following table: </w:t>
      </w:r>
    </w:p>
    <w:p>
      <w:pPr>
        <w:pStyle w:val="TextBody"/>
        <w:bidi w:val="0"/>
        <w:spacing w:before="0" w:after="0"/>
        <w:jc w:val="left"/>
        <w:rPr/>
      </w:pPr>
      <w:r>
        <w:rPr/>
        <w:t> </w:t>
      </w:r>
    </w:p>
    <w:tbl>
      <w:tblPr>
        <w:tblW w:w="7860" w:type="dxa"/>
        <w:jc w:val="left"/>
        <w:tblInd w:w="0" w:type="dxa"/>
        <w:tblLayout w:type="fixed"/>
        <w:tblCellMar>
          <w:top w:w="0" w:type="dxa"/>
          <w:left w:w="0" w:type="dxa"/>
          <w:bottom w:w="0" w:type="dxa"/>
          <w:right w:w="0" w:type="dxa"/>
        </w:tblCellMar>
      </w:tblPr>
      <w:tblGrid>
        <w:gridCol w:w="6215"/>
        <w:gridCol w:w="120"/>
        <w:gridCol w:w="60"/>
        <w:gridCol w:w="1295"/>
        <w:gridCol w:w="170"/>
      </w:tblGrid>
      <w:tr>
        <w:trPr/>
        <w:tc>
          <w:tcPr>
            <w:tcW w:w="6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b/>
                <w:spacing w:val="0"/>
              </w:rPr>
            </w:pPr>
            <w:r>
              <w:rPr>
                <w:b/>
                <w:spacing w:val="0"/>
              </w:rPr>
              <w:t>294,796,918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Redemptions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(252,315,037</w:t>
            </w:r>
          </w:p>
        </w:tc>
        <w:tc>
          <w:tcPr>
            <w:tcW w:w="17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4,510,051</w:t>
            </w:r>
          </w:p>
        </w:tc>
        <w:tc>
          <w:tcPr>
            <w:tcW w:w="17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b/>
                <w:spacing w:val="0"/>
              </w:rPr>
            </w:pPr>
            <w:r>
              <w:rPr>
                <w:b/>
                <w:spacing w:val="0"/>
              </w:rPr>
              <w:t>46,991,932</w:t>
            </w:r>
          </w:p>
        </w:tc>
        <w:tc>
          <w:tcPr>
            <w:tcW w:w="170" w:type="dxa"/>
            <w:tcBorders/>
            <w:vAlign w:val="center"/>
          </w:tcPr>
          <w:p>
            <w:pPr>
              <w:pStyle w:val="TableContents"/>
              <w:bidi w:val="0"/>
              <w:spacing w:before="0" w:after="0"/>
              <w:jc w:val="left"/>
              <w:rPr>
                <w:spacing w:val="0"/>
              </w:rPr>
            </w:pPr>
            <w:r>
              <w:rPr>
                <w:spacing w:val="0"/>
              </w:rPr>
              <w:t> </w:t>
            </w:r>
          </w:p>
        </w:tc>
      </w:tr>
      <w:tr>
        <w:trPr/>
        <w:tc>
          <w:tcPr>
            <w:tcW w:w="6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Redemptions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(2,774,658</w:t>
            </w:r>
          </w:p>
        </w:tc>
        <w:tc>
          <w:tcPr>
            <w:tcW w:w="17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3,380,995</w:t>
            </w:r>
          </w:p>
        </w:tc>
        <w:tc>
          <w:tcPr>
            <w:tcW w:w="17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December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b/>
                <w:spacing w:val="0"/>
              </w:rPr>
            </w:pPr>
            <w:r>
              <w:rPr>
                <w:b/>
                <w:spacing w:val="0"/>
              </w:rPr>
              <w:t>47,598,269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 </w:t>
      </w:r>
    </w:p>
    <w:p>
      <w:pPr>
        <w:pStyle w:val="TextBody"/>
        <w:bidi w:val="0"/>
        <w:spacing w:before="240" w:after="0"/>
        <w:jc w:val="left"/>
        <w:rPr>
          <w:rFonts w:ascii="Times New Roman" w:hAnsi="Times New Roman"/>
          <w:sz w:val="20"/>
        </w:rPr>
      </w:pPr>
      <w:r>
        <w:rPr>
          <w:rFonts w:ascii="Times New Roman" w:hAnsi="Times New Roman"/>
          <w:sz w:val="20"/>
        </w:rPr>
        <w:t xml:space="preserve">Each Private Placement Unit will consist of one share of Class A common stock and one redeemable warrant. Each private warrant entitles the holder to purchase one share of Common Stock at a purchase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agreed, subject to limited exceptions, not to transfer, assign or sell any of their Private Placement Units until 30 days after the completion of the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The number of founder shares outstanding was determined so that the founder shares, will represent,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30-trading</w:t>
      </w:r>
    </w:p>
    <w:p>
      <w:pPr>
        <w:pStyle w:val="TextBody"/>
        <w:bidi w:val="0"/>
        <w:spacing w:before="240" w:after="0"/>
        <w:jc w:val="left"/>
        <w:rPr>
          <w:rFonts w:ascii="Times New Roman" w:hAnsi="Times New Roman"/>
          <w:sz w:val="20"/>
        </w:rPr>
      </w:pPr>
      <w:r>
        <w:rPr>
          <w:rFonts w:ascii="Times New Roman" w:hAnsi="Times New Roman"/>
          <w:sz w:val="20"/>
        </w:rPr>
        <w:t xml:space="preserve">day period commencing after the initial Business Combination. Any permitted transferees will be subject to the same restrictions and other agreements of the initial stockholders with respect to any founder shares (the </w:t>
      </w:r>
    </w:p>
    <w:p>
      <w:pPr>
        <w:pStyle w:val="TextBody"/>
        <w:bidi w:val="0"/>
        <w:spacing w:before="240" w:after="0"/>
        <w:jc w:val="left"/>
        <w:rPr>
          <w:spacing w:val="0"/>
        </w:rPr>
      </w:pPr>
      <w:r>
        <w:rPr>
          <w:spacing w:val="0"/>
        </w:rPr>
        <w:t>“</w:t>
      </w:r>
      <w:r>
        <w:rPr>
          <w:rFonts w:ascii="Times New Roman" w:hAnsi="Times New Roman"/>
          <w:spacing w:val="0"/>
          <w:sz w:val="20"/>
        </w:rPr>
        <w:t>Lock-up”).</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For the year ended December 31, 2024, the Company incurred $120,000 for the administrative service fees, of which $120,000 are recorded as accrued expenses in the balance sheets. For the year ended December 31, 2023, the Company incurred $120,000 for the administrative service fees, of which $60,000 are recorded as accrued expenses in the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an intended initial Business Combination, the Sponsor or an affiliate of the Sponsor or certain of the Company’s officers and directors may, but are not obligated to, loan the Company funds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non-interest</w:t>
      </w:r>
    </w:p>
    <w:p>
      <w:pPr>
        <w:pStyle w:val="TextBody"/>
        <w:bidi w:val="0"/>
        <w:spacing w:before="120" w:after="0"/>
        <w:jc w:val="left"/>
        <w:rPr>
          <w:rFonts w:ascii="Times New Roman" w:hAnsi="Times New Roman"/>
          <w:sz w:val="20"/>
        </w:rPr>
      </w:pPr>
      <w:r>
        <w:rPr>
          <w:rFonts w:ascii="Times New Roman" w:hAnsi="Times New Roman"/>
          <w:sz w:val="20"/>
        </w:rPr>
        <w:t xml:space="preserve">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December 31, 2024 and 2023, $1,500,000 and $810,345 in working capital loans were outstanding,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Advances from Sponsor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Sponsor provided working capital and extension deposits on behalf of the Company. These amounts are reflected on the consolidated balance sheets as advances from Sponsor. The advances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non-interest</w:t>
      </w:r>
    </w:p>
    <w:p>
      <w:pPr>
        <w:pStyle w:val="TextBody"/>
        <w:bidi w:val="0"/>
        <w:spacing w:before="120" w:after="0"/>
        <w:jc w:val="left"/>
        <w:rPr>
          <w:rFonts w:ascii="Times New Roman" w:hAnsi="Times New Roman"/>
          <w:sz w:val="20"/>
        </w:rPr>
      </w:pPr>
      <w:r>
        <w:rPr>
          <w:rFonts w:ascii="Times New Roman" w:hAnsi="Times New Roman"/>
          <w:sz w:val="20"/>
        </w:rPr>
        <w:t xml:space="preserve">bearing and are payable on demand. As of December 31, 2024, the Company had advances owed to the Sponsor in the amount of $2,971,258. As of December 31, 2023, the Company had no such advances owed to the Sponsor.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the Company received $1,304,630 from its Sponsor for payment of operating expenses and ongoing business operations. Additionally, during the year ended December 31, 2024, the Sponsor paid $1,666,628 to the trust for extension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6.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 </w:t>
      </w:r>
    </w:p>
    <w:p>
      <w:pPr>
        <w:pStyle w:val="TextBody"/>
        <w:bidi w:val="0"/>
        <w:spacing w:before="48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paid a cash underwriting discount of 1.0% per Unit, or $2,875,000, as part of the underwriting fee.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underwriter is entitled to a deferred underwriting discount of 3.5% of the IPO gross proceeds or $10,062,500, as a result of the underwriter’s over-allotment exercised in full upon the completion of the Company’s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2024, the Company and EF Hutton amended the Underwriting Agreement signed on December 10, 2021. EF Hutton shall acknowledge the satisfaction and discharge of the deferred underwriting discount and shall acknowledge that the Company’s obligations to pay the deferred underwriting discount in its entirety under the Underwriting Agreement have automatically been satisfied and discharged, if on the Closing of the Merger Agreement the Company pays in cash $1,500,000 to EF Hutton.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Representative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Representative Shares have agreed not to transfer, assign or sell any such shares without the Company’s prior consent until the completion of its initial Business Combination. In addition, the holders of the Representative Shares have agreed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9 for valuation methodology and assumptions used to determine the fair value of the Representative Shares.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Non-Redemption</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Agreements </w:t>
      </w:r>
    </w:p>
    <w:p>
      <w:pPr>
        <w:pStyle w:val="TextBody"/>
        <w:bidi w:val="0"/>
        <w:spacing w:before="120" w:after="0"/>
        <w:jc w:val="left"/>
        <w:rPr>
          <w:rFonts w:ascii="Times New Roman" w:hAnsi="Times New Roman"/>
          <w:sz w:val="20"/>
        </w:rPr>
      </w:pPr>
      <w:r>
        <w:rPr>
          <w:rFonts w:ascii="Times New Roman" w:hAnsi="Times New Roman"/>
          <w:sz w:val="20"/>
        </w:rPr>
        <w:t xml:space="preserve">The Sponsor entered into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agreements (“2023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Agreements”) with various stockholders of the Company (the </w:t>
      </w:r>
    </w:p>
    <w:p>
      <w:pPr>
        <w:pStyle w:val="TextBody"/>
        <w:bidi w:val="0"/>
        <w:spacing w:before="120" w:after="0"/>
        <w:jc w:val="left"/>
        <w:rPr>
          <w:spacing w:val="0"/>
        </w:rPr>
      </w:pPr>
      <w:r>
        <w:rPr>
          <w:spacing w:val="0"/>
        </w:rPr>
        <w:t>“</w:t>
      </w:r>
      <w:r>
        <w:rPr>
          <w:rFonts w:ascii="Times New Roman" w:hAnsi="Times New Roman"/>
          <w:spacing w:val="0"/>
          <w:sz w:val="20"/>
        </w:rPr>
        <w:t>Non-Redeeming</w:t>
      </w:r>
    </w:p>
    <w:p>
      <w:pPr>
        <w:pStyle w:val="TextBody"/>
        <w:bidi w:val="0"/>
        <w:spacing w:before="120" w:after="0"/>
        <w:jc w:val="left"/>
        <w:rPr>
          <w:rFonts w:ascii="Times New Roman" w:hAnsi="Times New Roman"/>
          <w:sz w:val="20"/>
        </w:rPr>
      </w:pPr>
      <w:r>
        <w:rPr>
          <w:rFonts w:ascii="Times New Roman" w:hAnsi="Times New Roman"/>
          <w:sz w:val="20"/>
        </w:rPr>
        <w:t xml:space="preserve">Stockholders”), pursuant to which these stockholders agreed not to redeem a portion of their shares of Company common stock (the </w:t>
      </w:r>
    </w:p>
    <w:p>
      <w:pPr>
        <w:pStyle w:val="TextBody"/>
        <w:bidi w:val="0"/>
        <w:spacing w:before="120" w:after="0"/>
        <w:jc w:val="left"/>
        <w:rPr>
          <w:spacing w:val="0"/>
        </w:rPr>
      </w:pPr>
      <w:r>
        <w:rPr>
          <w:spacing w:val="0"/>
        </w:rPr>
        <w:t>“</w:t>
      </w: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in connection with the Special Meeting held on March 10, 2023, but such stockholders retained their right to require the Company to redeem such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in connection with the closing of the Business Combination. The Sponsor has agreed to transfer to such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Non-Redeeming</w:t>
      </w:r>
    </w:p>
    <w:p>
      <w:pPr>
        <w:pStyle w:val="TextBody"/>
        <w:bidi w:val="0"/>
        <w:spacing w:before="120" w:after="0"/>
        <w:jc w:val="left"/>
        <w:rPr>
          <w:rFonts w:ascii="Times New Roman" w:hAnsi="Times New Roman"/>
          <w:sz w:val="20"/>
        </w:rPr>
      </w:pPr>
      <w:r>
        <w:rPr>
          <w:rFonts w:ascii="Times New Roman" w:hAnsi="Times New Roman"/>
          <w:sz w:val="20"/>
        </w:rPr>
        <w:t xml:space="preserve">Stockholders an aggregate of 1,149,412 the Founder Shares held by the Sponsor immediately following the consummation of an initial Business Combination. The Company estimated the aggregate fair value of such 1,149,412 Founder Shares transferrable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Non-Redeeming</w:t>
      </w:r>
    </w:p>
    <w:p>
      <w:pPr>
        <w:pStyle w:val="TextBody"/>
        <w:bidi w:val="0"/>
        <w:spacing w:before="120" w:after="0"/>
        <w:jc w:val="left"/>
        <w:rPr>
          <w:rFonts w:ascii="Times New Roman" w:hAnsi="Times New Roman"/>
          <w:sz w:val="20"/>
        </w:rPr>
      </w:pPr>
      <w:r>
        <w:rPr>
          <w:rFonts w:ascii="Times New Roman" w:hAnsi="Times New Roman"/>
          <w:sz w:val="20"/>
        </w:rPr>
        <w:t xml:space="preserve">Stockholders pursuant to the 2023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Non-Redeeming</w:t>
      </w:r>
    </w:p>
    <w:p>
      <w:pPr>
        <w:pStyle w:val="TextBody"/>
        <w:bidi w:val="0"/>
        <w:spacing w:before="120" w:after="0"/>
        <w:jc w:val="left"/>
        <w:rPr>
          <w:rFonts w:ascii="Times New Roman" w:hAnsi="Times New Roman"/>
          <w:sz w:val="20"/>
        </w:rPr>
      </w:pPr>
      <w:r>
        <w:rPr>
          <w:rFonts w:ascii="Times New Roman" w:hAnsi="Times New Roman"/>
          <w:sz w:val="20"/>
        </w:rPr>
        <w:t xml:space="preserve">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Non-Redeeming</w:t>
      </w:r>
    </w:p>
    <w:p>
      <w:pPr>
        <w:pStyle w:val="TextBody"/>
        <w:bidi w:val="0"/>
        <w:spacing w:before="120" w:after="0"/>
        <w:jc w:val="left"/>
        <w:rPr>
          <w:rFonts w:ascii="Times New Roman" w:hAnsi="Times New Roman"/>
          <w:sz w:val="20"/>
        </w:rPr>
      </w:pPr>
      <w:r>
        <w:rPr>
          <w:rFonts w:ascii="Times New Roman" w:hAnsi="Times New Roman"/>
          <w:sz w:val="20"/>
        </w:rPr>
        <w:t xml:space="preserve">Stockholders not to redeem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with a corresponding charge to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to recognize the fair value of the Founder Shares subject to transfer as an offering cost.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Inflation Reduction Act of 2022 (the “IR Act”)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w:t>
      </w:r>
    </w:p>
    <w:p>
      <w:pPr>
        <w:pStyle w:val="TextBody"/>
        <w:bidi w:val="0"/>
        <w:spacing w:before="360" w:after="0"/>
        <w:jc w:val="left"/>
        <w:rPr>
          <w:rFonts w:ascii="Times New Roman" w:hAnsi="Times New Roman"/>
          <w:sz w:val="20"/>
        </w:rPr>
      </w:pPr>
      <w:r>
        <w:rPr>
          <w:rFonts w:ascii="Times New Roman" w:hAnsi="Times New Roman"/>
          <w:sz w:val="20"/>
        </w:rPr>
        <w:t xml:space="preserve">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in connection with the Company’s Special Meeting, the Company’s stockholders redeemed 22,119,297 Class A shares of Common Stock for a total of $227,776,035. On December 11, 2023, in connection with the Company’s Second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Special Meeting, the Company’s stockholders redeemed 2,285,040 Class A shares of Common Stock for a total of $24,539,002, the amounts redeemed were paid out to stockholders on January 5, 2024. On December 9, 2024, in connection with the Company’s Special Annual Meeting, the Company’s stockholders redeemed 241,120 Class A shares of Common Stock for a total of $2,774,658, the amounts redeemed were paid out to stockholders on December 12,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current status and probability of completing a Business Combination as of December 31, 2024 and concluded that it is probable that a contingent liability should be recorded. As of December 31, 2024 and 2023, the Company recorded $2,550,897 and $2,523,150, respectively, of excise tax liability calculated as 1% of shares redeemed on March 10, 2023, December 15, 2023 and December 9,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second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 As a result, as of December 31, 2024, the Company accrued $310,728 for penalties and interest related to the redemptions that occurred in year ended December 31, 2023 that have not been paid or filed by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 Markets Advisor Fees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transaction involving Legacy Blaize (i.e., the Business Combination) (the “Jefferies Engagement Letter”), pursuant to which Jefferies would be eligible for a fee of $4,500,000 contingent upon the closing of a Business Combination and for reimbursement of expenses up to $500,000. The Business Combination was completed in January 2025, and as of December 31, 2024, no liability has been recognized for the contingent fee as the contingency (completion of the Business Combination) did not occur until after the balance sheet date.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pre-and</w:t>
      </w:r>
    </w:p>
    <w:p>
      <w:pPr>
        <w:pStyle w:val="TextBody"/>
        <w:bidi w:val="0"/>
        <w:spacing w:before="240" w:after="0"/>
        <w:jc w:val="left"/>
        <w:rPr>
          <w:rFonts w:ascii="Times New Roman" w:hAnsi="Times New Roman"/>
          <w:sz w:val="20"/>
        </w:rPr>
      </w:pPr>
      <w:r>
        <w:rPr>
          <w:rFonts w:ascii="Times New Roman" w:hAnsi="Times New Roman"/>
          <w:sz w:val="20"/>
        </w:rPr>
        <w:t xml:space="preserve">post-judgment interest and attorneys’ fees and legal costs incurred in connection with the lawsuit. The Company has retained counsel and intends to vigorously defend the litigation, but there can be no assurances that the litigation will not have a material adverse effect on the Company’s financial condition, results of operations, or cash flows.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Company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concurrently with the execution of the Merger Agreement, certain stockholders of Legacy Blaize entered into a Company Support Agreement (the “Company Support Agreement”) with the Company and Legacy Blaize, pursuant to which such stockholders have agreed to, among other things, (i) support and vote in favor of (a) the approval and adoption of the Merger Agreement and the Business Combination, (b) the conversion of each issued and outstanding share of preferred stock of Legacy Blaize into one share of Blaize common stock as of immediately prior to the Effective Time, and (c) any other circumstances upon which a consent or other approval with respect to the Merger Agreement and the Business Combination. </w:t>
      </w:r>
    </w:p>
    <w:p>
      <w:pPr>
        <w:pStyle w:val="TextBody"/>
        <w:bidi w:val="0"/>
        <w:spacing w:before="48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Sponsor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concurrently with the execution of the Merger Agreement, the Company and Legacy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Blaize, the Sponsor, certain significant securityholders of Legacy Blaize and certain of their respective affiliates will enter into an Amended and Restated Registration Rights Agreement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r>
        <w:rPr/>
        <w:t>“</w:t>
      </w:r>
      <w:r>
        <w:rPr>
          <w:rFonts w:ascii="Times New Roman" w:hAnsi="Times New Roman"/>
          <w:sz w:val="20"/>
        </w:rPr>
        <w:t xml:space="preserve">Registration Rights Agreement”), pursuant to which Blaize will agree to register for resale, pursuant to Rule 415 under the Securities Act of 1933, as amended (the “Securities Act”), certain shares of Blaize common stock and other equity securities of Blaize that are held by the parties thereto from time to time on the terms and subject to the conditions set forth therein.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Lock-up</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Blaize will enter into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120" w:after="0"/>
        <w:jc w:val="left"/>
        <w:rPr>
          <w:rFonts w:ascii="Times New Roman" w:hAnsi="Times New Roman"/>
          <w:sz w:val="20"/>
        </w:rPr>
      </w:pPr>
      <w:r>
        <w:rPr>
          <w:rFonts w:ascii="Times New Roman" w:hAnsi="Times New Roman"/>
          <w:sz w:val="20"/>
        </w:rPr>
        <w:t xml:space="preserve">agreements (the </w:t>
      </w:r>
    </w:p>
    <w:p>
      <w:pPr>
        <w:pStyle w:val="TextBody"/>
        <w:bidi w:val="0"/>
        <w:spacing w:before="120" w:after="0"/>
        <w:jc w:val="left"/>
        <w:rPr>
          <w:spacing w:val="0"/>
        </w:rPr>
      </w:pPr>
      <w:r>
        <w:rPr>
          <w:spacing w:val="0"/>
        </w:rPr>
        <w:t>“</w:t>
      </w:r>
      <w:r>
        <w:rPr>
          <w:rFonts w:ascii="Times New Roman" w:hAnsi="Times New Roman"/>
          <w:spacing w:val="0"/>
          <w:sz w:val="20"/>
        </w:rPr>
        <w:t>Lock-up</w:t>
      </w:r>
    </w:p>
    <w:p>
      <w:pPr>
        <w:pStyle w:val="TextBody"/>
        <w:bidi w:val="0"/>
        <w:spacing w:before="120" w:after="0"/>
        <w:jc w:val="left"/>
        <w:rPr>
          <w:rFonts w:ascii="Times New Roman" w:hAnsi="Times New Roman"/>
          <w:sz w:val="20"/>
        </w:rPr>
      </w:pPr>
      <w:r>
        <w:rPr>
          <w:rFonts w:ascii="Times New Roman" w:hAnsi="Times New Roman"/>
          <w:sz w:val="20"/>
        </w:rPr>
        <w:t xml:space="preserve">Agreements”) with (i) certain of Blaize’s directors and officers, (ii) certain stockholders of Blaize and (iii) Burkhan, in each case, restricting the transfer of Blaize common stock and any shares of Blaize common stock issuable upon the exercise or settlement, as applicable, of Blaize Options or Blaize RSUs held by it immediately after the Effective Time from and after the Closing. The restrictions under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120" w:after="0"/>
        <w:jc w:val="left"/>
        <w:rPr>
          <w:rFonts w:ascii="Times New Roman" w:hAnsi="Times New Roman"/>
          <w:sz w:val="20"/>
        </w:rPr>
      </w:pPr>
      <w:r>
        <w:rPr>
          <w:rFonts w:ascii="Times New Roman" w:hAnsi="Times New Roman"/>
          <w:sz w:val="20"/>
        </w:rPr>
        <w:t xml:space="preserve">Agreements begin at the Closing and end on the earlier of (x) the date that is 180 days after the Closing, (y) the last reported sale price of Blaize common stock reaching $12.00 per share (as adjusted for stock splits, stock dividends, reorganizations, recapitalizations and the like) for any 20 trading days within 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30-trading</w:t>
      </w:r>
    </w:p>
    <w:p>
      <w:pPr>
        <w:pStyle w:val="TextBody"/>
        <w:bidi w:val="0"/>
        <w:spacing w:before="120" w:after="0"/>
        <w:jc w:val="left"/>
        <w:rPr>
          <w:rFonts w:ascii="Times New Roman" w:hAnsi="Times New Roman"/>
          <w:sz w:val="20"/>
        </w:rPr>
      </w:pPr>
      <w:r>
        <w:rPr>
          <w:rFonts w:ascii="Times New Roman" w:hAnsi="Times New Roman"/>
          <w:sz w:val="20"/>
        </w:rPr>
        <w:t xml:space="preserve">day period commencing at least 150 days after the Closing and (z) the liquidation of Blaize. On January 13, 2025, immediately following the Closing, the Company entered into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120" w:after="0"/>
        <w:jc w:val="left"/>
        <w:rPr>
          <w:rFonts w:ascii="Times New Roman" w:hAnsi="Times New Roman"/>
          <w:sz w:val="20"/>
        </w:rPr>
      </w:pPr>
      <w:r>
        <w:rPr>
          <w:rFonts w:ascii="Times New Roman" w:hAnsi="Times New Roman"/>
          <w:sz w:val="20"/>
        </w:rPr>
        <w:t xml:space="preserve">Agreements discussed above.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22, 2024, the Sponsor entered into a backstop subscription agreement (the “Backstop Subscription Agreement”) with the Company and Legacy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its Backstop Subscription Agreement in accordance with the guidance contained in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815-40,</w:t>
      </w:r>
    </w:p>
    <w:p>
      <w:pPr>
        <w:pStyle w:val="TextBody"/>
        <w:bidi w:val="0"/>
        <w:spacing w:before="240" w:after="0"/>
        <w:jc w:val="left"/>
        <w:rPr/>
      </w:pPr>
      <w:r>
        <w:rPr/>
        <w:t>“</w:t>
      </w:r>
      <w:r>
        <w:rPr>
          <w:rFonts w:ascii="Times New Roman" w:hAnsi="Times New Roman"/>
          <w:sz w:val="20"/>
        </w:rPr>
        <w:t xml:space="preserve">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re-measurement</w:t>
      </w:r>
    </w:p>
    <w:p>
      <w:pPr>
        <w:pStyle w:val="TextBody"/>
        <w:bidi w:val="0"/>
        <w:spacing w:before="240" w:after="0"/>
        <w:jc w:val="left"/>
        <w:rPr>
          <w:rFonts w:ascii="Times New Roman" w:hAnsi="Times New Roman"/>
          <w:sz w:val="20"/>
        </w:rPr>
      </w:pPr>
      <w:r>
        <w:rPr>
          <w:rFonts w:ascii="Times New Roman" w:hAnsi="Times New Roman"/>
          <w:sz w:val="20"/>
        </w:rPr>
        <w:t xml:space="preserve">at each balance sheet date until exercised, and any change in fair value is recognized in the statements of operations (see Note 9). The Backstop Subscription Agreement was waived at the execution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Agreements (below).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Non-Redemption</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the Company entered into an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with one or more unaffiliated stockholders of the Company (each, an “Investor”) who agreed not to redeem (or validly rescind any redemption requests on) their shares of Class A common stock, par value $0.0001 per share of the Company, in connection with the Special Meeting held on December 23, 2024. In exchange for the foregoing commitments not to redeem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Legacy Blaize and the Sponsor, have agreed to guarantee that each Investor receives a return of $1.50 per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 whether Investor (i) sells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in the open market or (ii) exercises its option to require the Company to repurchase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in accordance with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Entering into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is expected to increase the amount of funds that remain in the Company’s trust account following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 in accordance with the guidance contained in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815-40,</w:t>
      </w:r>
    </w:p>
    <w:p>
      <w:pPr>
        <w:pStyle w:val="TextBody"/>
        <w:bidi w:val="0"/>
        <w:spacing w:before="240" w:after="0"/>
        <w:jc w:val="left"/>
        <w:rPr/>
      </w:pPr>
      <w:r>
        <w:rPr/>
        <w:t>“</w:t>
      </w:r>
      <w:r>
        <w:rPr>
          <w:rFonts w:ascii="Times New Roman" w:hAnsi="Times New Roman"/>
          <w:sz w:val="20"/>
        </w:rPr>
        <w:t xml:space="preserve">Derivatives and Hedging”, under which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 does not meet the criteria for equity treatment and must be recorded as a liability. Accordingly, the Company classified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 as a liability at its fair value and adjusts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 to fair value at each reporting period. This liability is subject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re-measurement</w:t>
      </w:r>
    </w:p>
    <w:p>
      <w:pPr>
        <w:pStyle w:val="TextBody"/>
        <w:bidi w:val="0"/>
        <w:spacing w:before="240" w:after="0"/>
        <w:jc w:val="left"/>
        <w:rPr>
          <w:rFonts w:ascii="Times New Roman" w:hAnsi="Times New Roman"/>
          <w:sz w:val="20"/>
        </w:rPr>
      </w:pPr>
      <w:r>
        <w:rPr>
          <w:rFonts w:ascii="Times New Roman" w:hAnsi="Times New Roman"/>
          <w:sz w:val="20"/>
        </w:rPr>
        <w:t xml:space="preserve">at each balance sheet date until exercised, and any change in fair value is recognized in the statements of operations (see Note 9). </w:t>
      </w:r>
    </w:p>
    <w:p>
      <w:pPr>
        <w:pStyle w:val="TextBody"/>
        <w:bidi w:val="0"/>
        <w:spacing w:before="0" w:after="0"/>
        <w:jc w:val="left"/>
        <w:rPr>
          <w:rFonts w:ascii="Times New Roman" w:hAnsi="Times New Roman"/>
          <w:b/>
          <w:sz w:val="20"/>
        </w:rPr>
      </w:pPr>
      <w:r>
        <w:rPr>
          <w:rFonts w:ascii="Times New Roman" w:hAnsi="Times New Roman"/>
          <w:b/>
          <w:sz w:val="20"/>
        </w:rPr>
        <w:t xml:space="preserve">NOTE 7. STOCKHOLDERS’ DEFICIT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1,000,000 shares of preferred stock with a par value of $0.0001 per share. As of December 31, 2024 and 2023, there were no shares of preferred stock issued or outstanding.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280,000,000 shares of Class A common stock with a par value of $0.0001 per share. Holders of Class A common stock are entitled to one vote for each share. On December 11, 2023, the Company issued an aggregate of 9,487,495 Class A Shares to the holders of the Company’s shares of Class B Shares upon the exchange of an equal number of Class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(“the Exchange”). On December 31, 2024 and 2023, there were 10,816,995 shares issued and outstanding (excluding 4,104,543 and 4,345,663 shares subject to possible redemption as of December 31, 2024 and 2023, respectively and excluding 2,285,040 shares to be redeemed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December 31, 2024 and 2023, there were 5 shares of Class B common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number of founder shares outstanding was determined so that the founder shares, will represent,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 </w:t>
      </w:r>
    </w:p>
    <w:p>
      <w:pPr>
        <w:pStyle w:val="TextBody"/>
        <w:bidi w:val="0"/>
        <w:spacing w:before="0" w:after="0"/>
        <w:jc w:val="left"/>
        <w:rPr>
          <w:rFonts w:ascii="Times New Roman" w:hAnsi="Times New Roman"/>
          <w:sz w:val="20"/>
        </w:rPr>
      </w:pPr>
      <w:r>
        <w:rPr>
          <w:rFonts w:ascii="Times New Roman" w:hAnsi="Times New Roman"/>
          <w:sz w:val="20"/>
        </w:rPr>
        <w:t xml:space="preserve">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redeem the outstanding warrants: </w:t>
      </w:r>
    </w:p>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p>
    <w:p>
      <w:pPr>
        <w:pStyle w:val="HorizontalLine"/>
        <w:pBdr>
          <w:bottom w:val="double" w:sz="2" w:space="0" w:color="808080"/>
        </w:pBdr>
        <w:bidi w:val="0"/>
        <w:spacing w:before="0" w:after="283"/>
        <w:jc w:val="left"/>
        <w:rPr/>
      </w:pPr>
      <w:r>
        <w:rPr/>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given after the warrants become exercisable (the </w:t>
            </w:r>
          </w:p>
          <w:p>
            <w:pPr>
              <w:pStyle w:val="TableContents"/>
              <w:bidi w:val="0"/>
              <w:spacing w:before="0" w:after="0"/>
              <w:jc w:val="left"/>
              <w:rPr>
                <w:spacing w:val="0"/>
              </w:rPr>
            </w:pPr>
            <w:r>
              <w:rPr>
                <w:spacing w:val="0"/>
              </w:rPr>
              <w:t>“</w:t>
            </w:r>
            <w:r>
              <w:rPr>
                <w:rFonts w:ascii="Times New Roman" w:hAnsi="Times New Roman"/>
                <w:spacing w:val="0"/>
                <w:sz w:val="20"/>
              </w:rPr>
              <w:t>30-day</w:t>
            </w:r>
          </w:p>
          <w:p>
            <w:pPr>
              <w:pStyle w:val="TableContents"/>
              <w:bidi w:val="0"/>
              <w:spacing w:before="0" w:after="0"/>
              <w:jc w:val="left"/>
              <w:rPr>
                <w:rFonts w:ascii="Times New Roman" w:hAnsi="Times New Roman"/>
                <w:sz w:val="20"/>
              </w:rPr>
            </w:pPr>
            <w:r>
              <w:rPr>
                <w:rFonts w:ascii="Times New Roman" w:hAnsi="Times New Roman"/>
                <w:sz w:val="20"/>
              </w:rPr>
              <w:t xml:space="preserve">redemption period”) to each warrant 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Class A common stock equals or exceeds $18.00 per share (as adjusted for stock splits, stock dividends, reorganizations, recapitalizations and the like) for any 20 trading days within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30-trading</w:t>
            </w:r>
          </w:p>
          <w:p>
            <w:pPr>
              <w:pStyle w:val="TableContents"/>
              <w:bidi w:val="0"/>
              <w:spacing w:before="0" w:after="0"/>
              <w:jc w:val="left"/>
              <w:rPr>
                <w:rFonts w:ascii="Times New Roman" w:hAnsi="Times New Roman"/>
                <w:sz w:val="20"/>
              </w:rPr>
            </w:pPr>
            <w:r>
              <w:rPr>
                <w:rFonts w:ascii="Times New Roman" w:hAnsi="Times New Roman"/>
                <w:sz w:val="20"/>
              </w:rPr>
              <w:t xml:space="preserve">day period commencing once the warrants become exercisable and ending three business days before the Company sends the notice of redemption to the warrant 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Class A common stock underlying such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 </w:t>
      </w:r>
    </w:p>
    <w:p>
      <w:pPr>
        <w:pStyle w:val="TextBody"/>
        <w:bidi w:val="0"/>
        <w:spacing w:before="480" w:after="0"/>
        <w:jc w:val="left"/>
        <w:rPr>
          <w:rFonts w:ascii="Times New Roman" w:hAnsi="Times New Roman"/>
          <w:b/>
          <w:sz w:val="20"/>
        </w:rPr>
      </w:pPr>
      <w:r>
        <w:rPr>
          <w:rFonts w:ascii="Times New Roman" w:hAnsi="Times New Roman"/>
          <w:b/>
          <w:sz w:val="20"/>
        </w:rPr>
        <w:t xml:space="preserve">NOTE 8. INCOME TAX </w:t>
      </w:r>
    </w:p>
    <w:p>
      <w:pPr>
        <w:pStyle w:val="TextBody"/>
        <w:bidi w:val="0"/>
        <w:spacing w:before="120" w:after="0"/>
        <w:jc w:val="left"/>
        <w:rPr>
          <w:rFonts w:ascii="Times New Roman" w:hAnsi="Times New Roman"/>
          <w:sz w:val="20"/>
        </w:rPr>
      </w:pPr>
      <w:r>
        <w:rPr>
          <w:rFonts w:ascii="Times New Roman" w:hAnsi="Times New Roman"/>
          <w:sz w:val="20"/>
        </w:rPr>
        <w:t xml:space="preserve">The Company’s net deferred tax assets (liability) as of December 31, 2024 and 2023 are as follows: </w:t>
      </w:r>
    </w:p>
    <w:p>
      <w:pPr>
        <w:pStyle w:val="TextBody"/>
        <w:bidi w:val="0"/>
        <w:spacing w:before="0" w:after="0"/>
        <w:jc w:val="left"/>
        <w:rPr/>
      </w:pPr>
      <w:r>
        <w:rPr/>
        <w:t> </w:t>
      </w:r>
    </w:p>
    <w:tbl>
      <w:tblPr>
        <w:tblW w:w="6792" w:type="dxa"/>
        <w:jc w:val="left"/>
        <w:tblInd w:w="0" w:type="dxa"/>
        <w:tblLayout w:type="fixed"/>
        <w:tblCellMar>
          <w:top w:w="0" w:type="dxa"/>
          <w:left w:w="0" w:type="dxa"/>
          <w:bottom w:w="0" w:type="dxa"/>
          <w:right w:w="0" w:type="dxa"/>
        </w:tblCellMar>
      </w:tblPr>
      <w:tblGrid>
        <w:gridCol w:w="3785"/>
        <w:gridCol w:w="120"/>
        <w:gridCol w:w="165"/>
        <w:gridCol w:w="1032"/>
        <w:gridCol w:w="182"/>
        <w:gridCol w:w="141"/>
        <w:gridCol w:w="165"/>
        <w:gridCol w:w="1032"/>
        <w:gridCol w:w="170"/>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 (liabilities):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costs &amp;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start-up</w:t>
            </w:r>
          </w:p>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032" w:type="dxa"/>
            <w:tcBorders/>
            <w:vAlign w:val="center"/>
          </w:tcPr>
          <w:p>
            <w:pPr>
              <w:pStyle w:val="TableContents"/>
              <w:bidi w:val="0"/>
              <w:spacing w:before="0" w:after="283"/>
              <w:jc w:val="right"/>
              <w:rPr/>
            </w:pPr>
            <w:r>
              <w:rPr/>
              <w:t>690,713</w:t>
            </w:r>
          </w:p>
        </w:tc>
        <w:tc>
          <w:tcPr>
            <w:tcW w:w="1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032" w:type="dxa"/>
            <w:tcBorders/>
            <w:vAlign w:val="center"/>
          </w:tcPr>
          <w:p>
            <w:pPr>
              <w:pStyle w:val="TableContents"/>
              <w:bidi w:val="0"/>
              <w:spacing w:before="0" w:after="283"/>
              <w:jc w:val="right"/>
              <w:rPr/>
            </w:pPr>
            <w:r>
              <w:rPr/>
              <w:t>475,133</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2"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 (liabilities), net</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690,713</w:t>
            </w:r>
          </w:p>
        </w:tc>
        <w:tc>
          <w:tcPr>
            <w:tcW w:w="1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475,133</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(690,713</w:t>
            </w:r>
          </w:p>
        </w:tc>
        <w:tc>
          <w:tcPr>
            <w:tcW w:w="18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(475,133</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2"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 (liability), net of allowance</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032"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0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income tax provision for the year ended December 31, 2024 and 2023 consists of the following: </w:t>
      </w:r>
    </w:p>
    <w:p>
      <w:pPr>
        <w:pStyle w:val="TextBody"/>
        <w:bidi w:val="0"/>
        <w:spacing w:before="0" w:after="0"/>
        <w:jc w:val="left"/>
        <w:rPr/>
      </w:pPr>
      <w:r>
        <w:rPr/>
        <w:t> </w:t>
      </w:r>
    </w:p>
    <w:tbl>
      <w:tblPr>
        <w:tblW w:w="5578" w:type="dxa"/>
        <w:jc w:val="left"/>
        <w:tblInd w:w="0" w:type="dxa"/>
        <w:tblLayout w:type="fixed"/>
        <w:tblCellMar>
          <w:top w:w="0" w:type="dxa"/>
          <w:left w:w="0" w:type="dxa"/>
          <w:bottom w:w="0" w:type="dxa"/>
          <w:right w:w="0" w:type="dxa"/>
        </w:tblCellMar>
      </w:tblPr>
      <w:tblGrid>
        <w:gridCol w:w="2570"/>
        <w:gridCol w:w="120"/>
        <w:gridCol w:w="158"/>
        <w:gridCol w:w="987"/>
        <w:gridCol w:w="174"/>
        <w:gridCol w:w="135"/>
        <w:gridCol w:w="158"/>
        <w:gridCol w:w="1106"/>
        <w:gridCol w:w="170"/>
      </w:tblGrid>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8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Current(1)</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87" w:type="dxa"/>
            <w:tcBorders/>
            <w:vAlign w:val="center"/>
          </w:tcPr>
          <w:p>
            <w:pPr>
              <w:pStyle w:val="TableContents"/>
              <w:bidi w:val="0"/>
              <w:spacing w:before="0" w:after="283"/>
              <w:jc w:val="right"/>
              <w:rPr/>
            </w:pPr>
            <w:r>
              <w:rPr/>
              <w:t>517,179</w:t>
            </w:r>
          </w:p>
        </w:tc>
        <w:tc>
          <w:tcPr>
            <w:tcW w:w="17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106" w:type="dxa"/>
            <w:tcBorders/>
            <w:vAlign w:val="center"/>
          </w:tcPr>
          <w:p>
            <w:pPr>
              <w:pStyle w:val="TableContents"/>
              <w:bidi w:val="0"/>
              <w:spacing w:before="0" w:after="283"/>
              <w:jc w:val="right"/>
              <w:rPr/>
            </w:pPr>
            <w:r>
              <w:rPr/>
              <w:t>1,027,644</w:t>
            </w:r>
          </w:p>
        </w:tc>
        <w:tc>
          <w:tcPr>
            <w:tcW w:w="17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(215,580</w:t>
            </w:r>
          </w:p>
        </w:tc>
        <w:tc>
          <w:tcPr>
            <w:tcW w:w="17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(187,264</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215,580</w:t>
            </w:r>
          </w:p>
        </w:tc>
        <w:tc>
          <w:tcPr>
            <w:tcW w:w="17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187,264</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8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110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Provision for income taxes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
                <w:spacing w:val="0"/>
              </w:rPr>
            </w:pPr>
            <w:r>
              <w:rPr>
                <w:b/>
                <w:spacing w:val="0"/>
              </w:rPr>
              <w:t>$</w:t>
            </w:r>
          </w:p>
        </w:tc>
        <w:tc>
          <w:tcPr>
            <w:tcW w:w="987" w:type="dxa"/>
            <w:tcBorders/>
            <w:vAlign w:val="center"/>
          </w:tcPr>
          <w:p>
            <w:pPr>
              <w:pStyle w:val="TableContents"/>
              <w:bidi w:val="0"/>
              <w:spacing w:before="0" w:after="0"/>
              <w:jc w:val="right"/>
              <w:rPr>
                <w:b/>
                <w:spacing w:val="0"/>
              </w:rPr>
            </w:pPr>
            <w:r>
              <w:rPr>
                <w:b/>
                <w:spacing w:val="0"/>
              </w:rPr>
              <w:t>517,179</w:t>
            </w:r>
          </w:p>
        </w:tc>
        <w:tc>
          <w:tcPr>
            <w:tcW w:w="174" w:type="dxa"/>
            <w:tcBorders/>
            <w:vAlign w:val="center"/>
          </w:tcPr>
          <w:p>
            <w:pPr>
              <w:pStyle w:val="TableContents"/>
              <w:bidi w:val="0"/>
              <w:spacing w:before="0" w:after="0"/>
              <w:jc w:val="left"/>
              <w:rPr>
                <w:spacing w:val="0"/>
              </w:rPr>
            </w:pPr>
            <w:r>
              <w:rPr>
                <w:spacing w:val="0"/>
              </w:rPr>
              <w:t> </w:t>
            </w:r>
          </w:p>
        </w:tc>
        <w:tc>
          <w:tcPr>
            <w:tcW w:w="13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
                <w:spacing w:val="0"/>
              </w:rPr>
            </w:pPr>
            <w:r>
              <w:rPr>
                <w:b/>
                <w:spacing w:val="0"/>
              </w:rPr>
              <w:t>$</w:t>
            </w:r>
          </w:p>
        </w:tc>
        <w:tc>
          <w:tcPr>
            <w:tcW w:w="1106" w:type="dxa"/>
            <w:tcBorders/>
            <w:vAlign w:val="center"/>
          </w:tcPr>
          <w:p>
            <w:pPr>
              <w:pStyle w:val="TableContents"/>
              <w:bidi w:val="0"/>
              <w:spacing w:before="0" w:after="0"/>
              <w:jc w:val="right"/>
              <w:rPr>
                <w:b/>
                <w:spacing w:val="0"/>
              </w:rPr>
            </w:pPr>
            <w:r>
              <w:rPr>
                <w:b/>
                <w:spacing w:val="0"/>
              </w:rPr>
              <w:t>1,027,644</w:t>
            </w:r>
          </w:p>
        </w:tc>
        <w:tc>
          <w:tcPr>
            <w:tcW w:w="170" w:type="dxa"/>
            <w:tcBorders/>
            <w:vAlign w:val="center"/>
          </w:tcPr>
          <w:p>
            <w:pPr>
              <w:pStyle w:val="TableContents"/>
              <w:bidi w:val="0"/>
              <w:spacing w:before="0" w:after="0"/>
              <w:jc w:val="left"/>
              <w:rPr>
                <w:spacing w:val="0"/>
              </w:rPr>
            </w:pPr>
            <w:r>
              <w:rPr>
                <w:spacing w:val="0"/>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987"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10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305"/>
        <w:gridCol w:w="9710"/>
      </w:tblGrid>
      <w:tr>
        <w:trPr/>
        <w:tc>
          <w:tcPr>
            <w:tcW w:w="305" w:type="dxa"/>
            <w:tcBorders/>
            <w:vAlign w:val="center"/>
          </w:tcPr>
          <w:p>
            <w:pPr>
              <w:pStyle w:val="TableContents"/>
              <w:bidi w:val="0"/>
              <w:spacing w:before="0" w:after="283"/>
              <w:jc w:val="left"/>
              <w:rPr/>
            </w:pPr>
            <w:r>
              <w:rPr/>
              <w:t>(1)</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 ended December 31, 2024, current federal income taxes includes penalties and interest charges of $41,497.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 had no U.S. federal operating loss carryovers available to offset future taxable income, which do not expire. </w:t>
      </w:r>
    </w:p>
    <w:p>
      <w:pPr>
        <w:pStyle w:val="TextBody"/>
        <w:bidi w:val="0"/>
        <w:spacing w:before="240" w:after="0"/>
        <w:jc w:val="left"/>
        <w:rPr>
          <w:rFonts w:ascii="Times New Roman" w:hAnsi="Times New Roman"/>
          <w:sz w:val="20"/>
        </w:rPr>
      </w:pPr>
      <w:r>
        <w:rPr>
          <w:rFonts w:ascii="Times New Roman" w:hAnsi="Times New Roman"/>
          <w:sz w:val="20"/>
        </w:rPr>
        <w:t xml:space="preserve">In assessing the realization of the deferred tax assets (liability), management considers whether it is more likely than not that some portion of all of the deferred tax assets will not be realized. The ultimate realization of deferred tax assets (liability) is dependent upon the generation of future taxable income during the periods in which temporary differences representing net future deductible amounts become deductible. Management considers the scheduled reversal of deferred tax assets (liability), projected future taxable income and tax planning strategies in making this assessment. After consideration of all of the information available, management believes that significant uncertainty exists with respect to future realization of the deferred tax assets (liability) and has therefore established a full valuation allowance. For the year ended December 31, 2024, the change in the valuation allowance was $215,580. For the year ended December 31, 2023, the change in the valuation allowance was $187,264. </w:t>
      </w:r>
    </w:p>
    <w:p>
      <w:pPr>
        <w:pStyle w:val="TextBody"/>
        <w:bidi w:val="0"/>
        <w:spacing w:before="240" w:after="0"/>
        <w:jc w:val="left"/>
        <w:rPr>
          <w:rFonts w:ascii="Times New Roman" w:hAnsi="Times New Roman"/>
          <w:sz w:val="20"/>
        </w:rPr>
      </w:pPr>
      <w:r>
        <w:rPr>
          <w:rFonts w:ascii="Times New Roman" w:hAnsi="Times New Roman"/>
          <w:sz w:val="20"/>
        </w:rPr>
        <w:t xml:space="preserve">The Company’s effective tax rate was (14.4%) and 43.4% for the year ended December 31, 2024 and 2023, respectively. The effective tax rate differs from the statutory tax rate of 21% due to the valuation allowance on the deferred tax assets and deductibility of penalties on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federal income tax rate to the Company’s effective tax rate as of December 31, 2024 and 2023 is as follows: </w:t>
      </w:r>
    </w:p>
    <w:p>
      <w:pPr>
        <w:pStyle w:val="TextBody"/>
        <w:bidi w:val="0"/>
        <w:spacing w:before="0" w:after="0"/>
        <w:jc w:val="left"/>
        <w:rPr/>
      </w:pPr>
      <w:r>
        <w:rPr/>
        <w:t> </w:t>
      </w:r>
    </w:p>
    <w:tbl>
      <w:tblPr>
        <w:tblW w:w="5428" w:type="dxa"/>
        <w:jc w:val="left"/>
        <w:tblInd w:w="0" w:type="dxa"/>
        <w:tblLayout w:type="fixed"/>
        <w:tblCellMar>
          <w:top w:w="0" w:type="dxa"/>
          <w:left w:w="0" w:type="dxa"/>
          <w:bottom w:w="0" w:type="dxa"/>
          <w:right w:w="0" w:type="dxa"/>
        </w:tblCellMar>
      </w:tblPr>
      <w:tblGrid>
        <w:gridCol w:w="2975"/>
        <w:gridCol w:w="120"/>
        <w:gridCol w:w="82"/>
        <w:gridCol w:w="707"/>
        <w:gridCol w:w="439"/>
        <w:gridCol w:w="82"/>
        <w:gridCol w:w="82"/>
        <w:gridCol w:w="606"/>
        <w:gridCol w:w="335"/>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3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43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3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21.0</w:t>
            </w:r>
          </w:p>
        </w:tc>
        <w:tc>
          <w:tcPr>
            <w:tcW w:w="4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21.0</w:t>
            </w:r>
          </w:p>
        </w:tc>
        <w:tc>
          <w:tcPr>
            <w:tcW w:w="33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taxes, net of federal tax benefit</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— </w:t>
            </w:r>
          </w:p>
        </w:tc>
        <w:tc>
          <w:tcPr>
            <w:tcW w:w="43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Agreement liability</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(6.4</w:t>
            </w:r>
          </w:p>
        </w:tc>
        <w:tc>
          <w:tcPr>
            <w:tcW w:w="4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(20.0</w:t>
            </w:r>
          </w:p>
        </w:tc>
        <w:tc>
          <w:tcPr>
            <w:tcW w:w="43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14.3</w:t>
            </w:r>
          </w:p>
        </w:tc>
        <w:tc>
          <w:tcPr>
            <w:tcW w:w="33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Fines and penalties</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(3.0</w:t>
            </w:r>
          </w:p>
        </w:tc>
        <w:tc>
          <w:tcPr>
            <w:tcW w:w="4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0.2</w:t>
            </w:r>
          </w:p>
        </w:tc>
        <w:tc>
          <w:tcPr>
            <w:tcW w:w="33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Permanent book/tax differences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— </w:t>
            </w:r>
          </w:p>
        </w:tc>
        <w:tc>
          <w:tcPr>
            <w:tcW w:w="43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(6.0</w:t>
            </w:r>
          </w:p>
        </w:tc>
        <w:tc>
          <w:tcPr>
            <w:tcW w:w="4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7.9</w:t>
            </w:r>
          </w:p>
        </w:tc>
        <w:tc>
          <w:tcPr>
            <w:tcW w:w="33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single" w:sz="2" w:space="1" w:color="000000"/>
              </w:rPr>
            </w:pPr>
            <w:r>
              <w:rPr>
                <w:bdr w:val="single" w:sz="2" w:space="1" w:color="000000"/>
              </w:rPr>
              <w:t> </w:t>
            </w:r>
          </w:p>
        </w:tc>
        <w:tc>
          <w:tcPr>
            <w:tcW w:w="707" w:type="dxa"/>
            <w:tcBorders/>
            <w:vAlign w:val="center"/>
          </w:tcPr>
          <w:p>
            <w:pPr>
              <w:pStyle w:val="TableContents"/>
              <w:bidi w:val="0"/>
              <w:spacing w:before="0" w:after="0"/>
              <w:jc w:val="left"/>
              <w:rPr>
                <w:bdr w:val="single" w:sz="2" w:space="1" w:color="000000"/>
              </w:rPr>
            </w:pPr>
            <w:r>
              <w:rPr>
                <w:bdr w:val="single" w:sz="2" w:space="1" w:color="000000"/>
              </w:rPr>
              <w:t> </w:t>
            </w:r>
          </w:p>
        </w:tc>
        <w:tc>
          <w:tcPr>
            <w:tcW w:w="43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single" w:sz="2" w:space="1" w:color="000000"/>
              </w:rPr>
            </w:pPr>
            <w:r>
              <w:rPr>
                <w:bdr w:val="single" w:sz="2" w:space="1" w:color="000000"/>
              </w:rPr>
              <w:t> </w:t>
            </w:r>
          </w:p>
        </w:tc>
        <w:tc>
          <w:tcPr>
            <w:tcW w:w="606"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Income tax provision</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spacing w:val="0"/>
              </w:rPr>
            </w:pPr>
            <w:r>
              <w:rPr>
                <w:spacing w:val="0"/>
              </w:rPr>
              <w:t> </w:t>
            </w:r>
          </w:p>
        </w:tc>
        <w:tc>
          <w:tcPr>
            <w:tcW w:w="707" w:type="dxa"/>
            <w:tcBorders/>
            <w:vAlign w:val="center"/>
          </w:tcPr>
          <w:p>
            <w:pPr>
              <w:pStyle w:val="TableContents"/>
              <w:bidi w:val="0"/>
              <w:spacing w:before="0" w:after="0"/>
              <w:jc w:val="right"/>
              <w:rPr>
                <w:b/>
                <w:spacing w:val="0"/>
              </w:rPr>
            </w:pPr>
            <w:r>
              <w:rPr>
                <w:b/>
                <w:spacing w:val="0"/>
              </w:rPr>
              <w:t>(14.4</w:t>
            </w:r>
          </w:p>
        </w:tc>
        <w:tc>
          <w:tcPr>
            <w:tcW w:w="439" w:type="dxa"/>
            <w:tcBorders/>
            <w:vAlign w:val="center"/>
          </w:tcPr>
          <w:p>
            <w:pPr>
              <w:pStyle w:val="TableContents"/>
              <w:bidi w:val="0"/>
              <w:spacing w:before="0" w:after="0"/>
              <w:jc w:val="left"/>
              <w:rPr>
                <w:b/>
                <w:spacing w:val="0"/>
              </w:rPr>
            </w:pPr>
            <w:r>
              <w:rPr>
                <w:b/>
                <w:spacing w:val="0"/>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spacing w:val="0"/>
              </w:rPr>
            </w:pPr>
            <w:r>
              <w:rPr>
                <w:spacing w:val="0"/>
              </w:rPr>
              <w:t> </w:t>
            </w:r>
          </w:p>
        </w:tc>
        <w:tc>
          <w:tcPr>
            <w:tcW w:w="606" w:type="dxa"/>
            <w:tcBorders/>
            <w:vAlign w:val="center"/>
          </w:tcPr>
          <w:p>
            <w:pPr>
              <w:pStyle w:val="TableContents"/>
              <w:bidi w:val="0"/>
              <w:spacing w:before="0" w:after="0"/>
              <w:jc w:val="right"/>
              <w:rPr>
                <w:b/>
                <w:spacing w:val="0"/>
              </w:rPr>
            </w:pPr>
            <w:r>
              <w:rPr>
                <w:b/>
                <w:spacing w:val="0"/>
              </w:rPr>
              <w:t>43.4</w:t>
            </w:r>
          </w:p>
        </w:tc>
        <w:tc>
          <w:tcPr>
            <w:tcW w:w="335" w:type="dxa"/>
            <w:tcBorders/>
            <w:vAlign w:val="center"/>
          </w:tcPr>
          <w:p>
            <w:pPr>
              <w:pStyle w:val="TableContents"/>
              <w:bidi w:val="0"/>
              <w:spacing w:before="0" w:after="0"/>
              <w:jc w:val="left"/>
              <w:rPr>
                <w:b/>
                <w:spacing w:val="0"/>
              </w:rPr>
            </w:pPr>
            <w:r>
              <w:rPr>
                <w:b/>
                <w:spacing w:val="0"/>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double" w:sz="6" w:space="1" w:color="000000"/>
              </w:rPr>
            </w:pPr>
            <w:r>
              <w:rPr>
                <w:bdr w:val="double" w:sz="6" w:space="1" w:color="000000"/>
              </w:rPr>
              <w:t> </w:t>
            </w:r>
          </w:p>
        </w:tc>
        <w:tc>
          <w:tcPr>
            <w:tcW w:w="707" w:type="dxa"/>
            <w:tcBorders/>
            <w:vAlign w:val="center"/>
          </w:tcPr>
          <w:p>
            <w:pPr>
              <w:pStyle w:val="TableContents"/>
              <w:bidi w:val="0"/>
              <w:spacing w:before="0" w:after="0"/>
              <w:jc w:val="left"/>
              <w:rPr>
                <w:bdr w:val="double" w:sz="6" w:space="1" w:color="000000"/>
              </w:rPr>
            </w:pPr>
            <w:r>
              <w:rPr>
                <w:bdr w:val="double" w:sz="6" w:space="1" w:color="000000"/>
              </w:rPr>
              <w:t> </w:t>
            </w:r>
          </w:p>
        </w:tc>
        <w:tc>
          <w:tcPr>
            <w:tcW w:w="43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double" w:sz="6" w:space="1" w:color="000000"/>
              </w:rPr>
            </w:pPr>
            <w:r>
              <w:rPr>
                <w:bdr w:val="double" w:sz="6" w:space="1" w:color="000000"/>
              </w:rPr>
              <w:t> </w:t>
            </w:r>
          </w:p>
        </w:tc>
        <w:tc>
          <w:tcPr>
            <w:tcW w:w="606" w:type="dxa"/>
            <w:tcBorders/>
            <w:vAlign w:val="center"/>
          </w:tcPr>
          <w:p>
            <w:pPr>
              <w:pStyle w:val="TableContents"/>
              <w:bidi w:val="0"/>
              <w:spacing w:before="0" w:after="0"/>
              <w:jc w:val="left"/>
              <w:rPr>
                <w:bdr w:val="double" w:sz="6" w:space="1" w:color="000000"/>
              </w:rPr>
            </w:pPr>
            <w:r>
              <w:rPr>
                <w:bdr w:val="double" w:sz="6" w:space="1" w:color="000000"/>
              </w:rPr>
              <w:t> </w:t>
            </w:r>
          </w:p>
        </w:tc>
        <w:tc>
          <w:tcPr>
            <w:tcW w:w="33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in the U.S. federal jurisdiction and is subject to examination since inception.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9.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assets and liabilities that were measured at fair value on a recurring basis as of December 31, 2024 and 2023 and indicates the fair value hierarchy of the valuation techniques the Company utilized to determine such fair value: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5"/>
        <w:gridCol w:w="120"/>
        <w:gridCol w:w="219"/>
        <w:gridCol w:w="1725"/>
        <w:gridCol w:w="60"/>
        <w:gridCol w:w="120"/>
        <w:gridCol w:w="207"/>
        <w:gridCol w:w="1628"/>
        <w:gridCol w:w="60"/>
        <w:gridCol w:w="120"/>
        <w:gridCol w:w="663"/>
        <w:gridCol w:w="1232"/>
        <w:gridCol w:w="60"/>
        <w:gridCol w:w="120"/>
        <w:gridCol w:w="268"/>
        <w:gridCol w:w="1882"/>
        <w:gridCol w:w="76"/>
      </w:tblGrid>
      <w:tr>
        <w:trPr/>
        <w:tc>
          <w:tcPr>
            <w:tcW w:w="1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0"/>
              <w:jc w:val="center"/>
              <w:rPr>
                <w:b/>
                <w:spacing w:val="0"/>
              </w:rPr>
            </w:pPr>
            <w:r>
              <w:rPr>
                <w:b/>
                <w:spacing w:val="0"/>
              </w:rPr>
              <w:t>Quoted Prices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0"/>
              <w:jc w:val="center"/>
              <w:rPr>
                <w:b/>
                <w:spacing w:val="0"/>
              </w:rPr>
            </w:pPr>
            <w:r>
              <w:rPr>
                <w:b/>
                <w:spacing w:val="0"/>
              </w:rPr>
              <w:t>Significant Other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0"/>
              <w:jc w:val="center"/>
              <w:rPr>
                <w:b/>
                <w:spacing w:val="0"/>
              </w:rPr>
            </w:pPr>
            <w:r>
              <w:rPr>
                <w:b/>
                <w:spacing w:val="0"/>
              </w:rPr>
              <w:t>Significant Other</w:t>
            </w:r>
          </w:p>
        </w:tc>
        <w:tc>
          <w:tcPr>
            <w:tcW w:w="76" w:type="dxa"/>
            <w:tcBorders/>
            <w:vAlign w:val="center"/>
          </w:tcPr>
          <w:p>
            <w:pPr>
              <w:pStyle w:val="TableContents"/>
              <w:bidi w:val="0"/>
              <w:spacing w:before="0" w:after="283"/>
              <w:jc w:val="left"/>
              <w:rPr/>
            </w:pPr>
            <w:r>
              <w:rPr/>
              <w:t> </w:t>
            </w:r>
          </w:p>
        </w:tc>
      </w:tr>
      <w:tr>
        <w:trPr/>
        <w:tc>
          <w:tcPr>
            <w:tcW w:w="1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4" w:type="dxa"/>
            <w:gridSpan w:val="2"/>
            <w:tcBorders/>
            <w:vAlign w:val="center"/>
          </w:tcPr>
          <w:p>
            <w:pPr>
              <w:pStyle w:val="TableContents"/>
              <w:bidi w:val="0"/>
              <w:spacing w:before="0" w:after="0"/>
              <w:jc w:val="center"/>
              <w:rPr>
                <w:b/>
                <w:spacing w:val="0"/>
              </w:rPr>
            </w:pPr>
            <w:r>
              <w:rPr>
                <w:b/>
                <w:spacing w:val="0"/>
              </w:rPr>
              <w:t>As of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0"/>
              <w:jc w:val="center"/>
              <w:rPr>
                <w:b/>
                <w:spacing w:val="0"/>
              </w:rPr>
            </w:pPr>
            <w:r>
              <w:rPr>
                <w:b/>
                <w:spacing w:val="0"/>
              </w:rPr>
              <w:t>in Active Markets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0"/>
              <w:jc w:val="center"/>
              <w:rPr>
                <w:b/>
                <w:spacing w:val="0"/>
              </w:rPr>
            </w:pPr>
            <w:r>
              <w:rPr>
                <w:b/>
                <w:spacing w:val="0"/>
              </w:rPr>
              <w:t>Observable Inputs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0"/>
              <w:jc w:val="center"/>
              <w:rPr>
                <w:b/>
                <w:spacing w:val="0"/>
              </w:rPr>
            </w:pPr>
            <w:r>
              <w:rPr>
                <w:b/>
                <w:spacing w:val="0"/>
              </w:rPr>
              <w:t>Unobservable Inputs</w:t>
            </w:r>
          </w:p>
        </w:tc>
        <w:tc>
          <w:tcPr>
            <w:tcW w:w="76" w:type="dxa"/>
            <w:tcBorders/>
            <w:vAlign w:val="center"/>
          </w:tcPr>
          <w:p>
            <w:pPr>
              <w:pStyle w:val="TableContents"/>
              <w:bidi w:val="0"/>
              <w:spacing w:before="0" w:after="283"/>
              <w:jc w:val="left"/>
              <w:rPr/>
            </w:pPr>
            <w:r>
              <w:rPr/>
              <w:t> </w:t>
            </w:r>
          </w:p>
        </w:tc>
      </w:tr>
      <w:tr>
        <w:trPr/>
        <w:tc>
          <w:tcPr>
            <w:tcW w:w="1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76" w:type="dxa"/>
            <w:tcBorders/>
            <w:vAlign w:val="center"/>
          </w:tcPr>
          <w:p>
            <w:pPr>
              <w:pStyle w:val="TableContents"/>
              <w:bidi w:val="0"/>
              <w:spacing w:before="0" w:after="283"/>
              <w:jc w:val="left"/>
              <w:rPr/>
            </w:pPr>
            <w:r>
              <w:rPr/>
              <w:t> </w:t>
            </w:r>
          </w:p>
        </w:tc>
      </w:tr>
      <w:tr>
        <w:trPr/>
        <w:tc>
          <w:tcPr>
            <w:tcW w:w="1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7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88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Money Market Funds held in Trust Accounts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725" w:type="dxa"/>
            <w:tcBorders/>
            <w:vAlign w:val="center"/>
          </w:tcPr>
          <w:p>
            <w:pPr>
              <w:pStyle w:val="TableContents"/>
              <w:bidi w:val="0"/>
              <w:spacing w:before="0" w:after="283"/>
              <w:jc w:val="right"/>
              <w:rPr/>
            </w:pPr>
            <w:r>
              <w:rPr/>
              <w:t>47,558,112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628" w:type="dxa"/>
            <w:tcBorders/>
            <w:vAlign w:val="center"/>
          </w:tcPr>
          <w:p>
            <w:pPr>
              <w:pStyle w:val="TableContents"/>
              <w:bidi w:val="0"/>
              <w:spacing w:before="0" w:after="283"/>
              <w:jc w:val="right"/>
              <w:rPr/>
            </w:pPr>
            <w:r>
              <w:rPr/>
              <w:t>47,558,112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188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7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88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Derivative liability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5" w:type="dxa"/>
            <w:tcBorders/>
            <w:vAlign w:val="center"/>
          </w:tcPr>
          <w:p>
            <w:pPr>
              <w:pStyle w:val="TableContents"/>
              <w:bidi w:val="0"/>
              <w:spacing w:before="0" w:after="283"/>
              <w:jc w:val="right"/>
              <w:rPr/>
            </w:pPr>
            <w:r>
              <w:rPr/>
              <w:t>1,084,963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882" w:type="dxa"/>
            <w:tcBorders/>
            <w:vAlign w:val="center"/>
          </w:tcPr>
          <w:p>
            <w:pPr>
              <w:pStyle w:val="TableContents"/>
              <w:bidi w:val="0"/>
              <w:spacing w:before="0" w:after="283"/>
              <w:jc w:val="right"/>
              <w:rPr/>
            </w:pPr>
            <w:r>
              <w:rPr/>
              <w:t>1,084,963</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4"/>
        <w:gridCol w:w="120"/>
        <w:gridCol w:w="220"/>
        <w:gridCol w:w="1734"/>
        <w:gridCol w:w="60"/>
        <w:gridCol w:w="120"/>
        <w:gridCol w:w="207"/>
        <w:gridCol w:w="1628"/>
        <w:gridCol w:w="60"/>
        <w:gridCol w:w="120"/>
        <w:gridCol w:w="663"/>
        <w:gridCol w:w="1232"/>
        <w:gridCol w:w="60"/>
        <w:gridCol w:w="120"/>
        <w:gridCol w:w="752"/>
        <w:gridCol w:w="1398"/>
        <w:gridCol w:w="77"/>
      </w:tblGrid>
      <w:tr>
        <w:trPr/>
        <w:tc>
          <w:tcPr>
            <w:tcW w:w="16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6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0"/>
              <w:jc w:val="center"/>
              <w:rPr>
                <w:b/>
              </w:rPr>
            </w:pPr>
            <w:r>
              <w:rPr>
                <w:b/>
              </w:rPr>
              <w:t>Quoted Prices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0"/>
              <w:jc w:val="center"/>
              <w:rPr>
                <w:b/>
              </w:rPr>
            </w:pPr>
            <w:r>
              <w:rPr>
                <w:b/>
              </w:rPr>
              <w:t>Significant Other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0"/>
              <w:jc w:val="center"/>
              <w:rPr>
                <w:b/>
              </w:rPr>
            </w:pPr>
            <w:r>
              <w:rPr>
                <w:b/>
              </w:rPr>
              <w:t>Significant Other</w:t>
            </w:r>
          </w:p>
        </w:tc>
        <w:tc>
          <w:tcPr>
            <w:tcW w:w="77" w:type="dxa"/>
            <w:tcBorders/>
            <w:vAlign w:val="center"/>
          </w:tcPr>
          <w:p>
            <w:pPr>
              <w:pStyle w:val="TableContents"/>
              <w:bidi w:val="0"/>
              <w:spacing w:before="0" w:after="283"/>
              <w:jc w:val="left"/>
              <w:rPr/>
            </w:pPr>
            <w:r>
              <w:rPr/>
              <w:t> </w:t>
            </w:r>
          </w:p>
        </w:tc>
      </w:tr>
      <w:tr>
        <w:trPr/>
        <w:tc>
          <w:tcPr>
            <w:tcW w:w="16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0"/>
              <w:jc w:val="center"/>
              <w:rPr>
                <w:b/>
              </w:rPr>
            </w:pPr>
            <w:r>
              <w:rPr>
                <w:b/>
              </w:rPr>
              <w:t>As of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0"/>
              <w:jc w:val="center"/>
              <w:rPr>
                <w:b/>
              </w:rPr>
            </w:pPr>
            <w:r>
              <w:rPr>
                <w:b/>
              </w:rPr>
              <w:t>in Active Markets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0"/>
              <w:jc w:val="center"/>
              <w:rPr>
                <w:b/>
              </w:rPr>
            </w:pPr>
            <w:r>
              <w:rPr>
                <w:b/>
              </w:rPr>
              <w:t>Observable Inputs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0"/>
              <w:jc w:val="center"/>
              <w:rPr>
                <w:b/>
              </w:rPr>
            </w:pPr>
            <w:r>
              <w:rPr>
                <w:b/>
              </w:rPr>
              <w:t>Unobservable Inputs</w:t>
            </w:r>
          </w:p>
        </w:tc>
        <w:tc>
          <w:tcPr>
            <w:tcW w:w="77" w:type="dxa"/>
            <w:tcBorders/>
            <w:vAlign w:val="center"/>
          </w:tcPr>
          <w:p>
            <w:pPr>
              <w:pStyle w:val="TableContents"/>
              <w:bidi w:val="0"/>
              <w:spacing w:before="0" w:after="283"/>
              <w:jc w:val="left"/>
              <w:rPr/>
            </w:pPr>
            <w:r>
              <w:rPr/>
              <w:t> </w:t>
            </w:r>
          </w:p>
        </w:tc>
      </w:tr>
      <w:tr>
        <w:trPr/>
        <w:tc>
          <w:tcPr>
            <w:tcW w:w="16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3)</w:t>
            </w:r>
          </w:p>
        </w:tc>
        <w:tc>
          <w:tcPr>
            <w:tcW w:w="77" w:type="dxa"/>
            <w:tcBorders/>
            <w:vAlign w:val="center"/>
          </w:tcPr>
          <w:p>
            <w:pPr>
              <w:pStyle w:val="TableContents"/>
              <w:bidi w:val="0"/>
              <w:spacing w:before="0" w:after="283"/>
              <w:jc w:val="left"/>
              <w:rPr/>
            </w:pPr>
            <w:r>
              <w:rPr/>
              <w:t> </w:t>
            </w:r>
          </w:p>
        </w:tc>
      </w:tr>
      <w:tr>
        <w:trPr/>
        <w:tc>
          <w:tcPr>
            <w:tcW w:w="1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7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sz w:val="4"/>
                <w:szCs w:val="4"/>
              </w:rPr>
            </w:pPr>
            <w:r>
              <w:rPr>
                <w:sz w:val="4"/>
                <w:szCs w:val="4"/>
              </w:rPr>
            </w:r>
          </w:p>
        </w:tc>
        <w:tc>
          <w:tcPr>
            <w:tcW w:w="1398"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16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Money Market Funds held in Trust Accounts</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734" w:type="dxa"/>
            <w:tcBorders/>
            <w:vAlign w:val="center"/>
          </w:tcPr>
          <w:p>
            <w:pPr>
              <w:pStyle w:val="TableContents"/>
              <w:bidi w:val="0"/>
              <w:spacing w:before="0" w:after="283"/>
              <w:jc w:val="right"/>
              <w:rPr/>
            </w:pPr>
            <w:r>
              <w:rPr/>
              <w:t>71,432,177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628" w:type="dxa"/>
            <w:tcBorders/>
            <w:vAlign w:val="center"/>
          </w:tcPr>
          <w:p>
            <w:pPr>
              <w:pStyle w:val="TableContents"/>
              <w:bidi w:val="0"/>
              <w:spacing w:before="0" w:after="283"/>
              <w:jc w:val="right"/>
              <w:rPr/>
            </w:pPr>
            <w:r>
              <w:rPr/>
              <w:t>71,432,177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Backstop Subscription Agreement was valued using a Probability Weighted Expected Return Model (“PWERM”). The PWERM is a multi-step process in which value is estimated based on the probability-weighted present value of various future outcomes. The estimated fair value of the Backstop Subscription Agreement liability was determined using Level 3 inputs. Inherent in the pricing models are assumptions related to expected share-price volatility, expected life and risk-free interest rate. The risk-free interest rate is based on the U.S. Treasury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zero-coupon</w:t>
      </w:r>
    </w:p>
    <w:p>
      <w:pPr>
        <w:pStyle w:val="TextBody"/>
        <w:bidi w:val="0"/>
        <w:spacing w:before="240" w:after="0"/>
        <w:jc w:val="left"/>
        <w:rPr>
          <w:rFonts w:ascii="Times New Roman" w:hAnsi="Times New Roman"/>
          <w:sz w:val="20"/>
        </w:rPr>
      </w:pPr>
      <w:r>
        <w:rPr>
          <w:rFonts w:ascii="Times New Roman" w:hAnsi="Times New Roman"/>
          <w:sz w:val="20"/>
        </w:rPr>
        <w:t xml:space="preserve">yield curve on the grant date for a maturity similar to the expected remaining life of the Backstop Subscription Agreement. The expected life of the Backstop Subscription Agreement is assumed to be equivalent to its remaining contractual term. The initial fair value of the Backstop Subscription Agreement as of April 22, 2024, was $361,124. The Backstop Subscription Agreement was waived at the execution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Agreements on December 31, 2024, as such the fair value of the Backstop Subscription Agreement as of December 31, 2024 was nil. The two transactions netted together to result in a net change in fair value of the Backstop Subscription Agreement of nil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key inputs of the models used to value the Company’s Backstop Subscription Agreement were as follows: </w:t>
      </w:r>
    </w:p>
    <w:p>
      <w:pPr>
        <w:pStyle w:val="TextBody"/>
        <w:bidi w:val="0"/>
        <w:spacing w:before="0" w:after="0"/>
        <w:jc w:val="left"/>
        <w:rPr/>
      </w:pPr>
      <w:r>
        <w:rPr/>
        <w:t> </w:t>
      </w:r>
    </w:p>
    <w:tbl>
      <w:tblPr>
        <w:tblW w:w="6930" w:type="dxa"/>
        <w:jc w:val="left"/>
        <w:tblInd w:w="0" w:type="dxa"/>
        <w:tblLayout w:type="fixed"/>
        <w:tblCellMar>
          <w:top w:w="0" w:type="dxa"/>
          <w:left w:w="0" w:type="dxa"/>
          <w:bottom w:w="0" w:type="dxa"/>
          <w:right w:w="0" w:type="dxa"/>
        </w:tblCellMar>
      </w:tblPr>
      <w:tblGrid>
        <w:gridCol w:w="4835"/>
        <w:gridCol w:w="120"/>
        <w:gridCol w:w="337"/>
        <w:gridCol w:w="1348"/>
        <w:gridCol w:w="290"/>
      </w:tblGrid>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0"/>
              <w:jc w:val="center"/>
              <w:rPr>
                <w:b/>
                <w:spacing w:val="0"/>
              </w:rPr>
            </w:pPr>
            <w:r>
              <w:rPr>
                <w:b/>
                <w:spacing w:val="0"/>
              </w:rPr>
              <w:t>Initial</w:t>
            </w:r>
          </w:p>
        </w:tc>
        <w:tc>
          <w:tcPr>
            <w:tcW w:w="29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Measurement(1)</w:t>
            </w:r>
          </w:p>
        </w:tc>
        <w:tc>
          <w:tcPr>
            <w:tcW w:w="29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12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1348" w:type="dxa"/>
            <w:tcBorders/>
            <w:shd w:fill="CCEEFF" w:val="clear"/>
            <w:vAlign w:val="center"/>
          </w:tcPr>
          <w:p>
            <w:pPr>
              <w:pStyle w:val="TableContents"/>
              <w:bidi w:val="0"/>
              <w:spacing w:before="0" w:after="283"/>
              <w:jc w:val="right"/>
              <w:rPr/>
            </w:pPr>
            <w:r>
              <w:rPr/>
              <w:t>11.05</w:t>
            </w:r>
          </w:p>
        </w:tc>
        <w:tc>
          <w:tcPr>
            <w:tcW w:w="29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5.4</w:t>
            </w:r>
          </w:p>
        </w:tc>
        <w:tc>
          <w:tcPr>
            <w:tcW w:w="29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expected life (in years)</w:t>
            </w:r>
          </w:p>
        </w:tc>
        <w:tc>
          <w:tcPr>
            <w:tcW w:w="12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 implied likelihood of Initial Business Combination</w:t>
            </w:r>
          </w:p>
        </w:tc>
        <w:tc>
          <w:tcPr>
            <w:tcW w:w="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10.4</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initial measurement date of the Back-Stop Agreement was April 22, 2024. As the Back-Stop Agreement was waived on December 31, 2024, no remeasurement was required as of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 is valued using a Monte Carlo model, which is considered to be a Level 3 fair value measurement. The primary unobservable input utilized in determining the fair value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 is equity volatility, and debt rate. The initial fair value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 as of December 31, 2024, was $1,084,963. </w:t>
      </w:r>
    </w:p>
    <w:p>
      <w:pPr>
        <w:pStyle w:val="TextBody"/>
        <w:bidi w:val="0"/>
        <w:spacing w:before="240" w:after="0"/>
        <w:jc w:val="left"/>
        <w:rPr>
          <w:rFonts w:ascii="Times New Roman" w:hAnsi="Times New Roman"/>
          <w:sz w:val="20"/>
        </w:rPr>
      </w:pPr>
      <w:r>
        <w:rPr>
          <w:rFonts w:ascii="Times New Roman" w:hAnsi="Times New Roman"/>
          <w:sz w:val="20"/>
        </w:rPr>
        <w:t xml:space="preserve">The key inputs of the models used to value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240" w:after="0"/>
        <w:jc w:val="left"/>
        <w:rPr>
          <w:rFonts w:ascii="Times New Roman" w:hAnsi="Times New Roman"/>
          <w:sz w:val="20"/>
        </w:rPr>
      </w:pPr>
      <w:r>
        <w:rPr>
          <w:rFonts w:ascii="Times New Roman" w:hAnsi="Times New Roman"/>
          <w:sz w:val="20"/>
        </w:rPr>
        <w:t xml:space="preserve">Agreement were as follows: </w:t>
      </w:r>
    </w:p>
    <w:p>
      <w:pPr>
        <w:pStyle w:val="TextBody"/>
        <w:bidi w:val="0"/>
        <w:spacing w:before="0" w:after="0"/>
        <w:jc w:val="left"/>
        <w:rPr/>
      </w:pPr>
      <w:r>
        <w:rPr/>
        <w:t> </w:t>
      </w:r>
    </w:p>
    <w:tbl>
      <w:tblPr>
        <w:tblW w:w="5505" w:type="dxa"/>
        <w:jc w:val="left"/>
        <w:tblInd w:w="0" w:type="dxa"/>
        <w:tblLayout w:type="fixed"/>
        <w:tblCellMar>
          <w:top w:w="0" w:type="dxa"/>
          <w:left w:w="0" w:type="dxa"/>
          <w:bottom w:w="0" w:type="dxa"/>
          <w:right w:w="0" w:type="dxa"/>
        </w:tblCellMar>
      </w:tblPr>
      <w:tblGrid>
        <w:gridCol w:w="3410"/>
        <w:gridCol w:w="120"/>
        <w:gridCol w:w="337"/>
        <w:gridCol w:w="1348"/>
        <w:gridCol w:w="290"/>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0"/>
              <w:jc w:val="center"/>
              <w:rPr>
                <w:b/>
                <w:spacing w:val="0"/>
              </w:rPr>
            </w:pPr>
            <w:r>
              <w:rPr>
                <w:b/>
                <w:spacing w:val="0"/>
              </w:rPr>
              <w:t>Initial</w:t>
            </w:r>
          </w:p>
        </w:tc>
        <w:tc>
          <w:tcPr>
            <w:tcW w:w="29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Measurement(1)</w:t>
            </w:r>
          </w:p>
        </w:tc>
        <w:tc>
          <w:tcPr>
            <w:tcW w:w="29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12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1348" w:type="dxa"/>
            <w:tcBorders/>
            <w:shd w:fill="CCEEFF" w:val="clear"/>
            <w:vAlign w:val="center"/>
          </w:tcPr>
          <w:p>
            <w:pPr>
              <w:pStyle w:val="TableContents"/>
              <w:bidi w:val="0"/>
              <w:spacing w:before="0" w:after="283"/>
              <w:jc w:val="right"/>
              <w:rPr/>
            </w:pPr>
            <w:r>
              <w:rPr/>
              <w:t>15.00</w:t>
            </w:r>
          </w:p>
        </w:tc>
        <w:tc>
          <w:tcPr>
            <w:tcW w:w="29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118.2</w:t>
            </w:r>
          </w:p>
        </w:tc>
        <w:tc>
          <w:tcPr>
            <w:tcW w:w="29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rate</w:t>
            </w:r>
          </w:p>
        </w:tc>
        <w:tc>
          <w:tcPr>
            <w:tcW w:w="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11.8</w:t>
            </w:r>
          </w:p>
        </w:tc>
        <w:tc>
          <w:tcPr>
            <w:tcW w:w="29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expected life (in years)</w:t>
            </w:r>
          </w:p>
        </w:tc>
        <w:tc>
          <w:tcPr>
            <w:tcW w:w="12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283"/>
              <w:jc w:val="left"/>
              <w:rPr/>
            </w:pPr>
            <w:r>
              <w:rPr/>
              <w:t>(1)</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initial measurement date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 xml:space="preserve">Agreement was December 31, 2024, as such, no remeasurement was required as of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a summary of the changes in the fair value of the Company’s Level 3 financial instruments that are measured at fair value on a recurring basis for the year ended December 31, 2024: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3545"/>
        <w:gridCol w:w="120"/>
        <w:gridCol w:w="319"/>
        <w:gridCol w:w="1996"/>
        <w:gridCol w:w="155"/>
        <w:gridCol w:w="120"/>
        <w:gridCol w:w="221"/>
        <w:gridCol w:w="1554"/>
        <w:gridCol w:w="75"/>
      </w:tblGrid>
      <w:tr>
        <w:trPr/>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5" w:type="dxa"/>
            <w:gridSpan w:val="2"/>
            <w:tcBorders/>
            <w:vAlign w:val="center"/>
          </w:tcPr>
          <w:p>
            <w:pPr>
              <w:pStyle w:val="TableContents"/>
              <w:bidi w:val="0"/>
              <w:spacing w:before="0" w:after="0"/>
              <w:jc w:val="center"/>
              <w:rPr>
                <w:b/>
                <w:spacing w:val="0"/>
              </w:rPr>
            </w:pPr>
            <w:r>
              <w:rPr>
                <w:b/>
                <w:spacing w:val="0"/>
              </w:rPr>
              <w:t>Subscription Purchase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0"/>
              <w:jc w:val="center"/>
              <w:rPr>
                <w:b/>
                <w:spacing w:val="0"/>
              </w:rPr>
            </w:pPr>
            <w:r>
              <w:rPr>
                <w:b/>
                <w:spacing w:val="0"/>
              </w:rPr>
              <w:t>Non-Redemption</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Agreement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Agreement</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5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Measurement on April 22, 2024</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right"/>
              <w:rPr/>
            </w:pPr>
            <w:r>
              <w:rPr/>
              <w:t>361,124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Initial Measurement on December 31, 2024</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1,084,963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right"/>
              <w:rPr/>
            </w:pPr>
            <w:r>
              <w:rPr/>
              <w:t>(361,124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single" w:sz="2" w:space="1" w:color="000000"/>
              </w:rPr>
            </w:pPr>
            <w:r>
              <w:rPr>
                <w:bdr w:val="single" w:sz="2" w:space="1" w:color="000000"/>
              </w:rPr>
              <w:t> </w:t>
            </w:r>
          </w:p>
        </w:tc>
        <w:tc>
          <w:tcPr>
            <w:tcW w:w="199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0"/>
              <w:jc w:val="left"/>
              <w:rPr>
                <w:b/>
                <w:spacing w:val="0"/>
              </w:rPr>
            </w:pPr>
            <w:r>
              <w:rPr>
                <w:b/>
                <w:spacing w:val="0"/>
              </w:rPr>
              <w:t>$</w:t>
            </w:r>
          </w:p>
        </w:tc>
        <w:tc>
          <w:tcPr>
            <w:tcW w:w="1996"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0"/>
              <w:jc w:val="left"/>
              <w:rPr>
                <w:b/>
                <w:spacing w:val="0"/>
              </w:rPr>
            </w:pPr>
            <w:r>
              <w:rPr>
                <w:b/>
                <w:spacing w:val="0"/>
              </w:rPr>
              <w:t>$</w:t>
            </w:r>
          </w:p>
        </w:tc>
        <w:tc>
          <w:tcPr>
            <w:tcW w:w="1554" w:type="dxa"/>
            <w:tcBorders/>
            <w:shd w:fill="CCEEFF" w:val="clear"/>
            <w:vAlign w:val="center"/>
          </w:tcPr>
          <w:p>
            <w:pPr>
              <w:pStyle w:val="TableContents"/>
              <w:bidi w:val="0"/>
              <w:spacing w:before="0" w:after="0"/>
              <w:jc w:val="right"/>
              <w:rPr>
                <w:b/>
                <w:spacing w:val="0"/>
              </w:rPr>
            </w:pPr>
            <w:r>
              <w:rPr>
                <w:b/>
                <w:spacing w:val="0"/>
              </w:rPr>
              <w:t>1,084,963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double" w:sz="6" w:space="1" w:color="000000"/>
              </w:rPr>
            </w:pPr>
            <w:r>
              <w:rPr>
                <w:bdr w:val="double" w:sz="6" w:space="1" w:color="000000"/>
              </w:rPr>
              <w:t> </w:t>
            </w:r>
          </w:p>
        </w:tc>
        <w:tc>
          <w:tcPr>
            <w:tcW w:w="199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w:t>
      </w:r>
    </w:p>
    <w:p>
      <w:pPr>
        <w:pStyle w:val="TextBody"/>
        <w:bidi w:val="0"/>
        <w:spacing w:before="240" w:after="0"/>
        <w:jc w:val="left"/>
        <w:rPr>
          <w:rFonts w:ascii="Times New Roman" w:hAnsi="Times New Roman"/>
          <w:sz w:val="20"/>
        </w:rPr>
      </w:pPr>
      <w:r>
        <w:rPr>
          <w:rFonts w:ascii="Times New Roman" w:hAnsi="Times New Roman"/>
          <w:sz w:val="20"/>
        </w:rPr>
        <w:t>Chief Financial Officer</w:t>
      </w:r>
    </w:p>
    <w:p>
      <w:pPr>
        <w:pStyle w:val="TextBody"/>
        <w:bidi w:val="0"/>
        <w:spacing w:before="240" w:after="0"/>
        <w:jc w:val="left"/>
        <w:rPr>
          <w:rFonts w:ascii="Times New Roman" w:hAnsi="Times New Roman"/>
          <w:sz w:val="20"/>
        </w:rPr>
      </w:pPr>
      <w:r>
        <w:rPr>
          <w:rFonts w:ascii="Times New Roman" w:hAnsi="Times New Roman"/>
          <w:sz w:val="20"/>
        </w:rPr>
        <w:t xml:space="preserve">, who reviews the assets, operating results, and financial metrics for the Company as a whole to make decisions about allocating resources and assessing financial performance. Accordingly, management has determined that there is only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also is reported on the statement of operations as net income or loss. The measure of segment assets is reported on the balance sheet as total assets. When evaluating the Company’s performance and making key decisions regarding resource allocation, the CODM reviews several key metrics included in net income or loss and total assets, which include the following: </w:t>
      </w:r>
    </w:p>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2825"/>
        <w:gridCol w:w="120"/>
        <w:gridCol w:w="140"/>
        <w:gridCol w:w="1100"/>
        <w:gridCol w:w="60"/>
        <w:gridCol w:w="120"/>
        <w:gridCol w:w="140"/>
        <w:gridCol w:w="1100"/>
        <w:gridCol w:w="7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758,842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843,313</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47,558,112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46,893,175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232" w:type="dxa"/>
        <w:jc w:val="left"/>
        <w:tblInd w:w="0" w:type="dxa"/>
        <w:tblLayout w:type="fixed"/>
        <w:tblCellMar>
          <w:top w:w="0" w:type="dxa"/>
          <w:left w:w="0" w:type="dxa"/>
          <w:bottom w:w="0" w:type="dxa"/>
          <w:right w:w="0" w:type="dxa"/>
        </w:tblCellMar>
      </w:tblPr>
      <w:tblGrid>
        <w:gridCol w:w="3320"/>
        <w:gridCol w:w="120"/>
        <w:gridCol w:w="157"/>
        <w:gridCol w:w="1101"/>
        <w:gridCol w:w="67"/>
        <w:gridCol w:w="134"/>
        <w:gridCol w:w="157"/>
        <w:gridCol w:w="1101"/>
        <w:gridCol w:w="7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4,459,541</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3,040,539</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earned on Trust Account</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2,465,138</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5,751,596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CODM reviews interest earned on the Trust Account to measure and monitor stockholder value and determine the most effective strategy of investment with the Trust Account funds while maintaining compliance with the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Operating expenses are reviewed and monitored by the CODM to manage and forecast cash to ensure enough capital is available to complete a business combination or similar transaction within the business combination period. The CODM also reviews operating expenses to manage, maintain and enforce all contractual agreements to ensure costs are aligned with all agreements and budget. Operating costs, as reported on the statement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All other segment items included in net income or loss are reported on the statement of operations and described within their respective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NOTE 11.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consolidated financial statements were issued. Based upon this review, the Company did not identify any other subsequent events that would have required adjustment or disclosure in the consolidated financial statements other than: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pursuant to the terms and subject to the conditions set forth in the Merger Agreement, following the Special Meeting the Business Combination was consummated (see Note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Approval to List 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following the Closing, the Company issued a press release announcing that the Company had been approved to list its common stock and warrants on The Nasdaq Stock Market under the symbols “BZAI” and “BZAIW”.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Between December 31, 2024 and January 13, 2025, in connection with the Business Combination, the Company and Legacy Blaize entered into subscription agreements (the “PIPE Subscription Agreements”) with certain unaffiliated third-party investors and Burkhan (each, a “PIPE Investor” and collectively, the “PIPE Investors”), pursuant to which, among other things, the Company agreed to issue and sell to the PIPE Investors, and the PIPE Investors agreed to subscribe for and purchase 1,540,300 shares of the Company’s common stock, par value $0.0001 per share (“PIPE Shares”) at a purchase price of $10.00 per share for an aggregate purchase price of $15,403,000, in a private placement (each, a “PIPE Investment” and collectively, the “PIPE Investments”).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immediately following the Closing, the Company issued 1,540,300 shares of Common Stock, at a price of $10.00 per share for aggregate PIPE Investments of $15,403,000 in accordance with the terms of the PIPE Subscription Agreements. The shares of common stock issued in the PIPE Investments were offered in a private placement under the Securities Act of 1933, as amended (the “Securities Act”), pursuant to the PIPE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PIPE Subscription Agreements, the Company was obligated to file a registration statement to register for the resale of all the PIPE Shares within forty-five (45) calendar days of the Closing, and to use its commercially reasonable efforts to cause such registration statement to become effective as soon as practicable after the filing there of. On January 17, 2025, we filed a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S-1</w:t>
      </w:r>
    </w:p>
    <w:p>
      <w:pPr>
        <w:pStyle w:val="TextBody"/>
        <w:bidi w:val="0"/>
        <w:spacing w:before="240" w:after="0"/>
        <w:jc w:val="left"/>
        <w:rPr>
          <w:rFonts w:ascii="Times New Roman" w:hAnsi="Times New Roman"/>
          <w:sz w:val="20"/>
        </w:rPr>
      </w:pPr>
      <w:r>
        <w:rPr>
          <w:rFonts w:ascii="Times New Roman" w:hAnsi="Times New Roman"/>
          <w:sz w:val="20"/>
        </w:rPr>
        <w:t xml:space="preserve">to register the resale of such PIPE Shares.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Registration Rights Agreements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immediately following the Closing, the Company and certain stockholders of Legacy Blaize, the Sponsor and BurTech, entered into an amended and restated registration rights agreement (the “Registration Rights Agreement”), pursuant to which the Company agreed to file shelf registration statements with respect to the registrable securities under the Registration Rights Agreements within thirty (30) calendar days of the Closing. These certain stockholders of Legacy Blaize, the Sponsor and BurTech may each request to sell all or any portion of their registrable securities in an underwritten offering up to two times total and up to twice in 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12-month</w:t>
      </w:r>
    </w:p>
    <w:p>
      <w:pPr>
        <w:pStyle w:val="TextBody"/>
        <w:bidi w:val="0"/>
        <w:spacing w:before="120" w:after="0"/>
        <w:jc w:val="left"/>
        <w:rPr>
          <w:rFonts w:ascii="Times New Roman" w:hAnsi="Times New Roman"/>
          <w:sz w:val="20"/>
        </w:rPr>
      </w:pPr>
      <w:r>
        <w:rPr>
          <w:rFonts w:ascii="Times New Roman" w:hAnsi="Times New Roman"/>
          <w:sz w:val="20"/>
        </w:rPr>
        <w:t xml:space="preserve">period, so long as the total offering price is reasonably expected to exceed $50,000,000. The Registration Rights Agreement also provides that the Company will pay certain expenses relating to such registrations and indemnify the stockholders against certain liabilities. The foregoing description does not purport to be complete and is qualified in its entirety by reference to the full text, filed as exhibit 10.1 to the Company’s Current Reports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 on January 17, 2025.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immediately following the Closing, the Company and certain stockholders of Legacy Blaize, entered into a registration rights agreement (the “Ava Registration Rights Agreement”), pursuant to which the Company agreed to file a shelf registration statement with respect to the registrable securities under the Registration Rights Agreement within four (4) business days of the Closing. These certain Legacy Blaize stockholders may each request to sell all or any portion of their registrable securities in an underwritten offering up to two times total and up to twice in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12-month</w:t>
      </w:r>
    </w:p>
    <w:p>
      <w:pPr>
        <w:pStyle w:val="TextBody"/>
        <w:bidi w:val="0"/>
        <w:spacing w:before="240" w:after="0"/>
        <w:jc w:val="left"/>
        <w:rPr>
          <w:rFonts w:ascii="Times New Roman" w:hAnsi="Times New Roman"/>
          <w:sz w:val="20"/>
        </w:rPr>
      </w:pPr>
      <w:r>
        <w:rPr>
          <w:rFonts w:ascii="Times New Roman" w:hAnsi="Times New Roman"/>
          <w:sz w:val="20"/>
        </w:rPr>
        <w:t xml:space="preserve">period, so long as the total offering price is reasonably expected to exceed $25,000,000. The Ava Registration Rights Agreement also provides that the Company will pay certain expenses relating to such registrations and indemnify the stockholders against certain liabilities. The foregoing description does not purport to be complete and is qualified in its entirety by reference to the full text, filed as exhibit 10.11 to the Company’s Current Reports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filed with the SEC on January 17,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Advisory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 receives an advisory fee of $500,000 for capital market advisory services, of which $300,000 was due upon the Closing, with fifty percent paid in cash and fifty percent paid in common stock of the Company, and $200,000 is due to be paid in two equal installments due at the end of each calendar quarter following the Closing, with each payment being paid fifty percent in cash and fifty percent paid in common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entered into a warrant agreement with the same party, for a nominal upfront value. The agreement allowed for the advisor to purchase 50,000 shares of common stock at $11.50 per share for a term of five years. On February 10, 2025, Blaize issued the 50,000 common stock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which is further discussed in Note 6, “Commitments and Contingencies”.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F-68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indicates the expenses to be incurred in connection with the offering described in this registration statement, other than underwriting discounts and commissions. </w:t>
      </w:r>
    </w:p>
    <w:p>
      <w:pPr>
        <w:pStyle w:val="TextBody"/>
        <w:bidi w:val="0"/>
        <w:spacing w:before="0" w:after="0"/>
        <w:jc w:val="left"/>
        <w:rPr/>
      </w:pPr>
      <w:r>
        <w:rPr/>
        <w:t> </w:t>
      </w:r>
    </w:p>
    <w:tbl>
      <w:tblPr>
        <w:tblW w:w="5790" w:type="dxa"/>
        <w:jc w:val="left"/>
        <w:tblInd w:w="0" w:type="dxa"/>
        <w:tblLayout w:type="fixed"/>
        <w:tblCellMar>
          <w:top w:w="0" w:type="dxa"/>
          <w:left w:w="0" w:type="dxa"/>
          <w:bottom w:w="0" w:type="dxa"/>
          <w:right w:w="0" w:type="dxa"/>
        </w:tblCellMar>
      </w:tblPr>
      <w:tblGrid>
        <w:gridCol w:w="4355"/>
        <w:gridCol w:w="120"/>
        <w:gridCol w:w="140"/>
        <w:gridCol w:w="1100"/>
        <w:gridCol w:w="75"/>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166,494.45</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Accountants’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Blue Sky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Agent’s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defined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 </w:t>
      </w:r>
    </w:p>
    <w:p>
      <w:pPr>
        <w:pStyle w:val="TextBody"/>
        <w:bidi w:val="0"/>
        <w:spacing w:before="120" w:after="0"/>
        <w:jc w:val="left"/>
        <w:rPr>
          <w:rFonts w:ascii="Times New Roman" w:hAnsi="Times New Roman"/>
          <w:b/>
          <w:sz w:val="20"/>
        </w:rPr>
      </w:pPr>
      <w:r>
        <w:rPr>
          <w:rFonts w:ascii="Times New Roman" w:hAnsi="Times New Roman"/>
          <w:b/>
          <w:sz w:val="20"/>
        </w:rPr>
        <w:t xml:space="preserve">(a) PIPE Investment. </w:t>
      </w:r>
    </w:p>
    <w:p>
      <w:pPr>
        <w:pStyle w:val="TextBody"/>
        <w:bidi w:val="0"/>
        <w:spacing w:before="120" w:after="0"/>
        <w:jc w:val="left"/>
        <w:rPr>
          <w:rFonts w:ascii="Times New Roman" w:hAnsi="Times New Roman"/>
          <w:sz w:val="20"/>
        </w:rPr>
      </w:pPr>
      <w:r>
        <w:rPr>
          <w:rFonts w:ascii="Times New Roman" w:hAnsi="Times New Roman"/>
          <w:sz w:val="20"/>
        </w:rPr>
        <w:t xml:space="preserve">From December 31, 2024 through January 13, 2025, BurTech and certain subscribers (each, a “Subscriber” and collectively, the “Subscribers”) entered into subscription agreements (each, a “PIPE Subscription Agreement” and collectively, the “PIPE Subscription Agreements”) pursuant to which BurTech agreed to issue and sell to the Subscribers, immediately prior to the closing of the Merger, collectively, 1,540,300 shares of Class A Stock (the “PIPE Shares”) at a price per share equal to $10.00 (the “PIPE Investment”). 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 Secured Promissory Note and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this Sponsor Note. This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w:t>
      </w:r>
    </w:p>
    <w:p>
      <w:pPr>
        <w:pStyle w:val="TextBody"/>
        <w:bidi w:val="0"/>
        <w:spacing w:before="120" w:after="0"/>
        <w:jc w:val="left"/>
        <w:rPr>
          <w:rFonts w:ascii="Times New Roman" w:hAnsi="Times New Roman"/>
          <w:b/>
          <w:sz w:val="20"/>
        </w:rPr>
      </w:pPr>
      <w:r>
        <w:rPr>
          <w:rFonts w:ascii="Times New Roman" w:hAnsi="Times New Roman"/>
          <w:b/>
          <w:sz w:val="20"/>
        </w:rPr>
        <w:t xml:space="preserve">(c) Capital Market Advisors. </w:t>
      </w:r>
    </w:p>
    <w:p>
      <w:pPr>
        <w:pStyle w:val="TextBody"/>
        <w:bidi w:val="0"/>
        <w:spacing w:before="120" w:after="0"/>
        <w:jc w:val="left"/>
        <w:rPr>
          <w:rFonts w:ascii="Times New Roman" w:hAnsi="Times New Roman"/>
          <w:sz w:val="20"/>
        </w:rPr>
      </w:pPr>
      <w:r>
        <w:rPr>
          <w:rFonts w:ascii="Times New Roman" w:hAnsi="Times New Roman"/>
          <w:sz w:val="20"/>
        </w:rPr>
        <w:t xml:space="preserve">On February 10, 2025, in connection with that certain Letter Agreement, dated December 23, 2024, by and between the Company and Roth Capital Partners, LLC (“Roth”), the Company issued approximately 63,157 shares of Common Stock to Roth in a private placement under the Securities Act. Further, on February 10, 2025, in connection with that certain Letter Agreement, dated January 13, 2025, by and between Legacy Blaize and Craig-Hallum Capital Group LLC and its affiliates (“Craig-Hallum”), the Company issued (i) 31,792 shares of Common Stock to Craig-Hallum and (ii) warrants exercisable for up to 50,000 shares of Common Stock at a price of $11.50 per share (the “CMA Warrants”), in each case, in a private placement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(a)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7267"/>
        <w:gridCol w:w="120"/>
        <w:gridCol w:w="87"/>
        <w:gridCol w:w="341"/>
        <w:gridCol w:w="60"/>
        <w:gridCol w:w="120"/>
        <w:gridCol w:w="86"/>
        <w:gridCol w:w="459"/>
        <w:gridCol w:w="60"/>
        <w:gridCol w:w="120"/>
        <w:gridCol w:w="60"/>
        <w:gridCol w:w="668"/>
        <w:gridCol w:w="77"/>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1" w:type="dxa"/>
            <w:gridSpan w:val="10"/>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Incorporated by Reference</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72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8"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Form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8"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Filing Date</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387" w:type="dxa"/>
            <w:gridSpan w:val="2"/>
            <w:tcBorders/>
            <w:vAlign w:val="center"/>
          </w:tcPr>
          <w:p>
            <w:pPr>
              <w:pStyle w:val="TableContents"/>
              <w:bidi w:val="0"/>
              <w:spacing w:before="0" w:after="283"/>
              <w:jc w:val="left"/>
              <w:rPr>
                <w:sz w:val="4"/>
                <w:szCs w:val="4"/>
              </w:rPr>
            </w:pPr>
            <w:r>
              <w:rPr>
                <w:sz w:val="4"/>
                <w:szCs w:val="4"/>
              </w:rPr>
            </w:r>
          </w:p>
        </w:tc>
        <w:tc>
          <w:tcPr>
            <w:tcW w:w="608"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2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7267"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"http://www.sec.gov/Archives/edgar/data/1871638/000110465924080933/brkh-20240331xs4.htm" \l "AnnexA1_147733"</w:instrText>
            </w:r>
            <w:r>
              <w:rPr>
                <w:rStyle w:val="InternetLink"/>
              </w:rPr>
              <w:fldChar w:fldCharType="separate"/>
            </w:r>
            <w:r>
              <w:rPr>
                <w:rStyle w:val="InternetLink"/>
              </w:rPr>
              <w:t xml:space="preserve">Agreement and Plan of Merger, dated as of December 22, 2023, by and among BurTech Acquisition Corp., BurTech Merger Sub, Inc., Blaize, Inc. and for the limited purposes set forth therein, Burkhan Capital LLC.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right"/>
              <w:rPr/>
            </w:pPr>
            <w:r>
              <w:rPr/>
              <w:t>S-4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7/19/2024</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387" w:type="dxa"/>
            <w:gridSpan w:val="2"/>
            <w:tcBorders/>
            <w:vAlign w:val="center"/>
          </w:tcPr>
          <w:p>
            <w:pPr>
              <w:pStyle w:val="TableContents"/>
              <w:bidi w:val="0"/>
              <w:spacing w:before="0" w:after="283"/>
              <w:jc w:val="left"/>
              <w:rPr>
                <w:sz w:val="4"/>
                <w:szCs w:val="4"/>
              </w:rPr>
            </w:pPr>
            <w:r>
              <w:rPr>
                <w:sz w:val="4"/>
                <w:szCs w:val="4"/>
              </w:rPr>
            </w:r>
          </w:p>
        </w:tc>
        <w:tc>
          <w:tcPr>
            <w:tcW w:w="608"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2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2.2</w:t>
            </w:r>
          </w:p>
        </w:tc>
        <w:tc>
          <w:tcPr>
            <w:tcW w:w="120" w:type="dxa"/>
            <w:tcBorders/>
            <w:vAlign w:val="center"/>
          </w:tcPr>
          <w:p>
            <w:pPr>
              <w:pStyle w:val="TableContents"/>
              <w:bidi w:val="0"/>
              <w:spacing w:before="0" w:after="283"/>
              <w:jc w:val="left"/>
              <w:rPr/>
            </w:pPr>
            <w:r>
              <w:rPr/>
              <w:t>  </w:t>
            </w:r>
          </w:p>
        </w:tc>
        <w:tc>
          <w:tcPr>
            <w:tcW w:w="7267"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"http://www.sec.gov/Archives/edgar/data/1871638/000110465924080933/brkh-20240331xs4.htm" \l "AnnexA2_936998"</w:instrText>
            </w:r>
            <w:r>
              <w:rPr>
                <w:rStyle w:val="InternetLink"/>
              </w:rPr>
              <w:fldChar w:fldCharType="separate"/>
            </w:r>
            <w:r>
              <w:rPr>
                <w:rStyle w:val="InternetLink"/>
              </w:rPr>
              <w:t xml:space="preserve">Amendment to Agreement and Plan of Merger, dated as of April 22, 2024, by and among BurTech Acquisition Corp., BurTech Merger Sub, Inc., Blaize, Inc. and for the limited purposes set forth therein, Burkhan Capital LLC.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right"/>
              <w:rPr/>
            </w:pPr>
            <w:r>
              <w:rPr/>
              <w:t>S-4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right"/>
              <w:rPr/>
            </w:pPr>
            <w:r>
              <w:rPr/>
              <w:t>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7/19/2024</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387" w:type="dxa"/>
            <w:gridSpan w:val="2"/>
            <w:tcBorders/>
            <w:vAlign w:val="center"/>
          </w:tcPr>
          <w:p>
            <w:pPr>
              <w:pStyle w:val="TableContents"/>
              <w:bidi w:val="0"/>
              <w:spacing w:before="0" w:after="283"/>
              <w:jc w:val="left"/>
              <w:rPr>
                <w:sz w:val="4"/>
                <w:szCs w:val="4"/>
              </w:rPr>
            </w:pPr>
            <w:r>
              <w:rPr>
                <w:sz w:val="4"/>
                <w:szCs w:val="4"/>
              </w:rPr>
            </w:r>
          </w:p>
        </w:tc>
        <w:tc>
          <w:tcPr>
            <w:tcW w:w="608"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2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w:t>
            </w:r>
          </w:p>
        </w:tc>
        <w:tc>
          <w:tcPr>
            <w:tcW w:w="120" w:type="dxa"/>
            <w:tcBorders/>
            <w:vAlign w:val="center"/>
          </w:tcPr>
          <w:p>
            <w:pPr>
              <w:pStyle w:val="TableContents"/>
              <w:bidi w:val="0"/>
              <w:spacing w:before="0" w:after="283"/>
              <w:jc w:val="left"/>
              <w:rPr/>
            </w:pPr>
            <w:r>
              <w:rPr/>
              <w:t>  </w:t>
            </w:r>
          </w:p>
        </w:tc>
        <w:tc>
          <w:tcPr>
            <w:tcW w:w="7267"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"http://www.sec.gov/Archives/edgar/data/1871638/000110465924112666/tm2418197-13_s4a.htm" \l "tANNEXA3"</w:instrText>
            </w:r>
            <w:r>
              <w:rPr>
                <w:rStyle w:val="InternetLink"/>
              </w:rPr>
              <w:fldChar w:fldCharType="separate"/>
            </w:r>
            <w:r>
              <w:rPr>
                <w:rStyle w:val="InternetLink"/>
              </w:rPr>
              <w:t xml:space="preserve">Amendment No. 2 to Agreement and Plan of Merger, dated as of October 24, 2024, by and among BurTech Acquisition Corp., BurTech Merger Sub, Inc., Blaize, Inc. and for the limited purposes set forth therein, Burkhan Capital LLC.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right"/>
              <w:rPr/>
            </w:pPr>
            <w:r>
              <w:rPr/>
              <w:t>S-4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right"/>
              <w:rPr/>
            </w:pPr>
            <w:r>
              <w:rPr/>
              <w:t>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10/30/2024</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75"/>
        <w:gridCol w:w="120"/>
        <w:gridCol w:w="7139"/>
        <w:gridCol w:w="120"/>
        <w:gridCol w:w="60"/>
        <w:gridCol w:w="422"/>
        <w:gridCol w:w="60"/>
        <w:gridCol w:w="120"/>
        <w:gridCol w:w="60"/>
        <w:gridCol w:w="560"/>
        <w:gridCol w:w="60"/>
        <w:gridCol w:w="120"/>
        <w:gridCol w:w="60"/>
        <w:gridCol w:w="653"/>
        <w:gridCol w:w="76"/>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5" w:type="dxa"/>
            <w:gridSpan w:val="10"/>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Incorporated by Reference</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2"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Form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3"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Filing Date</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2.4</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"http://www.sec.gov/Archives/edgar/data/1871638/000110465924112666/tm2418197-13_s4a.htm" \l "tANNEXA3"</w:instrText>
            </w:r>
            <w:r>
              <w:rPr>
                <w:rStyle w:val="InternetLink"/>
              </w:rPr>
              <w:fldChar w:fldCharType="separate"/>
            </w:r>
            <w:r>
              <w:rPr>
                <w:rStyle w:val="InternetLink"/>
              </w:rPr>
              <w:t xml:space="preserve">Amendment No. 3 to Agreement and Plan of Merger, dated as of November 21, 2024, by and among BurTech Acquisition Corp., BurTech Merger Sub, Inc., Blaize, Inc. and for the limited purposes set forth therein, Burkhan Capital LLC.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S-4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11/26/2024</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3">
              <w:r>
                <w:rPr>
                  <w:rStyle w:val="InternetLink"/>
                </w:rPr>
                <w:t xml:space="preserve">Third Amended and Restated Certificate of Incorporation of Blaize Holdings, Inc.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4">
              <w:r>
                <w:rPr>
                  <w:rStyle w:val="InternetLink"/>
                </w:rPr>
                <w:t xml:space="preserve">Amended and Restated Bylaws of Blaize Holdings, Inc.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5">
              <w:r>
                <w:rPr>
                  <w:rStyle w:val="InternetLink"/>
                </w:rPr>
                <w:t xml:space="preserve">Specimen Common Stock Certificate.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S-1/A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11/19/2021</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6">
              <w:r>
                <w:rPr>
                  <w:rStyle w:val="InternetLink"/>
                </w:rPr>
                <w:t xml:space="preserve">Specimen Warrant Certificate.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S-1/A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11/19/2021</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7">
              <w:r>
                <w:rPr>
                  <w:rStyle w:val="InternetLink"/>
                </w:rPr>
                <w:t xml:space="preserve">Warrant Agreement, dated as of December 10, 2021, by and between the Company and Continental Stock Transfer &amp; Trust Company, as warrant agent.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12/16/2021</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8">
              <w:r>
                <w:rPr>
                  <w:rStyle w:val="InternetLink"/>
                </w:rPr>
                <w:t>Opinion of Latham &amp; Watkins LLP.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S-1/A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2/10/2025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9">
              <w:r>
                <w:rPr>
                  <w:rStyle w:val="InternetLink"/>
                </w:rPr>
                <w:t xml:space="preserve">Amended and Restated Registration Rights Agreement, dated as of January 13, 2025, by and among the Company, certain stockholders of BurTech named therein and certain stockholders of Legacy Blaize named therein.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0">
              <w:r>
                <w:rPr>
                  <w:rStyle w:val="InternetLink"/>
                </w:rPr>
                <w:t xml:space="preserve">Letter Agreement, dated as of December 10, 2021, by and among BurTech, its officers and its directors, Sponsor and certain other stockholders party thereto.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12/16/2021</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1">
              <w:r>
                <w:rPr>
                  <w:rStyle w:val="InternetLink"/>
                </w:rPr>
                <w:t xml:space="preserve">Form of Indemnification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2">
              <w:r>
                <w:rPr>
                  <w:rStyle w:val="InternetLink"/>
                </w:rPr>
                <w:t xml:space="preserve">Blaize, Inc. Amended and Restated 2011 Stock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3">
              <w:r>
                <w:rPr>
                  <w:rStyle w:val="InternetLink"/>
                </w:rPr>
                <w:t xml:space="preserve">Blaize Holdings, Inc. 2025 Incentive Award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4">
              <w:r>
                <w:rPr>
                  <w:rStyle w:val="InternetLink"/>
                </w:rPr>
                <w:t xml:space="preserve">Blaize Holdings, Inc. 2025 Employee Stock Purchase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5">
              <w:r>
                <w:rPr>
                  <w:rStyle w:val="InternetLink"/>
                </w:rPr>
                <w:t xml:space="preserve">Form of Stock Option Grant Agreement (Installment Exercise) and Grant Notice under the Blaize, Inc. Amended and Restated 2011 Stock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10.8</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6">
              <w:r>
                <w:rPr>
                  <w:rStyle w:val="InternetLink"/>
                </w:rPr>
                <w:t xml:space="preserve">Form of Restricted Stock Unit Grant Agreement and Grant Notice under the Blaize, Inc. Amended and Restated 2011 Stock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10.9</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7">
              <w:r>
                <w:rPr>
                  <w:rStyle w:val="InternetLink"/>
                </w:rPr>
                <w:t xml:space="preserve">Form of Non-Redemption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12/31/2024</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10.10</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8">
              <w:r>
                <w:rPr>
                  <w:rStyle w:val="InternetLink"/>
                </w:rPr>
                <w:t xml:space="preserve">Form of PIPE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1/8/2025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10.11</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19">
              <w:r>
                <w:rPr>
                  <w:rStyle w:val="InternetLink"/>
                </w:rPr>
                <w:t xml:space="preserve">Registration Rights Agreement, dated as of January 13, 2025, by and among the Company and certain stockholders of Legacy Blaize named therein.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10.12</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20">
              <w:r>
                <w:rPr>
                  <w:rStyle w:val="InternetLink"/>
                </w:rPr>
                <w:t xml:space="preserve">Stockholder Lock-Up Agreement, dated as of January 13, 2025, by and among the Company and certain stockholders of Legacy Blaize named therein.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259"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10.13</w:t>
            </w:r>
          </w:p>
        </w:tc>
        <w:tc>
          <w:tcPr>
            <w:tcW w:w="120" w:type="dxa"/>
            <w:tcBorders/>
            <w:vAlign w:val="center"/>
          </w:tcPr>
          <w:p>
            <w:pPr>
              <w:pStyle w:val="TableContents"/>
              <w:bidi w:val="0"/>
              <w:spacing w:before="0" w:after="283"/>
              <w:jc w:val="left"/>
              <w:rPr/>
            </w:pPr>
            <w:r>
              <w:rPr/>
              <w:t>  </w:t>
            </w:r>
          </w:p>
        </w:tc>
        <w:tc>
          <w:tcPr>
            <w:tcW w:w="7139" w:type="dxa"/>
            <w:tcBorders/>
            <w:vAlign w:val="center"/>
          </w:tcPr>
          <w:p>
            <w:pPr>
              <w:pStyle w:val="TableContents"/>
              <w:bidi w:val="0"/>
              <w:spacing w:before="0" w:after="283"/>
              <w:jc w:val="left"/>
              <w:rPr/>
            </w:pPr>
            <w:hyperlink r:id="rId21">
              <w:r>
                <w:rPr>
                  <w:rStyle w:val="InternetLink"/>
                </w:rPr>
                <w:t xml:space="preserve">Noteholder Lock-Up Agreement, dated as of January 13, 2025, by and among the Company and certain securityholders of Legacy Blaize named therein.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27"/>
        <w:gridCol w:w="120"/>
        <w:gridCol w:w="6992"/>
        <w:gridCol w:w="120"/>
        <w:gridCol w:w="60"/>
        <w:gridCol w:w="462"/>
        <w:gridCol w:w="60"/>
        <w:gridCol w:w="120"/>
        <w:gridCol w:w="60"/>
        <w:gridCol w:w="560"/>
        <w:gridCol w:w="60"/>
        <w:gridCol w:w="120"/>
        <w:gridCol w:w="60"/>
        <w:gridCol w:w="708"/>
        <w:gridCol w:w="76"/>
      </w:tblGrid>
      <w:tr>
        <w:trPr/>
        <w:tc>
          <w:tcPr>
            <w:tcW w:w="6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0" w:type="dxa"/>
            <w:gridSpan w:val="10"/>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Incorporated by Reference</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2"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Form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8"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Filing Date</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10.14</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22">
              <w:r>
                <w:rPr>
                  <w:rStyle w:val="InternetLink"/>
                </w:rPr>
                <w:t xml:space="preserve">Secured Promissory Note and Pledge Agreement, dated as of January 13, 2025, by and among BurTech LP LLC and BurTech.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10.15*</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23">
              <w:r>
                <w:rPr>
                  <w:rStyle w:val="InternetLink"/>
                </w:rPr>
                <w:t xml:space="preserve">Letter Agreement, dated as of January 13, 2025, by and among BurTech, Merger Sub, Blaize and Burkhan BurTech LP LLC and Blaize.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10.16</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24">
              <w:r>
                <w:rPr>
                  <w:rStyle w:val="InternetLink"/>
                </w:rPr>
                <w:t xml:space="preserve">Offer Letter, dated as of June 18, 2018, by and between ThinCI, Inc. and Dinakar Munagala.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10.17</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25">
              <w:r>
                <w:rPr>
                  <w:rStyle w:val="InternetLink"/>
                </w:rPr>
                <w:t xml:space="preserve">Offer Letter, dated as of June 20, 2018, by and between ThinCI, Inc. and Val Cook.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10.18</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26">
              <w:r>
                <w:rPr>
                  <w:rStyle w:val="InternetLink"/>
                </w:rPr>
                <w:t xml:space="preserve">Offer Letter, dated as of November 15, 2018, by and between ThinCI, Inc. and Dmitry Zakharchenko.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10.19</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27">
              <w:r>
                <w:rPr>
                  <w:rStyle w:val="InternetLink"/>
                </w:rPr>
                <w:t xml:space="preserve">Amendment to Offer Letter, dated as of February 22, 2022, by and between ThinCI, Inc. and Dmitry Zakharchenko.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10.20</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28">
              <w:r>
                <w:rPr>
                  <w:rStyle w:val="InternetLink"/>
                </w:rPr>
                <w:t xml:space="preserve">Offer Letter, dated as of July 4, 2018, by and between ThinCI, Inc. and Santiago Fernandez-Gomez.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10.21</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29">
              <w:r>
                <w:rPr>
                  <w:rStyle w:val="InternetLink"/>
                </w:rPr>
                <w:t xml:space="preserve">Blaize Holdings, Inc. Non-Employee Director Compensation Program.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10.22</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30">
              <w:r>
                <w:rPr>
                  <w:rStyle w:val="InternetLink"/>
                </w:rPr>
                <w:t xml:space="preserve">Form of Stock Option Grant Agreement (Contingent Exercise) and Grant Notice under the Blaize, Inc. Amended and Restated 2011 Stock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21.1</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31">
              <w:r>
                <w:rPr>
                  <w:rStyle w:val="InternetLink"/>
                </w:rPr>
                <w:t xml:space="preserve">Subsidiaries of Blaize Holdings, Inc.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1/17/2025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w:anchor="d934548dex231.htm">
              <w:r>
                <w:rPr>
                  <w:rStyle w:val="InternetLink"/>
                </w:rPr>
                <w:t xml:space="preserve">Consent of Marcum LLP.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w:anchor="d934548dex232.htm">
              <w:r>
                <w:rPr>
                  <w:rStyle w:val="InternetLink"/>
                </w:rPr>
                <w:t xml:space="preserve">Consent of UHY LLP.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23.3</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32">
              <w:r>
                <w:rPr>
                  <w:rStyle w:val="InternetLink"/>
                </w:rPr>
                <w:t xml:space="preserve">Consent of Latham &amp; Watkins LLP (included in Exhibit 5.1).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2/10/2025</w:t>
            </w:r>
          </w:p>
        </w:tc>
        <w:tc>
          <w:tcPr>
            <w:tcW w:w="76"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24.1</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w:anchor="sig">
              <w:r>
                <w:rPr>
                  <w:rStyle w:val="InternetLink"/>
                </w:rPr>
                <w:t xml:space="preserve">Power of Attorney (included on signature page of the initial filing of this Registration Statement).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7112"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hyperlink r:id="rId33">
              <w:r>
                <w:rPr>
                  <w:rStyle w:val="InternetLink"/>
                </w:rPr>
                <w:t xml:space="preserve">Filing Fee Table.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S-1/A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2/10/2025</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601(a)(5). The Company agrees to furnish a copy of all omitted exhibits and schedules to the SEC upon its request. </w:t>
            </w:r>
          </w:p>
        </w:tc>
      </w:tr>
    </w:tbl>
    <w:tbl>
      <w:tblPr>
        <w:tblW w:w="1570" w:type="dxa"/>
        <w:jc w:val="left"/>
        <w:tblInd w:w="0" w:type="dxa"/>
        <w:tblLayout w:type="fixed"/>
        <w:tblCellMar>
          <w:top w:w="0" w:type="dxa"/>
          <w:left w:w="0" w:type="dxa"/>
          <w:bottom w:w="0" w:type="dxa"/>
          <w:right w:w="0" w:type="dxa"/>
        </w:tblCellMar>
      </w:tblPr>
      <w:tblGrid>
        <w:gridCol w:w="275"/>
        <w:gridCol w:w="1295"/>
      </w:tblGrid>
      <w:tr>
        <w:trPr/>
        <w:tc>
          <w:tcPr>
            <w:tcW w:w="27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Schedules not listed above have been omitted because the information required to be set forth therein is not applicable or is shown in the financial statements or notes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(a)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(b)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(c) the portion of any other free writing prospectus relating to the offering containing material information about the undersigned registrant or its securities provided by or on behalf of an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(d) any other communication that is an offer in the offering made by the undersigned registrant to the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sig"/>
      <w:bookmarkEnd w:id="2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Registration Statement to be signed on its behalf by the undersigned hereunto duly authorized, on this 29th day of April 2025 </w:t>
      </w:r>
    </w:p>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665"/>
        <w:gridCol w:w="60"/>
        <w:gridCol w:w="314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r>
      <w:tr>
        <w:trPr/>
        <w:tc>
          <w:tcPr>
            <w:tcW w:w="3865" w:type="dxa"/>
            <w:gridSpan w:val="3"/>
            <w:tcBorders/>
            <w:vAlign w:val="center"/>
          </w:tcPr>
          <w:p>
            <w:pPr>
              <w:pStyle w:val="TableContents"/>
              <w:bidi w:val="0"/>
              <w:spacing w:before="0" w:after="283"/>
              <w:jc w:val="left"/>
              <w:rPr>
                <w:b/>
              </w:rPr>
            </w:pPr>
            <w:r>
              <w:rPr>
                <w:b/>
              </w:rPr>
              <w:t>BLAIZE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Dinakar Munagala</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Dinakar Munagala</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Chief Executive Officer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each of Dinakar Munagala and Harminder Sehmi,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held on the dates indicated.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1880"/>
        <w:gridCol w:w="120"/>
        <w:gridCol w:w="2750"/>
        <w:gridCol w:w="120"/>
        <w:gridCol w:w="1430"/>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Chief Executive Officer and</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29, 2025</w:t>
            </w:r>
          </w:p>
        </w:tc>
      </w:tr>
      <w:tr>
        <w:trPr/>
        <w:tc>
          <w:tcPr>
            <w:tcW w:w="1880" w:type="dxa"/>
            <w:tcBorders/>
            <w:vAlign w:val="center"/>
          </w:tcPr>
          <w:p>
            <w:pPr>
              <w:pStyle w:val="TableContents"/>
              <w:bidi w:val="0"/>
              <w:spacing w:before="0" w:after="283"/>
              <w:jc w:val="left"/>
              <w:rPr/>
            </w:pPr>
            <w:r>
              <w:rPr/>
              <w:t>Dinakar Munagala</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(Principal Executive Officer)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Harminder Sehmi</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Chief Financial Officer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29, 2025</w:t>
            </w:r>
          </w:p>
        </w:tc>
      </w:tr>
      <w:tr>
        <w:trPr/>
        <w:tc>
          <w:tcPr>
            <w:tcW w:w="1880" w:type="dxa"/>
            <w:tcBorders/>
            <w:vAlign w:val="center"/>
          </w:tcPr>
          <w:p>
            <w:pPr>
              <w:pStyle w:val="TableContents"/>
              <w:bidi w:val="0"/>
              <w:spacing w:before="0" w:after="283"/>
              <w:jc w:val="left"/>
              <w:rPr/>
            </w:pPr>
            <w:r>
              <w:rPr/>
              <w:t>Harminder Sehmi</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(Principal Financial and</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Accounting Officer)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29, 2025</w:t>
            </w:r>
          </w:p>
        </w:tc>
      </w:tr>
      <w:tr>
        <w:trPr/>
        <w:tc>
          <w:tcPr>
            <w:tcW w:w="1880" w:type="dxa"/>
            <w:tcBorders/>
            <w:vAlign w:val="center"/>
          </w:tcPr>
          <w:p>
            <w:pPr>
              <w:pStyle w:val="TableContents"/>
              <w:bidi w:val="0"/>
              <w:spacing w:before="0" w:after="283"/>
              <w:jc w:val="left"/>
              <w:rPr/>
            </w:pPr>
            <w:r>
              <w:rPr/>
              <w:t>Edward Frank</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29, 2025</w:t>
            </w:r>
          </w:p>
        </w:tc>
      </w:tr>
      <w:tr>
        <w:trPr/>
        <w:tc>
          <w:tcPr>
            <w:tcW w:w="1880" w:type="dxa"/>
            <w:tcBorders/>
            <w:vAlign w:val="center"/>
          </w:tcPr>
          <w:p>
            <w:pPr>
              <w:pStyle w:val="TableContents"/>
              <w:bidi w:val="0"/>
              <w:spacing w:before="0" w:after="283"/>
              <w:jc w:val="left"/>
              <w:rPr/>
            </w:pPr>
            <w:r>
              <w:rPr/>
              <w:t>Lane Bess</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29, 2025</w:t>
            </w:r>
          </w:p>
        </w:tc>
      </w:tr>
      <w:tr>
        <w:trPr/>
        <w:tc>
          <w:tcPr>
            <w:tcW w:w="1880" w:type="dxa"/>
            <w:tcBorders/>
            <w:vAlign w:val="center"/>
          </w:tcPr>
          <w:p>
            <w:pPr>
              <w:pStyle w:val="TableContents"/>
              <w:bidi w:val="0"/>
              <w:spacing w:before="0" w:after="283"/>
              <w:jc w:val="left"/>
              <w:rPr/>
            </w:pPr>
            <w:r>
              <w:rPr/>
              <w:t>Juergen Hambrecht</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29, 2025</w:t>
            </w:r>
          </w:p>
        </w:tc>
      </w:tr>
      <w:tr>
        <w:trPr/>
        <w:tc>
          <w:tcPr>
            <w:tcW w:w="1880" w:type="dxa"/>
            <w:tcBorders/>
            <w:vAlign w:val="center"/>
          </w:tcPr>
          <w:p>
            <w:pPr>
              <w:pStyle w:val="TableContents"/>
              <w:bidi w:val="0"/>
              <w:spacing w:before="0" w:after="283"/>
              <w:jc w:val="left"/>
              <w:rPr/>
            </w:pPr>
            <w:r>
              <w:rPr/>
              <w:t>George de Urioste</w:t>
            </w:r>
          </w:p>
        </w:tc>
        <w:tc>
          <w:tcPr>
            <w:tcW w:w="1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10" w:type="dxa"/>
        <w:jc w:val="left"/>
        <w:tblInd w:w="0" w:type="dxa"/>
        <w:tblLayout w:type="fixed"/>
        <w:tblCellMar>
          <w:top w:w="0" w:type="dxa"/>
          <w:left w:w="0" w:type="dxa"/>
          <w:bottom w:w="0" w:type="dxa"/>
          <w:right w:w="0" w:type="dxa"/>
        </w:tblCellMar>
      </w:tblPr>
      <w:tblGrid>
        <w:gridCol w:w="500"/>
        <w:gridCol w:w="60"/>
        <w:gridCol w:w="1850"/>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Dinakar Munagala</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p>
    <w:p>
      <w:pPr>
        <w:pStyle w:val="TextBody"/>
        <w:bidi w:val="0"/>
        <w:spacing w:before="0" w:after="0"/>
        <w:jc w:val="right"/>
        <w:rPr>
          <w:rFonts w:ascii="Times New Roman" w:hAnsi="Times New Roman"/>
          <w:b/>
          <w:sz w:val="20"/>
        </w:rPr>
      </w:pPr>
      <w:bookmarkStart w:id="27" w:name="d934548dex231.htm"/>
      <w:bookmarkStart w:id="28" w:name="ksd934548dex231"/>
      <w:bookmarkEnd w:id="27"/>
      <w:bookmarkEnd w:id="2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Independent Registered Public Accounting Firms Consent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of Blaize Holdings, Inc. on Post Effective Amendment No. 2 to Form S-1 of our report dated April 14, 2025 relating to the financial statements of Blaize Holdings, Inc. (formerly known as BurTech Acquisition Corp.) (the Company) which includes an explanatory paragraph as to the Companys ability to continue as a going concern appearing in this Registration Statement. On January 13, 2025, we were informed by the Company that we would be replaced by UHY following the completion of our audit for the year ended December 31, 2024, issued on April 14,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Marcum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New York, NY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April 28, 2025</w:t>
            </w:r>
          </w:p>
        </w:tc>
      </w:tr>
    </w:tbl>
    <w:p>
      <w:pPr>
        <w:pStyle w:val="TextBody"/>
        <w:bidi w:val="0"/>
        <w:spacing w:before="0" w:after="0"/>
        <w:jc w:val="right"/>
        <w:rPr>
          <w:rFonts w:ascii="Times New Roman" w:hAnsi="Times New Roman"/>
          <w:b/>
          <w:sz w:val="20"/>
        </w:rPr>
      </w:pPr>
      <w:bookmarkStart w:id="29" w:name="d934548dex232.htm"/>
      <w:bookmarkStart w:id="30" w:name="ksd934548dex232"/>
      <w:bookmarkEnd w:id="29"/>
      <w:bookmarkEnd w:id="30"/>
      <w:r>
        <w:rPr>
          <w:rFonts w:ascii="Times New Roman" w:hAnsi="Times New Roman"/>
          <w:b/>
          <w:sz w:val="20"/>
        </w:rPr>
        <w:t xml:space="preserve">Exhibit 23.2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9070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4"/>
                    <a:stretch>
                      <a:fillRect/>
                    </a:stretch>
                  </pic:blipFill>
                  <pic:spPr bwMode="auto">
                    <a:xfrm>
                      <a:off x="0" y="0"/>
                      <a:ext cx="1790700"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INDEPENDENT REGISTERED PUBLIC ACCOUNTING FIRMS CONSENT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inclusion in this Registration Statement of Blaize Holdings, Inc. (the Company) on Post-Effective Amendment No. 2 to Form S-1 (File No. 333-284365) of our report dated March 11, 2025, which includes an explanatory paragraph as to Blaize, Inc. and Subsidiaries ability to continue as a going concern, with respect to our audits of the consolidated financial statements of Blaize, Inc. and Subsidiaries as of December 31, 2024 and 2023 and for the years then ended. We also consent to the reference to our Firm under the heading Experts in such Prospectus. </w:t>
      </w:r>
    </w:p>
    <w:p>
      <w:pPr>
        <w:pStyle w:val="TextBody"/>
        <w:bidi w:val="0"/>
        <w:spacing w:before="240" w:after="0"/>
        <w:jc w:val="left"/>
        <w:rPr>
          <w:rFonts w:ascii="Times New Roman" w:hAnsi="Times New Roman"/>
          <w:sz w:val="20"/>
        </w:rPr>
      </w:pPr>
      <w:r>
        <w:rPr>
          <w:rFonts w:ascii="Times New Roman" w:hAnsi="Times New Roman"/>
          <w:sz w:val="20"/>
        </w:rPr>
        <w:t xml:space="preserve">/s/ UHY LLP </w:t>
      </w:r>
    </w:p>
    <w:p>
      <w:pPr>
        <w:pStyle w:val="TextBody"/>
        <w:bidi w:val="0"/>
        <w:spacing w:before="240" w:after="0"/>
        <w:jc w:val="left"/>
        <w:rPr>
          <w:rFonts w:ascii="Times New Roman" w:hAnsi="Times New Roman"/>
          <w:sz w:val="20"/>
        </w:rPr>
      </w:pPr>
      <w:r>
        <w:rPr>
          <w:rFonts w:ascii="Times New Roman" w:hAnsi="Times New Roman"/>
          <w:sz w:val="20"/>
        </w:rPr>
        <w:t xml:space="preserve">Melville, NY </w:t>
      </w:r>
    </w:p>
    <w:p>
      <w:pPr>
        <w:pStyle w:val="TextBody"/>
        <w:bidi w:val="0"/>
        <w:spacing w:before="0" w:after="0"/>
        <w:jc w:val="left"/>
        <w:rPr>
          <w:rFonts w:ascii="Times New Roman" w:hAnsi="Times New Roman"/>
          <w:sz w:val="20"/>
        </w:rPr>
      </w:pPr>
      <w:r>
        <w:rPr>
          <w:rFonts w:ascii="Times New Roman" w:hAnsi="Times New Roman"/>
          <w:sz w:val="20"/>
        </w:rPr>
        <w:t xml:space="preserve">April 28, 2025 </w:t>
      </w:r>
    </w:p>
    <w:p>
      <w:pPr>
        <w:pStyle w:val="TextBody"/>
        <w:bidi w:val="0"/>
        <w:spacing w:before="240" w:after="0"/>
        <w:jc w:val="center"/>
        <w:rPr>
          <w:rFonts w:ascii="Times New Roman" w:hAnsi="Times New Roman"/>
          <w:sz w:val="20"/>
        </w:rPr>
      </w:pPr>
      <w:r>
        <w:rPr>
          <w:rFonts w:ascii="Times New Roman" w:hAnsi="Times New Roman"/>
          <w:sz w:val="20"/>
        </w:rPr>
        <w:t xml:space="preserve">An Independent Member of Urbach Hacker Young International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71638/000119312525008517/d903961dex31.htm" TargetMode="External"/><Relationship Id="rId4" Type="http://schemas.openxmlformats.org/officeDocument/2006/relationships/hyperlink" Target="http://www.sec.gov/Archives/edgar/data/1871638/000119312525008517/d903961dex32.htm" TargetMode="External"/><Relationship Id="rId5" Type="http://schemas.openxmlformats.org/officeDocument/2006/relationships/hyperlink" Target="http://www.sec.gov/Archives/edgar/data/1871638/000110465921141949/tm2124406d5_ex4-2.htm" TargetMode="External"/><Relationship Id="rId6" Type="http://schemas.openxmlformats.org/officeDocument/2006/relationships/hyperlink" Target="http://www.sec.gov/Archives/edgar/data/1871638/000110465921141949/tm2124406d5_ex4-3.htm" TargetMode="External"/><Relationship Id="rId7" Type="http://schemas.openxmlformats.org/officeDocument/2006/relationships/hyperlink" Target="http://www.sec.gov/Archives/edgar/data/1826000/000119312520293056/d83052dex41.htm" TargetMode="External"/><Relationship Id="rId8" Type="http://schemas.openxmlformats.org/officeDocument/2006/relationships/hyperlink" Target="http://www.sec.gov/Archives/edgar/data/1871638/000119312525023099/d906819dex51.htm" TargetMode="External"/><Relationship Id="rId9" Type="http://schemas.openxmlformats.org/officeDocument/2006/relationships/hyperlink" Target="http://www.sec.gov/Archives/edgar/data/1871638/000119312525008517/d903961dex101.htm" TargetMode="External"/><Relationship Id="rId10" Type="http://schemas.openxmlformats.org/officeDocument/2006/relationships/hyperlink" Target="http://www.sec.gov/Archives/edgar/data/1871638/000110465921150569/tm2135631d1_ex10-1.htm" TargetMode="External"/><Relationship Id="rId11" Type="http://schemas.openxmlformats.org/officeDocument/2006/relationships/hyperlink" Target="http://www.sec.gov/Archives/edgar/data/1871638/000119312525008517/d903961dex103.htm" TargetMode="External"/><Relationship Id="rId12" Type="http://schemas.openxmlformats.org/officeDocument/2006/relationships/hyperlink" Target="http://www.sec.gov/Archives/edgar/data/1871638/000119312525008517/d903961dex104.htm" TargetMode="External"/><Relationship Id="rId13" Type="http://schemas.openxmlformats.org/officeDocument/2006/relationships/hyperlink" Target="http://www.sec.gov/Archives/edgar/data/1871638/000119312525008517/d903961dex105.htm" TargetMode="External"/><Relationship Id="rId14" Type="http://schemas.openxmlformats.org/officeDocument/2006/relationships/hyperlink" Target="http://www.sec.gov/Archives/edgar/data/1871638/000119312525008517/d903961dex106.htm" TargetMode="External"/><Relationship Id="rId15" Type="http://schemas.openxmlformats.org/officeDocument/2006/relationships/hyperlink" Target="http://www.sec.gov/Archives/edgar/data/1871638/000119312525008517/d903961dex107.htm" TargetMode="External"/><Relationship Id="rId16" Type="http://schemas.openxmlformats.org/officeDocument/2006/relationships/hyperlink" Target="http://www.sec.gov/Archives/edgar/data/1871638/000119312525008517/d903961dex108.htm" TargetMode="External"/><Relationship Id="rId17" Type="http://schemas.openxmlformats.org/officeDocument/2006/relationships/hyperlink" Target="http://www.sec.gov/Archives/edgar/data/1871638/000110465924132802/tm2431152d1_ex10-1.htm" TargetMode="External"/><Relationship Id="rId18" Type="http://schemas.openxmlformats.org/officeDocument/2006/relationships/hyperlink" Target="http://www.sec.gov/Archives/edgar/data/1871638/000110465925001763/tm252173d1_ex10-1.htm" TargetMode="External"/><Relationship Id="rId19" Type="http://schemas.openxmlformats.org/officeDocument/2006/relationships/hyperlink" Target="http://www.sec.gov/Archives/edgar/data/1871638/000119312525008517/d903961dex1011.htm" TargetMode="External"/><Relationship Id="rId20" Type="http://schemas.openxmlformats.org/officeDocument/2006/relationships/hyperlink" Target="http://www.sec.gov/Archives/edgar/data/1871638/000119312525008517/d903961dex1012.htm" TargetMode="External"/><Relationship Id="rId21" Type="http://schemas.openxmlformats.org/officeDocument/2006/relationships/hyperlink" Target="http://www.sec.gov/Archives/edgar/data/1871638/000119312525008517/d903961dex1013.htm" TargetMode="External"/><Relationship Id="rId22" Type="http://schemas.openxmlformats.org/officeDocument/2006/relationships/hyperlink" Target="http://www.sec.gov/Archives/edgar/data/1871638/000119312525008517/d903961dex1014.htm" TargetMode="External"/><Relationship Id="rId23" Type="http://schemas.openxmlformats.org/officeDocument/2006/relationships/hyperlink" Target="http://www.sec.gov/Archives/edgar/data/1871638/000119312525008517/d903961dex1015.htm" TargetMode="External"/><Relationship Id="rId24" Type="http://schemas.openxmlformats.org/officeDocument/2006/relationships/hyperlink" Target="http://www.sec.gov/Archives/edgar/data/1871638/000119312525008517/d903961dex1016.htm" TargetMode="External"/><Relationship Id="rId25" Type="http://schemas.openxmlformats.org/officeDocument/2006/relationships/hyperlink" Target="http://www.sec.gov/Archives/edgar/data/1871638/000119312525008517/d903961dex1017.htm" TargetMode="External"/><Relationship Id="rId26" Type="http://schemas.openxmlformats.org/officeDocument/2006/relationships/hyperlink" Target="http://www.sec.gov/Archives/edgar/data/1871638/000119312525008517/d903961dex1018.htm" TargetMode="External"/><Relationship Id="rId27" Type="http://schemas.openxmlformats.org/officeDocument/2006/relationships/hyperlink" Target="http://www.sec.gov/Archives/edgar/data/1871638/000119312525008517/d903961dex1019.htm" TargetMode="External"/><Relationship Id="rId28" Type="http://schemas.openxmlformats.org/officeDocument/2006/relationships/hyperlink" Target="http://www.sec.gov/Archives/edgar/data/1871638/000119312525008517/d903961dex1020.htm" TargetMode="External"/><Relationship Id="rId29" Type="http://schemas.openxmlformats.org/officeDocument/2006/relationships/hyperlink" Target="http://www.sec.gov/Archives/edgar/data/1871638/000119312525008517/d903961dex1021.htm" TargetMode="External"/><Relationship Id="rId30" Type="http://schemas.openxmlformats.org/officeDocument/2006/relationships/hyperlink" Target="http://www.sec.gov/Archives/edgar/data/1871638/000119312525008517/d903961dex1022.htm" TargetMode="External"/><Relationship Id="rId31" Type="http://schemas.openxmlformats.org/officeDocument/2006/relationships/hyperlink" Target="http://www.sec.gov/Archives/edgar/data/1871638/000119312525008517/d903961dex211.htm" TargetMode="External"/><Relationship Id="rId32" Type="http://schemas.openxmlformats.org/officeDocument/2006/relationships/hyperlink" Target="http://www.sec.gov/Archives/edgar/data/1871638/000119312525023099/d906819dex51.htm" TargetMode="External"/><Relationship Id="rId33" Type="http://schemas.openxmlformats.org/officeDocument/2006/relationships/hyperlink" Target="http://www.sec.gov/Archives/edgar/data/1871638/000119312525023099/d906819dexfilingfees.htm" TargetMode="External"/><Relationship Id="rId34" Type="http://schemas.openxmlformats.org/officeDocument/2006/relationships/image" Target="media/image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194</Pages>
  <Words>149387</Words>
  <Characters>817461</Characters>
  <CharactersWithSpaces>981064</CharactersWithSpaces>
  <Paragraphs>24100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