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160020</wp:posOffset>
            </wp:positionV>
            <wp:extent cx="2983230"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3230"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89,550,141 Shares of Common Stock</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898,250 Warrants to Purchase Shares of Common Stock</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supplement updates, amends and supplements the prospectus dated February 13, 2025 (as supplemented or amended from time to time, the “Prospectus”), which forms a part of our Registration Statement on Form S-1 (</w:t>
      </w:r>
      <w:hyperlink r:id="rId10">
        <w:r>
          <w:rPr>
            <w:rFonts w:ascii="Times New Roman" w:cs="Times New Roman" w:eastAsia="Times New Roman" w:hAnsi="Times New Roman"/>
            <w:sz w:val="18"/>
            <w:szCs w:val="18"/>
            <w:u w:val="single" w:color="auto"/>
            <w:color w:val="0000EE"/>
          </w:rPr>
          <w:t>Registration No. 333-284365</w:t>
        </w:r>
      </w:hyperlink>
      <w:r>
        <w:rPr>
          <w:rFonts w:ascii="Times New Roman" w:cs="Times New Roman" w:eastAsia="Times New Roman" w:hAnsi="Times New Roman"/>
          <w:sz w:val="18"/>
          <w:szCs w:val="18"/>
          <w:color w:val="auto"/>
        </w:rPr>
        <w:t>). Capitalized terms used in this prospectus supplement and not otherwise defined herein have the meanings specified in the Prospectus.</w:t>
      </w:r>
    </w:p>
    <w:p>
      <w:pPr>
        <w:spacing w:after="0" w:line="176"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Current Report on Form 8-K/A filed with the SEC on April 15, 2025, which is set forth below.</w:t>
      </w:r>
    </w:p>
    <w:p>
      <w:pPr>
        <w:spacing w:after="0" w:line="162" w:lineRule="exact"/>
        <w:rPr>
          <w:sz w:val="24"/>
          <w:szCs w:val="24"/>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April 15, 2025, the closing prices for our Common Stock and Warrants on the Nasdaq Stock Market LLC were $3.07 per share of Common Stock and $0.29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6 of the Prospectus and other risk factors contained in the documents incorporated by reference therein for a discussion of information that should be considered in connection with an investment in our securities.</w:t>
      </w:r>
    </w:p>
    <w:p>
      <w:pPr>
        <w:spacing w:after="0" w:line="171" w:lineRule="exact"/>
        <w:rPr>
          <w:sz w:val="24"/>
          <w:szCs w:val="24"/>
          <w:color w:val="auto"/>
        </w:rPr>
      </w:pPr>
    </w:p>
    <w:p>
      <w:pPr>
        <w:ind w:right="1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183515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18,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14, 2025 (January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001-41139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86-2708752</w:t>
      </w:r>
    </w:p>
    <w:p>
      <w:pPr>
        <w:spacing w:after="0" w:line="24" w:lineRule="exact"/>
        <w:rPr>
          <w:sz w:val="20"/>
          <w:szCs w:val="20"/>
          <w:color w:val="auto"/>
        </w:rPr>
      </w:pPr>
    </w:p>
    <w:p>
      <w:pPr>
        <w:sectPr>
          <w:pgSz w:w="11900" w:h="16838" w:orient="portrait"/>
          <w:cols w:equalWidth="0" w:num="3">
            <w:col w:w="4524" w:space="720"/>
            <w:col w:w="2860" w:space="720"/>
            <w:col w:w="2200"/>
          </w:cols>
          <w:pgMar w:left="436" w:top="41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spacing w:after="0" w:line="28" w:lineRule="exact"/>
        <w:rPr>
          <w:sz w:val="20"/>
          <w:szCs w:val="20"/>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4659 Golden Foothill Parkway, Suite 206</w:t>
      </w:r>
    </w:p>
    <w:p>
      <w:pPr>
        <w:spacing w:after="0" w:line="43" w:lineRule="exact"/>
        <w:rPr>
          <w:sz w:val="20"/>
          <w:szCs w:val="20"/>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El Dorado Hills, California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95762</w:t>
      </w:r>
    </w:p>
    <w:p>
      <w:pPr>
        <w:spacing w:after="0" w:line="42" w:lineRule="exact"/>
        <w:rPr>
          <w:sz w:val="20"/>
          <w:szCs w:val="20"/>
          <w:color w:val="auto"/>
        </w:rPr>
      </w:pPr>
    </w:p>
    <w:p>
      <w:pPr>
        <w:sectPr>
          <w:pgSz w:w="11900" w:h="16838" w:orient="portrait"/>
          <w:cols w:equalWidth="0" w:num="2">
            <w:col w:w="7404" w:space="720"/>
            <w:col w:w="2900"/>
          </w:cols>
          <w:pgMar w:left="436" w:top="41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0"/>
          <w:szCs w:val="20"/>
          <w:color w:val="auto"/>
        </w:rPr>
      </w:pPr>
    </w:p>
    <w:p>
      <w:pPr>
        <w:sectPr>
          <w:pgSz w:w="11900" w:h="16838" w:orient="portrait"/>
          <w:cols w:equalWidth="0" w:num="2">
            <w:col w:w="7284" w:space="720"/>
            <w:col w:w="3020"/>
          </w:cols>
          <w:pgMar w:left="436" w:top="41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INTRODUCTORY NOTE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Amendment No. 2 to the Current Report on Form 8-K/A is being filed with the Securities and Exchange Commission (“SEC”) to amend the Current Report filed by Blaize Holdings, Inc. (the “Company”) on January 17, 2025 (as amended on February 7, 2025, the “Existing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this Amendment No. 2 to the Existing 8-K to include:</w:t>
      </w:r>
    </w:p>
    <w:p>
      <w:pPr>
        <w:spacing w:after="0" w:line="131" w:lineRule="exact"/>
        <w:rPr>
          <w:sz w:val="20"/>
          <w:szCs w:val="20"/>
          <w:color w:val="auto"/>
        </w:rPr>
      </w:pPr>
    </w:p>
    <w:p>
      <w:pPr>
        <w:ind w:left="960" w:right="3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Blaize, Inc. (“Blaize”), as of and for the years ended December 31, 2024 and 2023 as Exhibit 99.1;</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of the Company and Blaize as of and for the year ended December 31, 2024 as Exhibit 99.2; and</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Management’s Discussion and Analysis of Financial Conditions and Results of Operations of Blaize as of and for the years ended December 31, 2024 and 2023 as Exhibit 99.3.</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Amendment No. 2 does not amend any other item of the Existing 8-K or purport to provide an update or a discussion of any developments at the Company or its subsidiaries subsequent to the filing date of the Existing 8-K. The Existing 8-K remains unchanged.</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Blaize as of and for the years ended December 31, 2024 and 2023, and the related notes thereto, are attached as Exhibit 99.1 hereto and are incorporated herein by reference.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of Blaize as of and for the years ended December 31, 2024 and 2023 is attached hereto as Exhibit 99.3 and incorporated herein by reference.</w:t>
      </w:r>
    </w:p>
    <w:p>
      <w:pPr>
        <w:spacing w:after="0" w:line="310"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1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of the Company and Blaize as of and for the year ended December 31, 2024 is attached hereto as Exhibit 99.2 and incorporated herein by reference.</w:t>
      </w:r>
    </w:p>
    <w:p>
      <w:pPr>
        <w:spacing w:after="0" w:line="310"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6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1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Audited consolidated financial statements of Blaize, Inc., as of and for the years ended December 31, 2024 and 2023.</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3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Unaudited Pro Forma Condensed Combined Financial Information of Blaize Holdings, Inc. and Blaize, Inc. as of and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3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3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Conditions and Results of Operations of Blaize, Inc. as of and for the years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3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66"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 the Years Ended December 31, 2024 and 2023</w:t>
      </w:r>
    </w:p>
    <w:p>
      <w:pPr>
        <w:sectPr>
          <w:pgSz w:w="11900" w:h="16838" w:orient="portrait"/>
          <w:cols w:equalWidth="0" w:num="1">
            <w:col w:w="10020"/>
          </w:cols>
          <w:pgMar w:left="1440" w:top="266"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0"/>
        </w:trPr>
        <w:tc>
          <w:tcPr>
            <w:tcW w:w="10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00" w:type="dxa"/>
            <w:vAlign w:val="bottom"/>
          </w:tcPr>
          <w:p>
            <w:pPr>
              <w:spacing w:after="0"/>
              <w:rPr>
                <w:sz w:val="19"/>
                <w:szCs w:val="19"/>
                <w:color w:val="auto"/>
              </w:rPr>
            </w:pP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Redeemable Convertible Preferred Stock and Stockholders’ Deficit for the Years Ended December 31, 2024 and</w:t>
            </w:r>
          </w:p>
        </w:tc>
        <w:tc>
          <w:tcPr>
            <w:tcW w:w="600" w:type="dxa"/>
            <w:vAlign w:val="bottom"/>
          </w:tcPr>
          <w:p>
            <w:pPr>
              <w:spacing w:after="0"/>
              <w:rPr>
                <w:sz w:val="18"/>
                <w:szCs w:val="18"/>
                <w:color w:val="auto"/>
              </w:rPr>
            </w:pPr>
          </w:p>
        </w:tc>
      </w:tr>
      <w:tr>
        <w:trPr>
          <w:trHeight w:val="216"/>
        </w:trPr>
        <w:tc>
          <w:tcPr>
            <w:tcW w:w="10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364"/>
        </w:trPr>
        <w:tc>
          <w:tcPr>
            <w:tcW w:w="10360" w:type="dxa"/>
            <w:vAlign w:val="bottom"/>
          </w:tcPr>
          <w:p>
            <w:pPr>
              <w:ind w:left="5460"/>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6" w:name="page7"/>
    <w:bookmarkEnd w:id="6"/>
    <w:p>
      <w:pPr>
        <w:ind w:left="2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Inc. and Subsidiaries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p>
      <w:pPr>
        <w:sectPr>
          <w:pgSz w:w="11900" w:h="16838" w:orient="portrait"/>
          <w:cols w:equalWidth="0" w:num="1">
            <w:col w:w="10980"/>
          </w:cols>
          <w:pgMar w:left="440" w:top="266" w:right="47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w:t>
      </w:r>
    </w:p>
    <w:p>
      <w:pPr>
        <w:sectPr>
          <w:pgSz w:w="11900" w:h="16838" w:orient="portrait"/>
          <w:cols w:equalWidth="0" w:num="1">
            <w:col w:w="10880"/>
          </w:cols>
          <w:pgMar w:left="440" w:top="270" w:right="579" w:bottom="1440" w:gutter="0" w:footer="0" w:header="0"/>
        </w:sectPr>
      </w:pPr>
    </w:p>
    <w:bookmarkStart w:id="8" w:name="page9"/>
    <w:bookmarkEnd w:id="8"/>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14,925</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7,464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14,641</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47,876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2024 and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 44,494,703 shares issued and outstanding at December 31, 2024 and 2023, respectively; liquidation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of $173,347 as of December 31, 2024 and 2023, respectively</w:t>
            </w: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173,347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173,347</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 respectively;</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17,519,999 and 17,454,353 shares issued and outstanding as of December 31, 2024 and 2023, respectively</w:t>
            </w:r>
          </w:p>
        </w:tc>
        <w:tc>
          <w:tcPr>
            <w:tcW w:w="8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141,496</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(429,251)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(368,056)</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(283,810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0"/>
        </w:trPr>
        <w:tc>
          <w:tcPr>
            <w:tcW w:w="9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23"/>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(88,187)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17,476,105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4,213,244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w:t>
      </w:r>
    </w:p>
    <w:p>
      <w:pPr>
        <w:sectPr>
          <w:pgSz w:w="11900" w:h="16838" w:orient="portrait"/>
          <w:cols w:equalWidth="0" w:num="1">
            <w:col w:w="11020"/>
          </w:cols>
          <w:pgMar w:left="440" w:top="266" w:right="439" w:bottom="1440" w:gutter="0" w:footer="0" w:header="0"/>
        </w:sectPr>
      </w:pPr>
    </w:p>
    <w:bookmarkStart w:id="10" w:name="page11"/>
    <w:bookmarkEnd w:id="10"/>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640" w:type="dxa"/>
            <w:vAlign w:val="bottom"/>
          </w:tcPr>
          <w:p>
            <w:pPr>
              <w:spacing w:after="0"/>
              <w:rPr>
                <w:sz w:val="3"/>
                <w:szCs w:val="3"/>
                <w:color w:val="auto"/>
              </w:rPr>
            </w:pPr>
          </w:p>
        </w:tc>
        <w:tc>
          <w:tcPr>
            <w:tcW w:w="178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3"/>
                <w:szCs w:val="3"/>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64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2"/>
                <w:szCs w:val="12"/>
                <w:color w:val="auto"/>
              </w:rPr>
            </w:pP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7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80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16,498,279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6,143,294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209,928</w:t>
            </w:r>
          </w:p>
        </w:tc>
        <w:tc>
          <w:tcPr>
            <w:tcW w:w="2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(280,467)</w:t>
            </w:r>
          </w:p>
        </w:tc>
        <w:tc>
          <w:tcPr>
            <w:tcW w:w="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Shadow Preferred in</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Pay-to-Play Pull</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Through Exchange at redemption</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27,996,424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109,327</w:t>
            </w: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(2,799,634)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(109,327)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(109,327)</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common stock in</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rights offering</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8,109,693</w:t>
            </w:r>
          </w:p>
        </w:tc>
        <w:tc>
          <w:tcPr>
            <w:tcW w:w="2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35,771</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financing charge on</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44,494,703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17,454,353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124,225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141,496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(368,056)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65,646</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44,494,703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17,519,999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124,225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145,441</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(429,251)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(283,810)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w:t>
      </w:r>
    </w:p>
    <w:p>
      <w:pPr>
        <w:sectPr>
          <w:pgSz w:w="11900" w:h="16838" w:orient="portrait"/>
          <w:cols w:equalWidth="0" w:num="1">
            <w:col w:w="11020"/>
          </w:cols>
          <w:pgMar w:left="440" w:top="266" w:right="439" w:bottom="1440" w:gutter="0" w:footer="0" w:header="0"/>
        </w:sectPr>
      </w:pPr>
    </w:p>
    <w:bookmarkStart w:id="11" w:name="page12"/>
    <w:bookmarkEnd w:id="11"/>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Credit loss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Noncash loss on lease termination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(27,955)</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92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Pay-to-Play convertible notes and Common Rights Offering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110,718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 term demand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 term demand notes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2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101,709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Shadow Preferred in Pay-to-Play Pull Through Exchange at redemption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109,327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acquired in accounts payable &amp;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 gain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deferred offering costs included in accounting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ectPr>
          <w:pgSz w:w="11900" w:h="16838" w:orient="portrait"/>
          <w:cols w:equalWidth="0" w:num="1">
            <w:col w:w="11020"/>
          </w:cols>
          <w:pgMar w:left="440" w:top="266" w:right="439" w:bottom="1440" w:gutter="0" w:footer="0" w:header="0"/>
        </w:sectPr>
      </w:pP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w:t>
      </w:r>
    </w:p>
    <w:p>
      <w:pPr>
        <w:sectPr>
          <w:pgSz w:w="11900" w:h="16838" w:orient="portrait"/>
          <w:cols w:equalWidth="0" w:num="1">
            <w:col w:w="11020"/>
          </w:cols>
          <w:pgMar w:left="440" w:top="266" w:right="4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of BurTech (the “Sponsor”) and with the close of the Merger either BurTech LP LLC or its affiliated entities, has remained a significant shareholder in Blaize Holdings.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exchange and other financing-related matters associated with the Merger are summarized as follows: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w:t>
      </w:r>
    </w:p>
    <w:p>
      <w:pPr>
        <w:sectPr>
          <w:pgSz w:w="11900" w:h="16838" w:orient="portrait"/>
          <w:cols w:equalWidth="0" w:num="1">
            <w:col w:w="10980"/>
          </w:cols>
          <w:pgMar w:left="440" w:top="266" w:right="479" w:bottom="1440" w:gutter="0" w:footer="0" w:header="0"/>
        </w:sectPr>
      </w:pPr>
    </w:p>
    <w:bookmarkStart w:id="13" w:name="page14"/>
    <w:bookmarkEnd w:id="1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Promissory Notes and Equity</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Immediately before the closing of the Merger, the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183"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w:t>
      </w:r>
    </w:p>
    <w:p>
      <w:pPr>
        <w:spacing w:after="0" w:line="1" w:lineRule="exact"/>
        <w:rPr>
          <w:sz w:val="20"/>
          <w:szCs w:val="20"/>
          <w:color w:val="auto"/>
        </w:rPr>
      </w:pPr>
    </w:p>
    <w:p>
      <w:pPr>
        <w:ind w:left="4" w:right="460" w:hanging="4"/>
        <w:spacing w:after="0" w:line="290" w:lineRule="auto"/>
        <w:tabs>
          <w:tab w:leader="none" w:pos="2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1" w:lineRule="exact"/>
        <w:rPr>
          <w:sz w:val="20"/>
          <w:szCs w:val="20"/>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207"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10</w:t>
      </w:r>
    </w:p>
    <w:p>
      <w:pPr>
        <w:sectPr>
          <w:pgSz w:w="11900" w:h="16838" w:orient="portrait"/>
          <w:cols w:equalWidth="0" w:num="1">
            <w:col w:w="10984"/>
          </w:cols>
          <w:pgMar w:left="436" w:top="266" w:right="4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Merger: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Blaize Warrants</w:t>
      </w:r>
    </w:p>
    <w:p>
      <w:pPr>
        <w:spacing w:after="0" w:line="121"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Merger, 28,750,000 of public warrants and 898,250 of private warrants of BurTech that were outstanding immediately before to the Merger became warrants of Blaize Holdings.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Sponsor Note</w:t>
      </w:r>
    </w:p>
    <w:p>
      <w:pPr>
        <w:spacing w:after="0" w:line="121"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w:t>
      </w:r>
    </w:p>
    <w:p>
      <w:pPr>
        <w:sectPr>
          <w:pgSz w:w="11900" w:h="16838" w:orient="portrait"/>
          <w:cols w:equalWidth="0" w:num="1">
            <w:col w:w="10980"/>
          </w:cols>
          <w:pgMar w:left="440" w:top="266" w:right="479" w:bottom="1440" w:gutter="0" w:footer="0" w:header="0"/>
        </w:sectPr>
      </w:pPr>
    </w:p>
    <w:bookmarkStart w:id="15" w:name="page16"/>
    <w:bookmarkEnd w:id="15"/>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71120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81" w:lineRule="exact"/>
        <w:rPr>
          <w:sz w:val="20"/>
          <w:szCs w:val="20"/>
          <w:color w:val="auto"/>
        </w:rPr>
      </w:pPr>
    </w:p>
    <w:p>
      <w:pPr>
        <w:ind w:left="980" w:right="140" w:hanging="33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its operations represent the ongoing operations of the combined entity.</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greatest voting interest in the combined entity.</w:t>
      </w:r>
    </w:p>
    <w:p>
      <w:pPr>
        <w:spacing w:after="0" w:line="130" w:lineRule="exact"/>
        <w:rPr>
          <w:rFonts w:ascii="Times New Roman" w:cs="Times New Roman" w:eastAsia="Times New Roman" w:hAnsi="Times New Roman"/>
          <w:sz w:val="18"/>
          <w:szCs w:val="18"/>
          <w:color w:val="auto"/>
        </w:rPr>
      </w:pPr>
    </w:p>
    <w:p>
      <w:pPr>
        <w:ind w:left="980" w:right="60" w:hanging="33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ability to control decisions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5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12</w:t>
      </w:r>
    </w:p>
    <w:p>
      <w:pPr>
        <w:sectPr>
          <w:pgSz w:w="11900" w:h="16838" w:orient="portrait"/>
          <w:cols w:equalWidth="0" w:num="1">
            <w:col w:w="10520"/>
          </w:cols>
          <w:pgMar w:left="880" w:top="266" w:right="4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1420" w:hanging="3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named Blaize Holdings, Inc., i.e. the combined entity has assumed Blaize’s name.</w:t>
      </w:r>
    </w:p>
    <w:p>
      <w:pPr>
        <w:spacing w:after="0" w:line="11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going concern through a year from the date these consolidated financial statements are available to be issued.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w:t>
      </w:r>
    </w:p>
    <w:p>
      <w:pPr>
        <w:sectPr>
          <w:pgSz w:w="11900" w:h="16838" w:orient="portrait"/>
          <w:cols w:equalWidth="0" w:num="1">
            <w:col w:w="11020"/>
          </w:cols>
          <w:pgMar w:left="440" w:top="266" w:right="4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cash and cash equivalents balances in excess of domestic and international insurance limits of approximately $49.3 million and $2.2 million, respectively.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w:t>
      </w:r>
    </w:p>
    <w:p>
      <w:pPr>
        <w:sectPr>
          <w:pgSz w:w="11900" w:h="16838" w:orient="portrait"/>
          <w:cols w:equalWidth="0" w:num="1">
            <w:col w:w="10960"/>
          </w:cols>
          <w:pgMar w:left="440" w:top="266" w:right="4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following estimated useful lives: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18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w:t>
      </w:r>
    </w:p>
    <w:p>
      <w:pPr>
        <w:sectPr>
          <w:pgSz w:w="11900" w:h="16838" w:orient="portrait"/>
          <w:cols w:equalWidth="0" w:num="1">
            <w:col w:w="11020"/>
          </w:cols>
          <w:pgMar w:left="440" w:top="266" w:right="4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w:t>
      </w:r>
    </w:p>
    <w:p>
      <w:pPr>
        <w:sectPr>
          <w:pgSz w:w="11900" w:h="16838" w:orient="portrait"/>
          <w:cols w:equalWidth="0" w:num="1">
            <w:col w:w="11000"/>
          </w:cols>
          <w:pgMar w:left="440" w:top="266"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8"/>
          <w:szCs w:val="18"/>
          <w:i w:val="1"/>
          <w:iCs w:val="1"/>
          <w:color w:val="auto"/>
        </w:rPr>
        <w:t>Debt—Debt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xml:space="preserve">(ASU 2020-06). The Company has elected to account for its convertible notes at fair value at each period end pursuant to ASC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wherein changes in the fair value are recorded as change in fair value of convertible notes in the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w:t>
      </w:r>
    </w:p>
    <w:p>
      <w:pPr>
        <w:sectPr>
          <w:pgSz w:w="11900" w:h="16838" w:orient="portrait"/>
          <w:cols w:equalWidth="0" w:num="1">
            <w:col w:w="10980"/>
          </w:cols>
          <w:pgMar w:left="440" w:top="266"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w:t>
      </w:r>
    </w:p>
    <w:p>
      <w:pPr>
        <w:sectPr>
          <w:pgSz w:w="11900" w:h="16838" w:orient="portrait"/>
          <w:cols w:equalWidth="0" w:num="1">
            <w:col w:w="11000"/>
          </w:cols>
          <w:pgMar w:left="440" w:top="266" w:right="4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$ 1,830</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(1,100)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$ 1,100</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were immaterial for the years ended December 31, 2024 and 2023,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w:t>
      </w:r>
    </w:p>
    <w:p>
      <w:pPr>
        <w:sectPr>
          <w:pgSz w:w="11900" w:h="16838" w:orient="portrait"/>
          <w:cols w:equalWidth="0" w:num="1">
            <w:col w:w="10980"/>
          </w:cols>
          <w:pgMar w:left="440" w:top="266" w:right="4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requires fair value measurements be classified and disclosed in one of the following pricing categories:</w:t>
      </w:r>
    </w:p>
    <w:p>
      <w:pPr>
        <w:spacing w:after="0" w:line="16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58"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for which all significant inputs are observable or can be corroborated by observable market data, either directly or indirectly, for substantially the full term of the asset or liability.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w:t>
      </w:r>
    </w:p>
    <w:p>
      <w:pPr>
        <w:sectPr>
          <w:pgSz w:w="11900" w:h="16838" w:orient="portrait"/>
          <w:cols w:equalWidth="0" w:num="1">
            <w:col w:w="11000"/>
          </w:cols>
          <w:pgMar w:left="440" w:top="266" w:right="4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two customers, both related parties, accounted for approximately 77% and 21% of the Company’s revenue.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one customer, a related party, accounted for nearly 100% of the Company’s revenue (see Note 13).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w:t>
      </w:r>
    </w:p>
    <w:p>
      <w:pPr>
        <w:sectPr>
          <w:pgSz w:w="11900" w:h="16838" w:orient="portrait"/>
          <w:cols w:equalWidth="0" w:num="1">
            <w:col w:w="10960"/>
          </w:cols>
          <w:pgMar w:left="440" w:top="266" w:right="499" w:bottom="1440" w:gutter="0" w:footer="0" w:header="0"/>
        </w:sectPr>
      </w:pPr>
    </w:p>
    <w:bookmarkStart w:id="25" w:name="page26"/>
    <w:bookmarkEnd w:id="2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right="260"/>
        <w:spacing w:after="0" w:line="272"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w:t>
      </w:r>
    </w:p>
    <w:p>
      <w:pPr>
        <w:spacing w:after="0" w:line="2"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color w:val="auto"/>
        </w:rPr>
        <w:t>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4" w:right="100"/>
        <w:spacing w:after="0" w:line="269" w:lineRule="auto"/>
        <w:rPr>
          <w:sz w:val="20"/>
          <w:szCs w:val="20"/>
          <w:color w:val="auto"/>
        </w:rPr>
      </w:pPr>
      <w:r>
        <w:rPr>
          <w:rFonts w:ascii="Times New Roman" w:cs="Times New Roman" w:eastAsia="Times New Roman" w:hAnsi="Times New Roman"/>
          <w:sz w:val="17"/>
          <w:szCs w:val="17"/>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4" w:right="20" w:hanging="4"/>
        <w:spacing w:after="0" w:line="26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180"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The FASB issued authoritative guidance that clarifies that an acquirer of a business should recognize and measure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22</w:t>
      </w:r>
    </w:p>
    <w:p>
      <w:pPr>
        <w:sectPr>
          <w:pgSz w:w="11900" w:h="16838" w:orient="portrait"/>
          <w:cols w:equalWidth="0" w:num="1">
            <w:col w:w="10984"/>
          </w:cols>
          <w:pgMar w:left="436" w:top="266" w:right="4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8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2024 and 2023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4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4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1,554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220" w:type="dxa"/>
            <w:vAlign w:val="bottom"/>
            <w:vMerge w:val="restart"/>
          </w:tcPr>
          <w:p>
            <w:pPr>
              <w:jc w:val="right"/>
              <w:ind w:right="2575"/>
              <w:spacing w:after="0"/>
              <w:rPr>
                <w:sz w:val="20"/>
                <w:szCs w:val="20"/>
                <w:color w:val="auto"/>
              </w:rPr>
            </w:pPr>
            <w:r>
              <w:rPr>
                <w:rFonts w:ascii="Times New Roman" w:cs="Times New Roman" w:eastAsia="Times New Roman" w:hAnsi="Times New Roman"/>
                <w:sz w:val="18"/>
                <w:szCs w:val="18"/>
                <w:b w:val="1"/>
                <w:bCs w:val="1"/>
                <w:color w:val="auto"/>
              </w:rPr>
              <w:t>23</w:t>
            </w: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2024 and 2023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3,840</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1,554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3,856</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70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0"/>
        </w:trPr>
        <w:tc>
          <w:tcPr>
            <w:tcW w:w="7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30,580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44,894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163,340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24</w:t>
      </w:r>
    </w:p>
    <w:p>
      <w:pPr>
        <w:sectPr>
          <w:pgSz w:w="11900" w:h="16838" w:orient="portrait"/>
          <w:cols w:equalWidth="0" w:num="1">
            <w:col w:w="10980"/>
          </w:cols>
          <w:pgMar w:left="440" w:top="266" w:right="479" w:bottom="1440" w:gutter="0" w:footer="0" w:header="0"/>
        </w:sectPr>
      </w:pPr>
    </w:p>
    <w:bookmarkStart w:id="28" w:name="page29"/>
    <w:bookmarkEnd w:id="2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2024 and 2023 was as follows (in thousands):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Pay-to-Play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3"/>
                <w:szCs w:val="13"/>
                <w:color w:val="auto"/>
              </w:rPr>
            </w:pPr>
          </w:p>
        </w:tc>
        <w:tc>
          <w:tcPr>
            <w:tcW w:w="9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Warrant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w w:val="99"/>
              </w:rPr>
              <w:t>Convertible</w:t>
            </w:r>
          </w:p>
        </w:tc>
        <w:tc>
          <w:tcPr>
            <w:tcW w:w="3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notes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105,902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110,718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15,723</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14,711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with the Merger on January 13, 2025, all outstanding convertible notes and outstanding warrant liabilities were converted (see Note 1).</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25</w:t>
      </w:r>
    </w:p>
    <w:p>
      <w:pPr>
        <w:sectPr>
          <w:pgSz w:w="11900" w:h="16838" w:orient="portrait"/>
          <w:cols w:equalWidth="0" w:num="1">
            <w:col w:w="10840"/>
          </w:cols>
          <w:pgMar w:left="440" w:top="266" w:right="619" w:bottom="1440" w:gutter="0" w:footer="0" w:header="0"/>
        </w:sectPr>
      </w:pPr>
    </w:p>
    <w:bookmarkStart w:id="29" w:name="page30"/>
    <w:bookmarkEnd w:id="29"/>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1,064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1,542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7,410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4,964</w:t>
            </w: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8,561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6,522</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$ 13,108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(14,751)</w:t>
            </w: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2,081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1,555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and amortization expense of property and equipment was $0.9 million and $2.0 million, respectively.</w:t>
      </w:r>
    </w:p>
    <w:p>
      <w:pPr>
        <w:spacing w:after="0" w:line="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26</w:t>
      </w:r>
    </w:p>
    <w:p>
      <w:pPr>
        <w:sectPr>
          <w:pgSz w:w="11900" w:h="16838" w:orient="portrait"/>
          <w:cols w:equalWidth="0" w:num="1">
            <w:col w:w="10220"/>
          </w:cols>
          <w:pgMar w:left="440" w:top="266" w:right="12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2,104</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7,464</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accrued loss on purchase commitments were $0.6 million and $3.6 million, respectively (see Note 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1,613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1,938</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39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$(64,690)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3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(62,147)</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60" w:type="dxa"/>
            <w:vAlign w:val="bottom"/>
            <w:vMerge w:val="restart"/>
          </w:tcPr>
          <w:p>
            <w:pPr>
              <w:jc w:val="right"/>
              <w:ind w:right="2219"/>
              <w:spacing w:after="0"/>
              <w:rPr>
                <w:sz w:val="20"/>
                <w:szCs w:val="20"/>
                <w:color w:val="auto"/>
              </w:rPr>
            </w:pPr>
            <w:r>
              <w:rPr>
                <w:rFonts w:ascii="Times New Roman" w:cs="Times New Roman" w:eastAsia="Times New Roman" w:hAnsi="Times New Roman"/>
                <w:sz w:val="18"/>
                <w:szCs w:val="18"/>
                <w:b w:val="1"/>
                <w:bCs w:val="1"/>
                <w:color w:val="auto"/>
              </w:rPr>
              <w:t>27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66" w:right="5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components of the benefit from income taxes consists of the following for the years ended December 31, 2024 and 2023 (in thousands):</w:t>
      </w:r>
    </w:p>
    <w:p>
      <w:pPr>
        <w:spacing w:after="0" w:line="25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56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4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(1,124)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4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(598)</w:t>
            </w: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2024 and 2023 ($ in thousands):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80" w:type="dxa"/>
            <w:vAlign w:val="bottom"/>
          </w:tcPr>
          <w:p>
            <w:pPr>
              <w:spacing w:after="0"/>
              <w:rPr>
                <w:sz w:val="12"/>
                <w:szCs w:val="12"/>
                <w:color w:val="auto"/>
              </w:rPr>
            </w:pPr>
          </w:p>
        </w:tc>
        <w:tc>
          <w:tcPr>
            <w:tcW w:w="104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(62,147)</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(88,187)</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(13,049)</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(18,522)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Gain on remeasurement of warrant liability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3,302</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7,525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802</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3,620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410</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10,290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7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55,739</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45,600</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R&amp;D Sec 174</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9,533</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(75,826)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(60,937)</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w:t>
      </w:r>
    </w:p>
    <w:p>
      <w:pPr>
        <w:sectPr>
          <w:pgSz w:w="11900" w:h="16838" w:orient="portrait"/>
          <w:cols w:equalWidth="0" w:num="1">
            <w:col w:w="11000"/>
          </w:cols>
          <w:pgMar w:left="440" w:top="266" w:right="4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applied FASB ASC 740-10-50, </w:t>
      </w:r>
      <w:r>
        <w:rPr>
          <w:rFonts w:ascii="Times New Roman" w:cs="Times New Roman" w:eastAsia="Times New Roman" w:hAnsi="Times New Roman"/>
          <w:sz w:val="18"/>
          <w:szCs w:val="18"/>
          <w:i w:val="1"/>
          <w:iCs w:val="1"/>
          <w:color w:val="auto"/>
        </w:rPr>
        <w:t>Accounting for Uncertainty in Income Tax</w:t>
      </w:r>
      <w:r>
        <w:rPr>
          <w:rFonts w:ascii="Times New Roman" w:cs="Times New Roman" w:eastAsia="Times New Roman" w:hAnsi="Times New Roman"/>
          <w:sz w:val="18"/>
          <w:szCs w:val="18"/>
          <w:color w:val="auto"/>
        </w:rPr>
        <w:t>, which prescribes a recognition threshold and measurement attribute for the financial statement recognition and measurement of a tax position taken or expected to be taken in a tax return.</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$4,283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4,283</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w:t>
      </w:r>
    </w:p>
    <w:p>
      <w:pPr>
        <w:sectPr>
          <w:pgSz w:w="11900" w:h="16838" w:orient="portrait"/>
          <w:cols w:equalWidth="0" w:num="1">
            <w:col w:w="10960"/>
          </w:cols>
          <w:pgMar w:left="440" w:top="266" w:right="4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960" w:hanging="424"/>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85" w:lineRule="exact"/>
        <w:rPr>
          <w:rFonts w:ascii="Times New Roman" w:cs="Times New Roman" w:eastAsia="Times New Roman" w:hAnsi="Times New Roman"/>
          <w:sz w:val="18"/>
          <w:szCs w:val="18"/>
          <w:color w:val="auto"/>
        </w:rPr>
      </w:pPr>
    </w:p>
    <w:p>
      <w:pPr>
        <w:ind w:left="960" w:right="40" w:hanging="424"/>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w:t>
      </w:r>
    </w:p>
    <w:p>
      <w:pPr>
        <w:sectPr>
          <w:pgSz w:w="11900" w:h="16838" w:orient="portrait"/>
          <w:cols w:equalWidth="0" w:num="1">
            <w:col w:w="11000"/>
          </w:cols>
          <w:pgMar w:left="440" w:top="266"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P2P notes, the outstanding P2P Notes were converted, at the option of the holders, to common stock upon the execution of the Merger (see Note 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w:t>
      </w:r>
    </w:p>
    <w:p>
      <w:pPr>
        <w:sectPr>
          <w:pgSz w:w="11900" w:h="16838" w:orient="portrait"/>
          <w:cols w:equalWidth="0" w:num="1">
            <w:col w:w="11000"/>
          </w:cols>
          <w:pgMar w:left="440" w:top="266"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960" w:right="220" w:hanging="424"/>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420" w:hanging="331"/>
        <w:spacing w:after="0" w:line="256"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w:t>
      </w:r>
    </w:p>
    <w:p>
      <w:pPr>
        <w:sectPr>
          <w:pgSz w:w="11900" w:h="16838" w:orient="portrait"/>
          <w:cols w:equalWidth="0" w:num="1">
            <w:col w:w="11000"/>
          </w:cols>
          <w:pgMar w:left="440" w:top="266"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1420" w:right="60" w:hanging="331"/>
        <w:spacing w:after="0" w:line="26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420" w:right="40" w:hanging="331"/>
        <w:spacing w:after="0" w:line="312" w:lineRule="auto"/>
        <w:tabs>
          <w:tab w:leader="none" w:pos="14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420" w:right="100" w:hanging="331"/>
        <w:spacing w:after="0" w:line="282"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34</w:t>
      </w:r>
    </w:p>
    <w:p>
      <w:pPr>
        <w:sectPr>
          <w:pgSz w:w="11900" w:h="16838" w:orient="portrait"/>
          <w:cols w:equalWidth="0" w:num="1">
            <w:col w:w="11000"/>
          </w:cols>
          <w:pgMar w:left="440" w:top="266" w:right="4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2024 is as follows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148,629</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(148,629)</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 13). In April 2024, the Company repaid the total outstanding principal and interest of $5.0 million.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35</w:t>
      </w:r>
    </w:p>
    <w:p>
      <w:pPr>
        <w:sectPr>
          <w:pgSz w:w="11900" w:h="16838" w:orient="portrait"/>
          <w:cols w:equalWidth="0" w:num="1">
            <w:col w:w="10980"/>
          </w:cols>
          <w:pgMar w:left="440" w:top="266" w:right="4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Closing Date (see Note 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w:t>
      </w:r>
    </w:p>
    <w:p>
      <w:pPr>
        <w:sectPr>
          <w:pgSz w:w="11900" w:h="16838" w:orient="portrait"/>
          <w:cols w:equalWidth="0" w:num="1">
            <w:col w:w="11020"/>
          </w:cols>
          <w:pgMar w:left="440" w:top="266"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89"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2023 Convertible Notes, the notes remained outstanding and were converted, at the option of the holders, to common stock upon the Closing Date (see Note 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w:t>
      </w:r>
    </w:p>
    <w:p>
      <w:pPr>
        <w:sectPr>
          <w:pgSz w:w="11900" w:h="16838" w:orient="portrait"/>
          <w:cols w:equalWidth="0" w:num="1">
            <w:col w:w="11000"/>
          </w:cols>
          <w:pgMar w:left="440" w:top="266" w:right="459" w:bottom="1440" w:gutter="0" w:footer="0" w:header="0"/>
        </w:sectPr>
      </w:pPr>
    </w:p>
    <w:bookmarkStart w:id="41" w:name="page42"/>
    <w:bookmarkEnd w:id="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execution of the Merger (see Note 1).</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 warrant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7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 at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4"/>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860" w:type="dxa"/>
            <w:vAlign w:val="bottom"/>
            <w:gridSpan w:val="3"/>
            <w:vMerge w:val="continue"/>
          </w:tcPr>
          <w:p>
            <w:pPr>
              <w:spacing w:after="0"/>
              <w:rPr>
                <w:sz w:val="9"/>
                <w:szCs w:val="9"/>
                <w:color w:val="auto"/>
              </w:rPr>
            </w:pPr>
          </w:p>
        </w:tc>
        <w:tc>
          <w:tcPr>
            <w:tcW w:w="6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 Warrants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104.43</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Pre-funded common stock warrants (d)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common stock warrants (e)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10,091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14,712</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0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spacing w:after="0" w:line="2"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jc w:val="both"/>
        <w:ind w:left="424" w:right="60"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spacing w:after="0" w:line="1" w:lineRule="exact"/>
        <w:rPr>
          <w:rFonts w:ascii="Times New Roman" w:cs="Times New Roman" w:eastAsia="Times New Roman" w:hAnsi="Times New Roman"/>
          <w:sz w:val="18"/>
          <w:szCs w:val="18"/>
          <w:color w:val="auto"/>
        </w:rPr>
      </w:pPr>
    </w:p>
    <w:p>
      <w:pPr>
        <w:ind w:left="424" w:right="340" w:hanging="424"/>
        <w:spacing w:after="0" w:line="26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December 31, 2024, the number of warrant shares to be issued in the form of BurTech Class A Common stock is a fixed 4,500,000 shares.</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38</w:t>
      </w:r>
    </w:p>
    <w:p>
      <w:pPr>
        <w:sectPr>
          <w:pgSz w:w="11900" w:h="16838" w:orient="portrait"/>
          <w:cols w:equalWidth="0" w:num="1">
            <w:col w:w="11024"/>
          </w:cols>
          <w:pgMar w:left="436" w:top="266" w:right="4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8"/>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 Reinstatement</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6"/>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gridSpan w:val="6"/>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Warrants</w:t>
            </w:r>
          </w:p>
        </w:tc>
        <w:tc>
          <w:tcPr>
            <w:tcW w:w="720" w:type="dxa"/>
            <w:vAlign w:val="bottom"/>
          </w:tcPr>
          <w:p>
            <w:pPr>
              <w:spacing w:after="0"/>
              <w:rPr>
                <w:sz w:val="12"/>
                <w:szCs w:val="12"/>
                <w:color w:val="auto"/>
              </w:rPr>
            </w:pPr>
          </w:p>
        </w:tc>
        <w:tc>
          <w:tcPr>
            <w:tcW w:w="11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gridSpan w:val="6"/>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- 4.40%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0.04 - 0.72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Warrants issued with P2P Convertible Notes</w:t>
            </w:r>
          </w:p>
        </w:tc>
      </w:tr>
      <w:tr>
        <w:trPr>
          <w:trHeight w:val="142"/>
        </w:trPr>
        <w:tc>
          <w:tcPr>
            <w:tcW w:w="3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40" w:type="dxa"/>
            <w:vAlign w:val="bottom"/>
            <w:tcBorders>
              <w:top w:val="single" w:sz="8" w:color="auto"/>
            </w:tcBorders>
            <w:gridSpan w:val="2"/>
          </w:tcPr>
          <w:p>
            <w:pPr>
              <w:jc w:val="center"/>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40" w:type="dxa"/>
            <w:vAlign w:val="bottom"/>
          </w:tcPr>
          <w:p>
            <w:pPr>
              <w:spacing w:after="0"/>
              <w:rPr>
                <w:sz w:val="12"/>
                <w:szCs w:val="12"/>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4.09% - 4.65%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60" w:type="dxa"/>
            <w:vAlign w:val="bottom"/>
          </w:tcPr>
          <w:p>
            <w:pPr>
              <w:spacing w:after="0"/>
              <w:rPr>
                <w:sz w:val="18"/>
                <w:szCs w:val="18"/>
                <w:color w:val="auto"/>
              </w:rPr>
            </w:pPr>
          </w:p>
        </w:tc>
        <w:tc>
          <w:tcPr>
            <w:tcW w:w="19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66.6% - 71.6%</w:t>
            </w:r>
          </w:p>
        </w:tc>
        <w:tc>
          <w:tcPr>
            <w:tcW w:w="4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tcPr>
          <w:p>
            <w:pPr>
              <w:spacing w:after="0"/>
              <w:rPr>
                <w:sz w:val="18"/>
                <w:szCs w:val="18"/>
                <w:color w:val="auto"/>
              </w:rPr>
            </w:pPr>
          </w:p>
        </w:tc>
        <w:tc>
          <w:tcPr>
            <w:tcW w:w="19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7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760" w:type="dxa"/>
            <w:vAlign w:val="bottom"/>
          </w:tcPr>
          <w:p>
            <w:pPr>
              <w:spacing w:after="0"/>
              <w:rPr>
                <w:sz w:val="20"/>
                <w:szCs w:val="20"/>
                <w:color w:val="auto"/>
              </w:rPr>
            </w:pPr>
          </w:p>
        </w:tc>
        <w:tc>
          <w:tcPr>
            <w:tcW w:w="19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346"/>
        </w:trPr>
        <w:tc>
          <w:tcPr>
            <w:tcW w:w="3080" w:type="dxa"/>
            <w:vAlign w:val="bottom"/>
          </w:tcPr>
          <w:p>
            <w:pPr>
              <w:spacing w:after="0"/>
              <w:rPr>
                <w:sz w:val="24"/>
                <w:szCs w:val="24"/>
                <w:color w:val="auto"/>
              </w:rPr>
            </w:pP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39</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440" w:top="266" w:right="479" w:bottom="1440" w:gutter="0" w:footer="0" w:header="0"/>
        </w:sectPr>
      </w:pPr>
    </w:p>
    <w:bookmarkStart w:id="43" w:name="page44"/>
    <w:bookmarkEnd w:id="4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80" w:type="dxa"/>
            <w:vAlign w:val="bottom"/>
            <w:tcBorders>
              <w:top w:val="single" w:sz="8" w:color="auto"/>
            </w:tcBorders>
            <w:gridSpan w:val="3"/>
          </w:tcPr>
          <w:p>
            <w:pPr>
              <w:jc w:val="right"/>
              <w:ind w:right="9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-4.31%</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-4.79%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w w:val="98"/>
              </w:rPr>
              <w:t>0.04 -1.00 years</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69.8% - 71.6%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immaterial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13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10"/>
        </w:trPr>
        <w:tc>
          <w:tcPr>
            <w:tcW w:w="13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- 5.55%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0.36 - 5.00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61.2% - 73.0%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4.16 - $4.43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13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0.74 - $0.81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41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13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80" w:type="dxa"/>
            <w:vAlign w:val="bottom"/>
            <w:tcBorders>
              <w:top w:val="single" w:sz="8" w:color="auto"/>
            </w:tcBorders>
            <w:gridSpan w:val="5"/>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-4.99%</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-5.26%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0.04 -1.00 years</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0.51 -9.51 years</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69.8% - 73.2%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- 62.8%</w:t>
            </w: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immaterial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13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1.94</w:t>
            </w:r>
          </w:p>
        </w:tc>
        <w:tc>
          <w:tcPr>
            <w:tcW w:w="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probability-weighted approach of scenarios, including the scenarios that the Merger will and will not be consummated.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no Company warrants have been exercised.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provided by the terms of the Merger, the outstanding warrants were converted, at the option of the holders, to common stock upon the Closing Date (see Note 1).</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40</w:t>
      </w:r>
    </w:p>
    <w:p>
      <w:pPr>
        <w:sectPr>
          <w:pgSz w:w="11900" w:h="16838" w:orient="portrait"/>
          <w:cols w:equalWidth="0" w:num="1">
            <w:col w:w="10860"/>
          </w:cols>
          <w:pgMar w:left="440" w:top="266" w:right="59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6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$ 843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6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2024 and 2023 (in thousands):</w:t>
      </w:r>
    </w:p>
    <w:p>
      <w:pPr>
        <w:spacing w:after="0" w:line="36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70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1,008</w:t>
            </w:r>
          </w:p>
        </w:tc>
        <w:tc>
          <w:tcPr>
            <w:tcW w:w="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1,673</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gain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346"/>
        </w:trPr>
        <w:tc>
          <w:tcPr>
            <w:tcW w:w="708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440" w:top="266" w:right="51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Company’s non-cancelable operating leases are as follows (in thousands):</w:t>
      </w:r>
    </w:p>
    <w:p>
      <w:pPr>
        <w:spacing w:after="0" w:line="30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December 31, 2024 and 2023 were as follows (dollars in thousands):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42</w:t>
      </w:r>
    </w:p>
    <w:p>
      <w:pPr>
        <w:sectPr>
          <w:pgSz w:w="11900" w:h="16838" w:orient="portrait"/>
          <w:cols w:equalWidth="0" w:num="1">
            <w:col w:w="10980"/>
          </w:cols>
          <w:pgMar w:left="440" w:top="266" w:right="47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r>
      <w:tr>
        <w:trPr>
          <w:trHeight w:val="173"/>
        </w:trPr>
        <w:tc>
          <w:tcPr>
            <w:tcW w:w="7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16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r>
      <w:tr>
        <w:trPr>
          <w:trHeight w:val="142"/>
        </w:trPr>
        <w:tc>
          <w:tcPr>
            <w:tcW w:w="7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3,183</w:t>
            </w: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48,661</w:t>
            </w: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41,673</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contribution(In thousands)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-768985</wp:posOffset>
            </wp:positionV>
            <wp:extent cx="285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43</w:t>
      </w:r>
    </w:p>
    <w:p>
      <w:pPr>
        <w:sectPr>
          <w:pgSz w:w="11900" w:h="16838" w:orient="portrait"/>
          <w:cols w:equalWidth="0" w:num="1">
            <w:col w:w="10940"/>
          </w:cols>
          <w:pgMar w:left="440" w:top="266" w:right="51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8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w:t>
      </w:r>
    </w:p>
    <w:p>
      <w:pPr>
        <w:sectPr>
          <w:pgSz w:w="11900" w:h="16838" w:orient="portrait"/>
          <w:cols w:equalWidth="0" w:num="1">
            <w:col w:w="10980"/>
          </w:cols>
          <w:pgMar w:left="440" w:top="266" w:right="47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preferred stock was converted to common stock upon the execution of the Merger (see Note 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175,095,000 shares of common stock authorized, respectively, and 17,519,999 and 17,454,353 shares issued and outstanding, respectively.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45</w:t>
      </w:r>
    </w:p>
    <w:p>
      <w:pPr>
        <w:sectPr>
          <w:pgSz w:w="11900" w:h="16838" w:orient="portrait"/>
          <w:cols w:equalWidth="0" w:num="1">
            <w:col w:w="10940"/>
          </w:cols>
          <w:pgMar w:left="440" w:top="266" w:right="519" w:bottom="1440" w:gutter="0" w:footer="0" w:header="0"/>
        </w:sectPr>
      </w:pPr>
    </w:p>
    <w:bookmarkStart w:id="49" w:name="page50"/>
    <w:bookmarkEnd w:id="4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2024 and 2023, is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4,573,935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4,573,935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12,234,661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12,234,661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10,211,548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10,211,548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3,990,707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3,990,707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239,405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239,405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3,662,318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3,662,318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7,561,820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7,561,820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Series D Shadow and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1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41,018,458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21,354,809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2,226,705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839,706</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96,123,126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75,514,616</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8).</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3"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6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46</w:t>
      </w:r>
    </w:p>
    <w:p>
      <w:pPr>
        <w:sectPr>
          <w:pgSz w:w="11900" w:h="16838" w:orient="portrait"/>
          <w:cols w:equalWidth="0" w:num="1">
            <w:col w:w="11024"/>
          </w:cols>
          <w:pgMar w:left="436" w:top="266" w:right="4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based on the Company’s estimated fair value of common stock at the date of grant, as determined by the Board of Directors.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as of December 31, 2024 is as follows: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15,141,280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0.44</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8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21,329,457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0.92</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(1,333,107)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36,363,184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0.99</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35,560,434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5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2024</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9,614,865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1.58</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47</w:t>
      </w:r>
    </w:p>
    <w:p>
      <w:pPr>
        <w:sectPr>
          <w:pgSz w:w="11900" w:h="16838" w:orient="portrait"/>
          <w:cols w:equalWidth="0" w:num="1">
            <w:col w:w="10960"/>
          </w:cols>
          <w:pgMar w:left="440" w:top="266" w:right="4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the 2024 cancellation of 135,400 RSUs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as follows (in thousands):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2,111</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$3,847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2,483</w:t>
            </w: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2024 and 2023 was estimated using the Black-Scholes model with the range of assumptions stated below:</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-4.43%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-4.46%</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5.00 -6.22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5.00 -6.01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56.92% - 57.51%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56.74% - 57.56%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0.88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options were converted into new instruments in accordance with the terms of the Merger (see Note 1).</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48</w:t>
      </w:r>
    </w:p>
    <w:p>
      <w:pPr>
        <w:sectPr>
          <w:pgSz w:w="11900" w:h="16838" w:orient="portrait"/>
          <w:cols w:equalWidth="0" w:num="1">
            <w:col w:w="11020"/>
          </w:cols>
          <w:pgMar w:left="440" w:top="266" w:right="4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6,000,000 RSUs issued to an investor (see Notes 7 and 13), for the years ended December 31, 2024 and 2023 is as follows: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6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(254,555)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RSUs were converted into new instruments in accordance with the terms of the Merger (see Note 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w:t>
      </w:r>
    </w:p>
    <w:p>
      <w:pPr>
        <w:sectPr>
          <w:pgSz w:w="11900" w:h="16838" w:orient="portrait"/>
          <w:cols w:equalWidth="0" w:num="1">
            <w:col w:w="11000"/>
          </w:cols>
          <w:pgMar w:left="440" w:top="266" w:right="4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w:t>
      </w:r>
    </w:p>
    <w:p>
      <w:pPr>
        <w:sectPr>
          <w:pgSz w:w="11900" w:h="16838" w:orient="portrait"/>
          <w:cols w:equalWidth="0" w:num="1">
            <w:col w:w="11000"/>
          </w:cols>
          <w:pgMar w:left="440" w:top="266" w:right="4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on January 13, 2025, the transaction was consummated (see Note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 (i) exclusive strategic advisor in connection with the Business Combination, (ii) sole 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w:t>
      </w:r>
    </w:p>
    <w:p>
      <w:pPr>
        <w:sectPr>
          <w:pgSz w:w="11900" w:h="16838" w:orient="portrait"/>
          <w:cols w:equalWidth="0" w:num="1">
            <w:col w:w="10980"/>
          </w:cols>
          <w:pgMar w:left="440" w:top="266" w:right="4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was due upon the close of the Merger (see Note 1). Under the terms of the agreement, at the discretion of the Company, the advisory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is to be paid in the form of (i) cash and (ii) cash or a combination of cash and shares of common stock of New Blaize at a price of $10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at various dates in 2025. The finder’s fee, equal to a specified percentage of the trust value for the Company’s shares held by investors introduced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advisor, is to be paid fifty percent in cash and fifty-percent in shares of New Blaize at a price of $10.00 per share, concurrent with the close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Meger. The Company recognized $0.6 million associated with the contract as deferred offering costs and accrued liabilities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On the earlier of the date that is six months from the date of the Merger and the date that a Registration Statement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registering the resale of the closing shares is declared effective (the “Reset Date”), if the five day volume weighted average price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five trading days immediately preceding the Reset Date (such price, the “Reset Price”) is less than $10 per share (subject to a $1.00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within two days the Company shall issue an additional number of common shares equal to the number obtained by dividing (i) the product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held as of the Reset Date and $10.00 by (ii) the Reset Price, less the number of sharing shares held, provided that the additional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exceed 300,000.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w:t>
      </w:r>
    </w:p>
    <w:p>
      <w:pPr>
        <w:sectPr>
          <w:pgSz w:w="11900" w:h="16838" w:orient="portrait"/>
          <w:cols w:equalWidth="0" w:num="1">
            <w:col w:w="10980"/>
          </w:cols>
          <w:pgMar w:left="440" w:top="266" w:right="47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 $0.3 million, respectively. During the years ended December 31, 2024 and 2023, the change in fair value for the P2P Note equaled $0.3 million and $0.9 million, respectively (see Note 4). During the years ended December 31, 2024 and 2023, the change in fair value for P2P Warrants equaled $0.3 million and $32,000 respectively (see Note 4).</w:t>
      </w:r>
    </w:p>
    <w:p>
      <w:pPr>
        <w:spacing w:after="0" w:line="18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$0.3 million of marketing expenses paid to a Company owned by a direct family member of a minority stockholder and Company board of director.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17,476,105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57" w:name="page58"/>
    <w:bookmarkEnd w:id="5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36,363,184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16,437,980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4,655,274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4,916,829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93,896,421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7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due to the variable settlement terms (see Note 8).</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providing this benefit is determined through an actuarial valuation at each reporting date. The benefit plan provides for lump sum payments to vested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employees on retirement, death while in service or on termination of employment for an amount equivalent to 15 days of basic salary for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completed year of service. Vesting occurs upon completion of five years of service. The present value of such obligation is determined by the projected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 credit method and adjusted for past service cost and fair value of plan assets as at the balance sheet date through which the obligations are to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settled. The actuarial gain or loss on change in present value of the defined benefit obligation or change in return of the plan assets is recognized as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income or expense in the consolidated statement of operations. The expected return on plan assets is based on the assumed rate of return of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assets. As of December 31, 2024 and 2023, the related liability is included within accrued compensation and other liabilities on the consolidated balance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sheets.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54</w:t>
      </w:r>
    </w:p>
    <w:p>
      <w:pPr>
        <w:sectPr>
          <w:pgSz w:w="11900" w:h="16838" w:orient="portrait"/>
          <w:cols w:equalWidth="0" w:num="1">
            <w:col w:w="10984"/>
          </w:cols>
          <w:pgMar w:left="436" w:top="266" w:right="479" w:bottom="1440" w:gutter="0" w:footer="0" w:header="0"/>
        </w:sectPr>
      </w:pPr>
    </w:p>
    <w:bookmarkStart w:id="58" w:name="page59"/>
    <w:bookmarkEnd w:id="58"/>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Net loss for the years ended December 31, 2024 and 2023 is as follows (in thousands):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23,773</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49,454</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9,574</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(61,195</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224" w:right="520" w:hanging="224"/>
        <w:spacing w:after="0" w:line="282" w:lineRule="auto"/>
        <w:tabs>
          <w:tab w:leader="none" w:pos="2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loss includes marketing expense, professional fees, income tax expense, facilities costs, foreign currency exchange gains and losses, credit loss, and other overhead expenses.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Long-lived and ROU assets located in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Asia Pacific and United Kingdon region were as follows:</w:t>
      </w:r>
    </w:p>
    <w:p>
      <w:pPr>
        <w:spacing w:after="0" w:line="21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542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80" w:type="dxa"/>
            <w:vAlign w:val="bottom"/>
          </w:tcPr>
          <w:p>
            <w:pPr>
              <w:spacing w:after="0"/>
              <w:rPr>
                <w:sz w:val="15"/>
                <w:szCs w:val="15"/>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8"/>
              </w:rPr>
              <w:t>1,175</w:t>
            </w:r>
          </w:p>
        </w:tc>
        <w:tc>
          <w:tcPr>
            <w:tcW w:w="2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54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January 13, 2025, the Company consummated the Merger (See Note 1 “Description of Business”).</w:t>
      </w:r>
    </w:p>
    <w:p>
      <w:pPr>
        <w:spacing w:after="0" w:line="225" w:lineRule="exact"/>
        <w:rPr>
          <w:sz w:val="20"/>
          <w:szCs w:val="20"/>
          <w:color w:val="auto"/>
        </w:rPr>
      </w:pPr>
    </w:p>
    <w:p>
      <w:pPr>
        <w:ind w:left="4" w:right="40"/>
        <w:spacing w:after="0" w:line="273" w:lineRule="auto"/>
        <w:rPr>
          <w:sz w:val="20"/>
          <w:szCs w:val="20"/>
          <w:color w:val="auto"/>
        </w:rPr>
      </w:pPr>
      <w:r>
        <w:rPr>
          <w:rFonts w:ascii="Times New Roman" w:cs="Times New Roman" w:eastAsia="Times New Roman" w:hAnsi="Times New Roman"/>
          <w:sz w:val="17"/>
          <w:szCs w:val="17"/>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10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55</w:t>
      </w:r>
    </w:p>
    <w:p>
      <w:pPr>
        <w:sectPr>
          <w:pgSz w:w="11900" w:h="16838" w:orient="portrait"/>
          <w:cols w:equalWidth="0" w:num="1">
            <w:col w:w="10884"/>
          </w:cols>
          <w:pgMar w:left="436" w:top="266" w:right="579" w:bottom="1440" w:gutter="0" w:footer="0" w:header="0"/>
        </w:sectPr>
      </w:pPr>
    </w:p>
    <w:bookmarkStart w:id="59" w:name="page60"/>
    <w:bookmarkEnd w:id="59"/>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January 2025 the Company received $15.4 million in funding in accordance with the PIPE Subscription Agreements (see Note 1).</w:t>
      </w:r>
    </w:p>
    <w:p>
      <w:pPr>
        <w:spacing w:after="0" w:line="16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56</w:t>
      </w:r>
    </w:p>
    <w:p>
      <w:pPr>
        <w:sectPr>
          <w:pgSz w:w="11900" w:h="16838" w:orient="portrait"/>
          <w:cols w:equalWidth="0" w:num="1">
            <w:col w:w="10019"/>
          </w:cols>
          <w:pgMar w:left="440" w:top="266"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3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to “Blaize,” “we,” “us,” “our” and “the Company” in this section are to the business and operations of Blaize, Inc. prior to the Business Combination and to Blaize Holdings, Inc. following the consummation of the Business Combination.</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Introduction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Description of the Business Combination</w:t>
      </w:r>
    </w:p>
    <w:p>
      <w:pPr>
        <w:spacing w:after="0" w:line="121"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equity exchange and financing related matters associated with the Business Combination are summarized as follows:</w:t>
      </w:r>
    </w:p>
    <w:p>
      <w:pPr>
        <w:spacing w:after="0" w:line="131" w:lineRule="exact"/>
        <w:rPr>
          <w:sz w:val="20"/>
          <w:szCs w:val="20"/>
          <w:color w:val="auto"/>
        </w:rPr>
      </w:pPr>
    </w:p>
    <w:p>
      <w:pPr>
        <w:ind w:left="960" w:right="160" w:hanging="532"/>
        <w:spacing w:after="0" w:line="25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w:t>
      </w:r>
    </w:p>
    <w:p>
      <w:pPr>
        <w:spacing w:after="0" w:line="92"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61" w:name="page62"/>
    <w:bookmarkEnd w:id="61"/>
    <w:p>
      <w:pPr>
        <w:ind w:left="540" w:right="20" w:hanging="532"/>
        <w:spacing w:after="0" w:line="25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Effective Time, by virtue of the Business Combination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Company Base Merger Consideration, by (b) the Aggregate Company Shares (the “Per Company Share Merger Consideration”).</w:t>
      </w:r>
    </w:p>
    <w:p>
      <w:pPr>
        <w:spacing w:after="0" w:line="92"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w:t>
      </w:r>
    </w:p>
    <w:p>
      <w:pPr>
        <w:spacing w:after="0" w:line="97"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w:t>
      </w:r>
    </w:p>
    <w:p>
      <w:pPr>
        <w:spacing w:after="0" w:line="88" w:lineRule="exact"/>
        <w:rPr>
          <w:rFonts w:ascii="Times New Roman" w:cs="Times New Roman" w:eastAsia="Times New Roman" w:hAnsi="Times New Roman"/>
          <w:sz w:val="18"/>
          <w:szCs w:val="18"/>
          <w:color w:val="auto"/>
        </w:rPr>
      </w:pPr>
    </w:p>
    <w:p>
      <w:pPr>
        <w:ind w:left="540" w:right="360" w:hanging="532"/>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w:t>
      </w:r>
    </w:p>
    <w:p>
      <w:pPr>
        <w:spacing w:after="0" w:line="2"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w:t>
      </w:r>
    </w:p>
    <w:p>
      <w:pPr>
        <w:spacing w:after="0" w:line="94" w:lineRule="exact"/>
        <w:rPr>
          <w:rFonts w:ascii="Times New Roman" w:cs="Times New Roman" w:eastAsia="Times New Roman" w:hAnsi="Times New Roman"/>
          <w:sz w:val="18"/>
          <w:szCs w:val="18"/>
          <w:color w:val="auto"/>
        </w:rPr>
      </w:pPr>
    </w:p>
    <w:p>
      <w:pPr>
        <w:ind w:left="540" w:right="40" w:hanging="532"/>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the Sponsor and BurTech entered into the Sponsor Forfeiture Agreement, whereby, conditioned on Closing, the Sponsor agrees to forfeit 2,000,000 Shares held by Sponsor (the “Forfeited Shares”), such forfeiture was effective immediately prior to the Closing.</w:t>
      </w:r>
    </w:p>
    <w:p>
      <w:pPr>
        <w:spacing w:after="0" w:line="81" w:lineRule="exact"/>
        <w:rPr>
          <w:rFonts w:ascii="Times New Roman" w:cs="Times New Roman" w:eastAsia="Times New Roman" w:hAnsi="Times New Roman"/>
          <w:sz w:val="18"/>
          <w:szCs w:val="18"/>
          <w:color w:val="auto"/>
        </w:rPr>
      </w:pPr>
    </w:p>
    <w:p>
      <w:pPr>
        <w:ind w:left="540" w:right="40" w:hanging="532"/>
        <w:spacing w:after="0" w:line="253"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 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60" w:top="270" w:right="479" w:bottom="1440" w:gutter="0" w:footer="0" w:header="0"/>
        </w:sectPr>
      </w:pPr>
    </w:p>
    <w:bookmarkStart w:id="62" w:name="page63"/>
    <w:bookmarkEnd w:id="62"/>
    <w:p>
      <w:pPr>
        <w:ind w:left="960" w:right="80" w:hanging="532"/>
        <w:spacing w:after="0" w:line="253"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w:t>
      </w:r>
    </w:p>
    <w:p>
      <w:pPr>
        <w:spacing w:after="0" w:line="99" w:lineRule="exact"/>
        <w:rPr>
          <w:rFonts w:ascii="Times New Roman" w:cs="Times New Roman" w:eastAsia="Times New Roman" w:hAnsi="Times New Roman"/>
          <w:sz w:val="18"/>
          <w:szCs w:val="18"/>
          <w:color w:val="auto"/>
        </w:rPr>
      </w:pPr>
    </w:p>
    <w:p>
      <w:pPr>
        <w:ind w:left="960" w:right="20" w:hanging="532"/>
        <w:spacing w:after="0" w:line="25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Business Combination,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w:t>
      </w:r>
    </w:p>
    <w:p>
      <w:pPr>
        <w:spacing w:after="0" w:line="92" w:lineRule="exact"/>
        <w:rPr>
          <w:rFonts w:ascii="Times New Roman" w:cs="Times New Roman" w:eastAsia="Times New Roman" w:hAnsi="Times New Roman"/>
          <w:sz w:val="18"/>
          <w:szCs w:val="18"/>
          <w:color w:val="auto"/>
        </w:rPr>
      </w:pPr>
    </w:p>
    <w:p>
      <w:pPr>
        <w:ind w:left="960" w:right="20" w:hanging="532"/>
        <w:spacing w:after="0" w:line="253"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w:t>
      </w:r>
    </w:p>
    <w:p>
      <w:pPr>
        <w:spacing w:after="0" w:line="95" w:lineRule="exact"/>
        <w:rPr>
          <w:rFonts w:ascii="Times New Roman" w:cs="Times New Roman" w:eastAsia="Times New Roman" w:hAnsi="Times New Roman"/>
          <w:sz w:val="18"/>
          <w:szCs w:val="18"/>
          <w:color w:val="auto"/>
        </w:rPr>
      </w:pPr>
    </w:p>
    <w:p>
      <w:pPr>
        <w:ind w:left="960" w:right="60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occurring from December 31, 2024 through the date of Closing of (i) 937,844 BurTech public shares and removal of $10.9 million from the trust account.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 Description of Other Material Transactions:</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Material transactions that could impact the financial information of the latest balance sheet date that are material to investors, include the following:</w:t>
      </w:r>
    </w:p>
    <w:p>
      <w:pPr>
        <w:spacing w:after="0" w:line="67" w:lineRule="exact"/>
        <w:rPr>
          <w:sz w:val="20"/>
          <w:szCs w:val="20"/>
          <w:color w:val="auto"/>
        </w:rPr>
      </w:pPr>
    </w:p>
    <w:p>
      <w:pPr>
        <w:ind w:left="960" w:hanging="532"/>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63" w:name="page64"/>
    <w:bookmarkEnd w:id="63"/>
    <w:p>
      <w:pPr>
        <w:ind w:left="440" w:right="1840" w:hanging="12"/>
        <w:spacing w:after="0" w:line="500" w:lineRule="auto"/>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Blaize issued or cancelled a net amount of (399,000) options from January 1, 2025 through the date of this filing. </w:t>
      </w:r>
      <w:r>
        <w:rPr>
          <w:rFonts w:ascii="Times New Roman" w:cs="Times New Roman" w:eastAsia="Times New Roman" w:hAnsi="Times New Roman"/>
          <w:sz w:val="18"/>
          <w:szCs w:val="18"/>
          <w:b w:val="1"/>
          <w:bCs w:val="1"/>
          <w:color w:val="auto"/>
        </w:rPr>
        <w:t>d. Accounting for the Business Combination</w:t>
      </w:r>
    </w:p>
    <w:p>
      <w:pPr>
        <w:spacing w:after="0" w:line="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unaudited pro forma condensed combined financial information should be read together with the historical financial statements and related notes of Blaize and BurTech, and other financial information included elsewhere in this Form 8-K/A.</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Blaize has been determined to be the accounting acquirer of BurTech based on the following facts and circumstances:</w:t>
      </w:r>
    </w:p>
    <w:p>
      <w:pPr>
        <w:spacing w:after="0" w:line="131"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is the ongoing operations of the combined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will have the greatest voting interest in the combined entity, excluding option holder.</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most significant influence of any shareholder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Blaize Holdings, Inc., i.e. the combined entity assumed Blaize’s name.</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preponderance of evidence as described above is indicative that Blaize is the accounting acquirer of BurTech. Accordingly, the Business Combination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 Basis of Pro Forma Presentation</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w:t>
      </w:r>
    </w:p>
    <w:p>
      <w:pPr>
        <w:spacing w:after="0" w:line="7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937,844 public shares and payment of transaction costs related to the Business Combination are expected to be used for other general corporate purposes. Further, the unaudited pro forma condensed combined financial information does not purport to project the future operating results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64" w:name="page65"/>
    <w:bookmarkEnd w:id="64"/>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w:t>
      </w:r>
    </w:p>
    <w:p>
      <w:pPr>
        <w:spacing w:after="0" w:line="17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Blaize Common Stock issued and outstanding immediately after the Business Combination and the related ownership percentages.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45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 Pro Forma Combined Share Ownership in Blaize</w:t>
            </w: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212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80" w:type="dxa"/>
            <w:vAlign w:val="bottom"/>
            <w:tcBorders>
              <w:top w:val="single" w:sz="8" w:color="auto"/>
            </w:tcBorders>
            <w:gridSpan w:val="2"/>
            <w:vMerge w:val="restart"/>
          </w:tcPr>
          <w:p>
            <w:pPr>
              <w:spacing w:after="0"/>
              <w:rPr>
                <w:sz w:val="10"/>
                <w:szCs w:val="10"/>
                <w:color w:val="auto"/>
              </w:rPr>
            </w:pPr>
          </w:p>
        </w:tc>
        <w:tc>
          <w:tcPr>
            <w:tcW w:w="132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CCEEFF"/>
            </w:tcBorders>
            <w:gridSpan w:val="2"/>
            <w:vMerge w:val="continue"/>
          </w:tcPr>
          <w:p>
            <w:pPr>
              <w:spacing w:after="0"/>
              <w:rPr>
                <w:sz w:val="15"/>
                <w:szCs w:val="15"/>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Stockholders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55,571,107</w:t>
            </w:r>
          </w:p>
        </w:tc>
        <w:tc>
          <w:tcPr>
            <w:tcW w:w="880" w:type="dxa"/>
            <w:vAlign w:val="bottom"/>
            <w:gridSpan w:val="2"/>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BurTech Public Stockholders</w:t>
            </w:r>
            <w:r>
              <w:rPr>
                <w:rFonts w:ascii="Times New Roman" w:cs="Times New Roman" w:eastAsia="Times New Roman" w:hAnsi="Times New Roman"/>
                <w:sz w:val="25"/>
                <w:szCs w:val="25"/>
                <w:color w:val="auto"/>
                <w:vertAlign w:val="superscript"/>
              </w:rPr>
              <w:t>(2)</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5,456,999</w:t>
            </w:r>
          </w:p>
        </w:tc>
        <w:tc>
          <w:tcPr>
            <w:tcW w:w="8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(3)</w:t>
            </w:r>
          </w:p>
        </w:tc>
        <w:tc>
          <w:tcPr>
            <w:tcW w:w="30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14,456,132</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Final Closing Lenders</w:t>
            </w:r>
            <w:r>
              <w:rPr>
                <w:rFonts w:ascii="Times New Roman" w:cs="Times New Roman" w:eastAsia="Times New Roman" w:hAnsi="Times New Roman"/>
                <w:sz w:val="25"/>
                <w:szCs w:val="25"/>
                <w:color w:val="auto"/>
                <w:vertAlign w:val="superscript"/>
              </w:rPr>
              <w:t>(4)</w:t>
            </w:r>
          </w:p>
        </w:tc>
        <w:tc>
          <w:tcPr>
            <w:tcW w:w="30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25,673,479</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(5)</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 at Closing</w:t>
            </w:r>
          </w:p>
        </w:tc>
        <w:tc>
          <w:tcPr>
            <w:tcW w:w="2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55"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Blaize Stockholders is comprised of (i) the exchange of the 17,518,791 issued and outstanding Blaize Common Stock for 13,663,527 shares of Blaize Class A Common Stock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 (1) share of Blaize Common Stock or common stock equivalent upon the Closing of the Business Combination.</w:t>
      </w:r>
    </w:p>
    <w:p>
      <w:pPr>
        <w:spacing w:after="0" w:line="12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65" w:name="page66"/>
    <w:bookmarkEnd w:id="65"/>
    <w:p>
      <w:pPr>
        <w:ind w:left="444" w:righ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shares held by the Blaize Stockholders does not include (i) 4,070,299 shares of Blaize Class A Common Stock that are issued related to the conversion of the BurTech Notes or (ii) 21,173,479 shares of Blaize Class A Common Stock held by the Blaize Final Closing Lenders.</w:t>
      </w:r>
    </w:p>
    <w:p>
      <w:pPr>
        <w:spacing w:after="0" w:line="203" w:lineRule="exact"/>
        <w:rPr>
          <w:sz w:val="20"/>
          <w:szCs w:val="20"/>
          <w:color w:val="auto"/>
        </w:rPr>
      </w:pPr>
    </w:p>
    <w:p>
      <w:pPr>
        <w:ind w:left="424" w:right="300" w:hanging="424"/>
        <w:spacing w:after="0" w:line="257"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BurTech Public Stockholders is determined by adding (i) 3,166,699 shares remaining after giving effect to redemptions, (ii) 1,540,300 shares that are issued associated with the PIPE, and (iii) 750,000 shares that are issued associated with the Sponsor Note Shares.</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Sponsor and related parties is determined by adding (i) the Sponsor’s holdings of 10,385,750 BurTech’s Redeemable Class A Common Stock at December 31,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w:t>
      </w:r>
    </w:p>
    <w:p>
      <w:pPr>
        <w:spacing w:after="0" w:line="1" w:lineRule="exact"/>
        <w:rPr>
          <w:rFonts w:ascii="Times New Roman" w:cs="Times New Roman" w:eastAsia="Times New Roman" w:hAnsi="Times New Roman"/>
          <w:sz w:val="18"/>
          <w:szCs w:val="18"/>
          <w:color w:val="auto"/>
        </w:rPr>
      </w:pPr>
    </w:p>
    <w:p>
      <w:pPr>
        <w:ind w:left="424" w:right="120" w:hanging="424"/>
        <w:spacing w:after="0" w:line="26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in Blaize Common Stock, attributable to existing holdings in BurTech Class A Common Stock that is held by underwriters associated with BurTech’s initial public offering.</w:t>
      </w:r>
    </w:p>
    <w:p>
      <w:pPr>
        <w:spacing w:after="0" w:line="181"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table above excludes Blaize shares associated with (i) Blaize Options, (ii) Blaize RSUs, (iii) any potential Blaize Earnout Shares and (iv) Public and Private Warrants.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right"/>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50,237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$(5,271)</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4(A)</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44,968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33,055</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33,812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(including related parties of $0)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(2,358)</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759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(47,558)</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48,317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(22,132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 STOCKHOLDERS’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8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(1,971)</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4(E)</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(8,986)</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(2,971)</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148,629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(148,629)</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(14,711)</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Non-redemption agreement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(1,085)</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4(Q)</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188,143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(179,853)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22,307</w:t>
            </w:r>
          </w:p>
        </w:tc>
        <w:tc>
          <w:tcPr>
            <w:tcW w:w="0" w:type="dxa"/>
            <w:vAlign w:val="bottom"/>
          </w:tcPr>
          <w:p>
            <w:pPr>
              <w:spacing w:after="0"/>
              <w:rPr>
                <w:sz w:val="1"/>
                <w:szCs w:val="1"/>
                <w:color w:val="auto"/>
              </w:rPr>
            </w:pPr>
          </w:p>
        </w:tc>
      </w:tr>
      <w:tr>
        <w:trPr>
          <w:trHeight w:val="365"/>
        </w:trPr>
        <w:tc>
          <w:tcPr>
            <w:tcW w:w="4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1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3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3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liability</w:t>
            </w: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88,504</w:t>
            </w:r>
          </w:p>
        </w:tc>
        <w:tc>
          <w:tcPr>
            <w:tcW w:w="30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4(H)</w:t>
            </w:r>
          </w:p>
        </w:tc>
        <w:tc>
          <w:tcPr>
            <w:tcW w:w="12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88,504</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1,166</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(8,563)</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4(J)</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(92,849)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113,647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173,347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(173,347)</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47,598</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(47,598)</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4(L)</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BurTech Acquisition Corp. Class A Ordinary Shares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4(M)</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Acquisition Corp. Class B Ordinary Shares</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Blaize Holdings, Inc. common stock</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145,441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619,752</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4(O)</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765,193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(429,251)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(23,362)</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(328,099)</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4(P)</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(772,149)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(283,810)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291,662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(6,946)</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80,516</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48,317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(22,132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$ 106,701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68" w:name="page69"/>
    <w:bookmarkEnd w:id="6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 FOR THE YEAR ENDED DECEMBER 31, 2024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BurTech</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80" w:type="dxa"/>
            <w:vAlign w:val="bottom"/>
          </w:tcPr>
          <w:p>
            <w:pPr>
              <w:spacing w:after="0"/>
              <w:rPr>
                <w:sz w:val="12"/>
                <w:szCs w:val="12"/>
                <w:color w:val="auto"/>
              </w:rPr>
            </w:pPr>
          </w:p>
        </w:tc>
        <w:tc>
          <w:tcPr>
            <w:tcW w:w="1360" w:type="dxa"/>
            <w:vAlign w:val="bottom"/>
            <w:gridSpan w:val="3"/>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020" w:type="dxa"/>
            <w:vAlign w:val="bottom"/>
            <w:gridSpan w:val="3"/>
            <w:vMerge w:val="continue"/>
          </w:tcPr>
          <w:p>
            <w:pPr>
              <w:spacing w:after="0"/>
              <w:rPr>
                <w:sz w:val="15"/>
                <w:szCs w:val="15"/>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$1,525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8,521</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33,615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7,047</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34,437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12,602</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12,819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49,189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28,170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82,336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2023 convertible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(252,811)</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(77,836)</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 Non- redemption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1,085</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5(F)</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(2,465)</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5(E)</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(14,512)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(332,027)</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(345,159)</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(360,197)</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(360,197</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98"/>
              </w:rPr>
              <w:t>17,476,105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15,150,141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9" w:name="page70"/>
    <w:bookmarkEnd w:id="69"/>
    <w:p>
      <w:pPr>
        <w:ind w:right="1560" w:firstLine="1578"/>
        <w:spacing w:after="0" w:line="3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 Note 1 — Basis of Presentation</w:t>
      </w: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Business Combination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Blaize as of December 31, 2024 assumes that the transactions occurred on December 31, 2024. The unaudited pro forma condensed combined statement of operations of Blaize for the year ended December 31, 2024 presents pro forma effect to the transactions as if it had been completed on January 1, 2023.</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and unaudited pro forma condensed combined statement of operations for the year ended December 31, 2024 has been prepared using, and should be read in conjunction with, the following:</w:t>
      </w:r>
    </w:p>
    <w:p>
      <w:pPr>
        <w:spacing w:after="0" w:line="67" w:lineRule="exact"/>
        <w:rPr>
          <w:sz w:val="20"/>
          <w:szCs w:val="20"/>
          <w:color w:val="auto"/>
        </w:rPr>
      </w:pPr>
    </w:p>
    <w:p>
      <w:pPr>
        <w:ind w:left="960" w:right="48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BurTech for the year ended December 31, 2024 and the related notes, which are incorporated by reference into the Form 8-K/A; and</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Blaize for the year ended December 31, 2024 and the related notes, which are incorporated by reference into the Form 8-K/A.</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other material transactions and has been prepared for informational purposes only.</w:t>
      </w:r>
    </w:p>
    <w:p>
      <w:pPr>
        <w:spacing w:after="0" w:line="162" w:lineRule="exact"/>
        <w:rPr>
          <w:sz w:val="20"/>
          <w:szCs w:val="20"/>
          <w:color w:val="auto"/>
        </w:rPr>
      </w:pPr>
    </w:p>
    <w:p>
      <w:pPr>
        <w:ind w:right="220" w:firstLine="440"/>
        <w:spacing w:after="0" w:line="274"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70" w:name="page71"/>
    <w:bookmarkEnd w:id="70"/>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pro forma condensed combined provision for income taxes does not necessarily reflect the amounts that would have resulted had Blaize filed consolidated income tax returns during the periods presented.</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amounts presented in the unaudited pro forma condensed combined statements of operations are based upon the number of Blaize shares outstanding, assuming the Business Combination occurred on January 1, 2023.</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 and In-Process Accounting Analysis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w:t>
      </w:r>
    </w:p>
    <w:p>
      <w:pPr>
        <w:spacing w:after="0" w:line="94" w:lineRule="exact"/>
        <w:rPr>
          <w:sz w:val="20"/>
          <w:szCs w:val="20"/>
          <w:color w:val="auto"/>
        </w:rPr>
      </w:pPr>
    </w:p>
    <w:p>
      <w:pPr>
        <w:ind w:left="960" w:right="36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480 — Distinguishing Liabilities from Equity — if the instrument is treated as a liability, it will be recognized at fair value upon issuance and each reporting period with changes in fair value recognized in income</w:t>
      </w:r>
    </w:p>
    <w:p>
      <w:pPr>
        <w:spacing w:after="0" w:line="67" w:lineRule="exact"/>
        <w:rPr>
          <w:rFonts w:ascii="Times New Roman" w:cs="Times New Roman" w:eastAsia="Times New Roman" w:hAnsi="Times New Roman"/>
          <w:sz w:val="18"/>
          <w:szCs w:val="18"/>
          <w:color w:val="auto"/>
        </w:rPr>
      </w:pPr>
    </w:p>
    <w:p>
      <w:pPr>
        <w:ind w:left="960" w:right="240" w:hanging="424"/>
        <w:spacing w:after="0" w:line="289" w:lineRule="auto"/>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w:t>
      </w:r>
    </w:p>
    <w:p>
      <w:pPr>
        <w:spacing w:after="0" w:line="1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not yet completed a valuation to determine the fair value of the instrument and results of the accounting may be material to the post-combination entity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Adjustments to Unaudited Pro Forma Condensed Combined Financial Information for Other Material Events</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Subsequent to December 31, 2024, BurTech has had certain events occur, or that were probable of occurring, that are considered material to investors.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BurTech Material Event Adjustments </w:t>
      </w:r>
      <w:r>
        <w:rPr>
          <w:rFonts w:ascii="Times New Roman" w:cs="Times New Roman" w:eastAsia="Times New Roman" w:hAnsi="Times New Roman"/>
          <w:sz w:val="18"/>
          <w:szCs w:val="18"/>
          <w:color w:val="auto"/>
        </w:rPr>
        <w:t>— BurTech adjustments include:</w:t>
      </w:r>
    </w:p>
    <w:p>
      <w:pPr>
        <w:spacing w:after="0" w:line="133" w:lineRule="exact"/>
        <w:rPr>
          <w:sz w:val="20"/>
          <w:szCs w:val="20"/>
          <w:color w:val="auto"/>
        </w:rPr>
      </w:pPr>
    </w:p>
    <w:p>
      <w:pPr>
        <w:ind w:left="960" w:right="20" w:hanging="532"/>
        <w:spacing w:after="0" w:line="261"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w:t>
      </w:r>
    </w:p>
    <w:p>
      <w:pPr>
        <w:spacing w:after="0" w:line="12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pro forma Blaize and Transaction Accounting Adjustments, based on preliminary estimates that could change materially as additional information is obtained, are as follows:</w:t>
      </w:r>
    </w:p>
    <w:p>
      <w:pPr>
        <w:spacing w:after="0" w:line="65" w:lineRule="exact"/>
        <w:rPr>
          <w:sz w:val="20"/>
          <w:szCs w:val="20"/>
          <w:color w:val="auto"/>
        </w:rPr>
      </w:pPr>
    </w:p>
    <w:p>
      <w:pPr>
        <w:ind w:left="960" w:hanging="532"/>
        <w:spacing w:after="0" w:line="284"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Reflects the Transaction Accounting Adjustments impact of the Business Combination on the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balance of Blaize. The table below summarizes the pro forma adjustments as follows:</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8" w:right="519" w:bottom="1440" w:gutter="0" w:footer="0" w:header="0"/>
        </w:sectPr>
      </w:pPr>
    </w:p>
    <w:bookmarkStart w:id="72" w:name="page73"/>
    <w:bookmarkEnd w:id="72"/>
    <w:tbl>
      <w:tblPr>
        <w:tblLayout w:type="fixed"/>
        <w:tblInd w:w="339"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9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35"/>
        </w:trPr>
        <w:tc>
          <w:tcPr>
            <w:tcW w:w="66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funds held in the Trust Account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4(A)(i)</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36,695</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transaction costs and other costs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4(A)(ii)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(18,343)</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BurTech related party notes and advance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4(A)(iii)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(4,471)</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underwriting fee payable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4(A)(iv)</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PIPE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4(A)(v)</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15,403</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restricted cash</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4(A)(vi)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(33,055)</w:t>
            </w:r>
          </w:p>
        </w:tc>
      </w:tr>
      <w:tr>
        <w:trPr>
          <w:trHeight w:val="27"/>
        </w:trPr>
        <w:tc>
          <w:tcPr>
            <w:tcW w:w="7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Cash and cash equivalents</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(5,271)</w:t>
            </w:r>
          </w:p>
        </w:tc>
      </w:tr>
      <w:tr>
        <w:trPr>
          <w:trHeight w:val="20"/>
        </w:trPr>
        <w:tc>
          <w:tcPr>
            <w:tcW w:w="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39" w:right="20" w:hanging="439"/>
        <w:spacing w:after="0" w:line="258"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release of $36.7 million of funds held in the Trust Account upon the Closing of the Business Combination subsequent to redemptions. After giving effect to the $33.1 million reclassification of funds to restricted cash pursuant to Note 4(R),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remaining funds will be made available for the ongoing operations of Blaize as cash and cash equivalents.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for the corresponding pro forma adjusting entries for the decrease of funds held in the Trust Account.</w:t>
      </w:r>
    </w:p>
    <w:p>
      <w:pPr>
        <w:spacing w:after="0" w:line="88" w:lineRule="exact"/>
        <w:rPr>
          <w:rFonts w:ascii="Times New Roman" w:cs="Times New Roman" w:eastAsia="Times New Roman" w:hAnsi="Times New Roman"/>
          <w:sz w:val="18"/>
          <w:szCs w:val="18"/>
          <w:color w:val="auto"/>
        </w:rPr>
      </w:pPr>
    </w:p>
    <w:p>
      <w:pPr>
        <w:ind w:left="439" w:right="20" w:hanging="439"/>
        <w:spacing w:after="0" w:line="266"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$18.3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w:t>
      </w:r>
    </w:p>
    <w:p>
      <w:pPr>
        <w:spacing w:after="0" w:line="67" w:lineRule="exact"/>
        <w:rPr>
          <w:rFonts w:ascii="Times New Roman" w:cs="Times New Roman" w:eastAsia="Times New Roman" w:hAnsi="Times New Roman"/>
          <w:sz w:val="18"/>
          <w:szCs w:val="18"/>
          <w:color w:val="auto"/>
        </w:rPr>
      </w:pPr>
    </w:p>
    <w:p>
      <w:pPr>
        <w:ind w:lef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$18.3 million estimated transaction costs, approximately $11.4 million are incurred by BurTech. $4.2 million of BurTech’s total $11.4 million transaction costs were included on BurTech’s historical balance sheet as of December 31, 2024 as a component of BurTech’s accrued expenses and other current liabilities balance. See Note 4(E), </w:t>
      </w:r>
      <w:r>
        <w:rPr>
          <w:rFonts w:ascii="Times New Roman" w:cs="Times New Roman" w:eastAsia="Times New Roman" w:hAnsi="Times New Roman"/>
          <w:sz w:val="18"/>
          <w:szCs w:val="18"/>
          <w:i w:val="1"/>
          <w:iCs w:val="1"/>
          <w:color w:val="auto"/>
        </w:rPr>
        <w:t>Accounts payable and accrued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the corresponding pro forma adjusting entries. The approximate remaining amount of $7.2 million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costs incurred by BurTech. These amounts exclude the $1.5 million of BurTech’s transaction costs relating to the deferred underwriting fees described in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4(J), </w:t>
      </w:r>
      <w:r>
        <w:rPr>
          <w:rFonts w:ascii="Times New Roman" w:cs="Times New Roman" w:eastAsia="Times New Roman" w:hAnsi="Times New Roman"/>
          <w:sz w:val="18"/>
          <w:szCs w:val="18"/>
          <w:i w:val="1"/>
          <w:iCs w:val="1"/>
          <w:color w:val="auto"/>
        </w:rPr>
        <w:t>Deferred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commissions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39"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2024, $6.8 million of Blaize’s total $11.2 million in expected transaction costs were accrued on the historical balance sheet of Blaize as a component of Blaize’s accounts payable and accrued expense balances. See Note 4(E),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 and accrued and other current liabilities</w:t>
      </w:r>
      <w:r>
        <w:rPr>
          <w:rFonts w:ascii="Times New Roman" w:cs="Times New Roman" w:eastAsia="Times New Roman" w:hAnsi="Times New Roman"/>
          <w:sz w:val="18"/>
          <w:szCs w:val="18"/>
          <w:color w:val="auto"/>
        </w:rPr>
        <w:t>, for the corresponding pro forma adjusting entries. Of the remaining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$4.3 million had already been paid as of December 31, 2024. The approximate remaining amount of $0.1 million consists of transaction costs incurred by Blaize (see Note 4(O)(i)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$1.0 million increase and $1.1 million decrease to Blaize’s additional paid-in capital and accumulated deficit balances).</w:t>
      </w:r>
    </w:p>
    <w:p>
      <w:pPr>
        <w:spacing w:after="0" w:line="94" w:lineRule="exact"/>
        <w:rPr>
          <w:rFonts w:ascii="Times New Roman" w:cs="Times New Roman" w:eastAsia="Times New Roman" w:hAnsi="Times New Roman"/>
          <w:sz w:val="18"/>
          <w:szCs w:val="18"/>
          <w:color w:val="auto"/>
        </w:rPr>
      </w:pPr>
    </w:p>
    <w:p>
      <w:pPr>
        <w:ind w:left="439" w:right="280" w:hanging="439"/>
        <w:spacing w:after="0" w:line="266"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settlement of certain convertible working capital loans from the Sponsor to BurTech in the amount of $1.5 million and the settlement of advance from the Sponsor to BurTech in the amount $3.0 million. The convertible promissory notes were settled in cash, rather than converted to Blaize equity.</w:t>
      </w:r>
    </w:p>
    <w:p>
      <w:pPr>
        <w:spacing w:after="0" w:line="81" w:lineRule="exact"/>
        <w:rPr>
          <w:rFonts w:ascii="Times New Roman" w:cs="Times New Roman" w:eastAsia="Times New Roman" w:hAnsi="Times New Roman"/>
          <w:sz w:val="18"/>
          <w:szCs w:val="18"/>
          <w:color w:val="auto"/>
        </w:rPr>
      </w:pPr>
    </w:p>
    <w:p>
      <w:pPr>
        <w:ind w:left="439" w:hanging="439"/>
        <w:spacing w:after="0" w:line="282"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payment of deferred underwriting commissions incurred during BurTech’s IPO, which was settled in cash, in the amount of $1.5 million. See Note 4(J), </w:t>
      </w:r>
      <w:r>
        <w:rPr>
          <w:rFonts w:ascii="Times New Roman" w:cs="Times New Roman" w:eastAsia="Times New Roman" w:hAnsi="Times New Roman"/>
          <w:sz w:val="18"/>
          <w:szCs w:val="18"/>
          <w:i w:val="1"/>
          <w:iCs w:val="1"/>
          <w:color w:val="auto"/>
        </w:rPr>
        <w:t>Deferred underwriting commissions</w:t>
      </w:r>
      <w:r>
        <w:rPr>
          <w:rFonts w:ascii="Times New Roman" w:cs="Times New Roman" w:eastAsia="Times New Roman" w:hAnsi="Times New Roman"/>
          <w:sz w:val="18"/>
          <w:szCs w:val="18"/>
          <w:color w:val="auto"/>
        </w:rPr>
        <w:t>, for the corresponding pro forma adjusting entries.</w:t>
      </w:r>
    </w:p>
    <w:p>
      <w:pPr>
        <w:spacing w:after="0" w:line="67" w:lineRule="exact"/>
        <w:rPr>
          <w:rFonts w:ascii="Times New Roman" w:cs="Times New Roman" w:eastAsia="Times New Roman" w:hAnsi="Times New Roman"/>
          <w:sz w:val="18"/>
          <w:szCs w:val="18"/>
          <w:color w:val="auto"/>
        </w:rPr>
      </w:pPr>
    </w:p>
    <w:p>
      <w:pPr>
        <w:ind w:left="439" w:right="60" w:hanging="439"/>
        <w:spacing w:after="0" w:line="266"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proceeds of $15.4 million from the issuance and sale of 1.5 million shares of Blaize common stock, with a per share par value of $0.0001, at $10.00 per share pursuant to the PIPE Investment. See Note 4(O)(x),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10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19"/>
          </w:cols>
          <w:pgMar w:left="1421" w:top="263" w:right="459" w:bottom="1440" w:gutter="0" w:footer="0" w:header="0"/>
        </w:sectPr>
      </w:pPr>
    </w:p>
    <w:bookmarkStart w:id="73" w:name="page74"/>
    <w:bookmarkEnd w:id="73"/>
    <w:p>
      <w:pPr>
        <w:ind w:left="1000" w:right="60" w:hanging="439"/>
        <w:spacing w:after="0" w:line="261"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Tickmark (B) is purposefully not used.</w:t>
      </w:r>
    </w:p>
    <w:p>
      <w:pPr>
        <w:spacing w:after="0" w:line="128" w:lineRule="exact"/>
        <w:rPr>
          <w:rFonts w:ascii="Times New Roman" w:cs="Times New Roman" w:eastAsia="Times New Roman" w:hAnsi="Times New Roman"/>
          <w:sz w:val="18"/>
          <w:szCs w:val="18"/>
          <w:color w:val="auto"/>
        </w:rPr>
      </w:pPr>
    </w:p>
    <w:p>
      <w:pPr>
        <w:ind w:left="540" w:right="40" w:hanging="532"/>
        <w:spacing w:after="0" w:line="25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Prepaid expenses and other current assets — </w:t>
      </w:r>
      <w:r>
        <w:rPr>
          <w:rFonts w:ascii="Times New Roman" w:cs="Times New Roman" w:eastAsia="Times New Roman" w:hAnsi="Times New Roman"/>
          <w:sz w:val="18"/>
          <w:szCs w:val="18"/>
          <w:color w:val="auto"/>
        </w:rPr>
        <w:t>Reflects (i) the reclassification of $11.1 million of transaction costs incurred by Blaize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the Business Combination and which are capitalized within Blaize’s prepaid expenses and other current assets as of December 31, 2024. Upon the close of the Business Combination, such costs were reclassified as an equity issuance cost, resulting in a $11.1 million decrease to prepaid expenses and other current assets and a $11.1 million decrease to additional paid-in capital. Additionally, reflects the (ii) $8.8 million note receivable related to the Sponsor Note for which the Company issued 750 thousand shares of Blaize common stock pursuant to the Sponsor Note Issuance. See Note 4(O)(ii) and (x), Additional paid-in capital,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160" w:hanging="532"/>
        <w:spacing w:after="0" w:line="26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held in the Trust Account — </w:t>
      </w:r>
      <w:r>
        <w:rPr>
          <w:rFonts w:ascii="Times New Roman" w:cs="Times New Roman" w:eastAsia="Times New Roman" w:hAnsi="Times New Roman"/>
          <w:sz w:val="18"/>
          <w:szCs w:val="18"/>
          <w:color w:val="auto"/>
        </w:rPr>
        <w:t>Represents the reclassification of $36.7 million of funds associated with the Investments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Trust Account that become available at the Closing of the Business Combination after giving effect to the impact of redemptions of BurTech’s Class A Redeemable Common Stock amounting to $10.9 million. See Note 4(A)(i),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4(L), </w:t>
      </w:r>
      <w:r>
        <w:rPr>
          <w:rFonts w:ascii="Times New Roman" w:cs="Times New Roman" w:eastAsia="Times New Roman" w:hAnsi="Times New Roman"/>
          <w:sz w:val="18"/>
          <w:szCs w:val="18"/>
          <w:i w:val="1"/>
          <w:iCs w:val="1"/>
          <w:color w:val="auto"/>
        </w:rPr>
        <w:t xml:space="preserve">Class A Common Stock subject to redemption </w:t>
      </w:r>
      <w:r>
        <w:rPr>
          <w:rFonts w:ascii="Times New Roman" w:cs="Times New Roman" w:eastAsia="Times New Roman" w:hAnsi="Times New Roman"/>
          <w:sz w:val="18"/>
          <w:szCs w:val="18"/>
          <w:color w:val="auto"/>
        </w:rPr>
        <w:t>and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payable and accrued and other current liabilities </w:t>
      </w:r>
      <w:r>
        <w:rPr>
          <w:rFonts w:ascii="Times New Roman" w:cs="Times New Roman" w:eastAsia="Times New Roman" w:hAnsi="Times New Roman"/>
          <w:sz w:val="18"/>
          <w:szCs w:val="18"/>
          <w:color w:val="auto"/>
        </w:rPr>
        <w:t>— Reflects the payment of $4.2 million of nonrecurring transaction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by BurTech for legal services settled prior to, or upon, the Closing of the Business Combination. Additionally, reflects the payment of $6.8 million of nonrecurring transaction costs incurred by Blaize for financial advisory, legal, and other professional services settled prior to, or upon, the Closing of the Business Combination. See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advances and working capital loans </w:t>
      </w:r>
      <w:r>
        <w:rPr>
          <w:rFonts w:ascii="Times New Roman" w:cs="Times New Roman" w:eastAsia="Times New Roman" w:hAnsi="Times New Roman"/>
          <w:sz w:val="18"/>
          <w:szCs w:val="18"/>
          <w:color w:val="auto"/>
        </w:rPr>
        <w:t>— Represents the settlement of certain convertible working capital loans from the Sponsor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BurTech in the amount of $1.5 million and the settlement of advance from the Sponsor to BurTech in the amount $3.0 million. The convertible promissory notes were settled in cash, rather than converted to BurTech equity, and paid off with funds from the Business Combination. See Note 4(A)(iii),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 Immediately prior to the closing of the Business Combination, all outstanding amounts of the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$262.8 million. See Note 4(P)(iii)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for corresponding pro forma entries. The remeasured value of $411.5 million was reclassified into additional paid in capital, see Note 4(O)(iii)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w:t>
      </w:r>
    </w:p>
    <w:p>
      <w:pPr>
        <w:spacing w:after="0" w:line="90" w:lineRule="exact"/>
        <w:rPr>
          <w:rFonts w:ascii="Times New Roman" w:cs="Times New Roman" w:eastAsia="Times New Roman" w:hAnsi="Times New Roman"/>
          <w:sz w:val="18"/>
          <w:szCs w:val="18"/>
          <w:color w:val="auto"/>
        </w:rPr>
      </w:pPr>
    </w:p>
    <w:p>
      <w:pPr>
        <w:ind w:left="540" w:right="320" w:hanging="532"/>
        <w:spacing w:after="0" w:line="267"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Earnout shares liability </w:t>
      </w:r>
      <w:r>
        <w:rPr>
          <w:rFonts w:ascii="Times New Roman" w:cs="Times New Roman" w:eastAsia="Times New Roman" w:hAnsi="Times New Roman"/>
          <w:sz w:val="18"/>
          <w:szCs w:val="18"/>
          <w:color w:val="auto"/>
        </w:rPr>
        <w:t>— Reflects the preliminary estimated fair value of liability classified Blaize Equityholders’ Earnout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$88.5 million as of December 31, 2024, with a corresponding decrease of $88.5 million to additional paid-in capital. See Note 4(O)(iv)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 For further information on the earnout shares, see Note 6.</w:t>
      </w:r>
    </w:p>
    <w:p>
      <w:pPr>
        <w:spacing w:after="0" w:line="78" w:lineRule="exact"/>
        <w:rPr>
          <w:rFonts w:ascii="Times New Roman" w:cs="Times New Roman" w:eastAsia="Times New Roman" w:hAnsi="Times New Roman"/>
          <w:sz w:val="18"/>
          <w:szCs w:val="18"/>
          <w:color w:val="auto"/>
        </w:rPr>
      </w:pPr>
    </w:p>
    <w:p>
      <w:pPr>
        <w:ind w:left="540" w:right="60" w:hanging="532"/>
        <w:spacing w:after="0" w:line="267"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 Immediately prior to the Effective Time, the outstanding Blaize warrants were automatically net exercised in full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Blaize Common Stock or such warrants expired. Pro forma adjustment reflects (i) the final remeasurement to fair value of $83.5 million and (ii) the elimination of a liability of $98.2 million associated with such warrant liabilities which</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60" w:top="270" w:right="459" w:bottom="1440" w:gutter="0" w:footer="0" w:header="0"/>
        </w:sectPr>
      </w:pPr>
    </w:p>
    <w:bookmarkStart w:id="74" w:name="page75"/>
    <w:bookmarkEnd w:id="74"/>
    <w:p>
      <w:pPr>
        <w:jc w:val="both"/>
        <w:ind w:left="56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4(P)(iv),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79" w:lineRule="exact"/>
        <w:rPr>
          <w:sz w:val="20"/>
          <w:szCs w:val="20"/>
          <w:color w:val="auto"/>
        </w:rPr>
      </w:pPr>
    </w:p>
    <w:p>
      <w:pPr>
        <w:ind w:left="540" w:right="60" w:hanging="532"/>
        <w:spacing w:after="0" w:line="26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underwriting commissions </w:t>
      </w:r>
      <w:r>
        <w:rPr>
          <w:rFonts w:ascii="Times New Roman" w:cs="Times New Roman" w:eastAsia="Times New Roman" w:hAnsi="Times New Roman"/>
          <w:sz w:val="18"/>
          <w:szCs w:val="18"/>
          <w:color w:val="auto"/>
        </w:rPr>
        <w:t>— Reflects the settlement of BurTech’s $1.5 million deferred underwriting commissions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of the Business Combination from the funds held in the Trust Account. Refer to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540" w:right="340" w:hanging="532"/>
        <w:spacing w:after="0" w:line="26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preferred stock </w:t>
      </w:r>
      <w:r>
        <w:rPr>
          <w:rFonts w:ascii="Times New Roman" w:cs="Times New Roman" w:eastAsia="Times New Roman" w:hAnsi="Times New Roman"/>
          <w:sz w:val="18"/>
          <w:szCs w:val="18"/>
          <w:color w:val="auto"/>
        </w:rPr>
        <w:t>— Represents the conversion of 44,494,703 shares of Blaize Redeemable Convertible Preferred Stock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44,494,703 shares of Common Stock, immediately prior to the Closing of the Business Combination as part of the Blaize Security Conversion event, resulting in the reclassification of $173.3 million from mezzanine equity to permanent equity.</w:t>
      </w:r>
    </w:p>
    <w:p>
      <w:pPr>
        <w:spacing w:after="0" w:line="78"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 A Common Stock subject to redemption — </w:t>
      </w:r>
      <w:r>
        <w:rPr>
          <w:rFonts w:ascii="Times New Roman" w:cs="Times New Roman" w:eastAsia="Times New Roman" w:hAnsi="Times New Roman"/>
          <w:sz w:val="18"/>
          <w:szCs w:val="18"/>
          <w:color w:val="auto"/>
        </w:rPr>
        <w:t>Represents the reclassification of $36.7 million of BurTech’s Redeemable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which was not redeemed, from temporary equity (mezzanine) to permanent equity of Blaize after giving effect to the redemption of 937,844 public shares. The redemptions were paid with funds from the trust account, amounting to $10.9 million. Refer to Note 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xml:space="preserve"> and Note 4(O)(vii),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580" w:hanging="532"/>
        <w:spacing w:after="0" w:line="28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Acquisition Corp. Class A Ordinary Shares — </w:t>
      </w:r>
      <w:r>
        <w:rPr>
          <w:rFonts w:ascii="Times New Roman" w:cs="Times New Roman" w:eastAsia="Times New Roman" w:hAnsi="Times New Roman"/>
          <w:sz w:val="18"/>
          <w:szCs w:val="18"/>
          <w:color w:val="auto"/>
        </w:rPr>
        <w:t>Represents adjustment to reclassify the par value associated with BurTech’s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to the par value associated with Blaize.</w:t>
      </w:r>
    </w:p>
    <w:p>
      <w:pPr>
        <w:spacing w:after="0" w:line="63" w:lineRule="exact"/>
        <w:rPr>
          <w:rFonts w:ascii="Times New Roman" w:cs="Times New Roman" w:eastAsia="Times New Roman" w:hAnsi="Times New Roman"/>
          <w:sz w:val="18"/>
          <w:szCs w:val="18"/>
          <w:color w:val="auto"/>
        </w:rPr>
      </w:pPr>
    </w:p>
    <w:p>
      <w:pPr>
        <w:ind w:left="540" w:right="60" w:hanging="532"/>
        <w:spacing w:after="0" w:line="28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Blaize Common Stock </w:t>
      </w:r>
      <w:r>
        <w:rPr>
          <w:rFonts w:ascii="Times New Roman" w:cs="Times New Roman" w:eastAsia="Times New Roman" w:hAnsi="Times New Roman"/>
          <w:sz w:val="18"/>
          <w:szCs w:val="18"/>
          <w:color w:val="auto"/>
        </w:rPr>
        <w:t>— Represents the adjustment to establish the value of the common stock based on a par value of $0.0001 as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101,588,967 shares of Blaize outstanding at the Effective Time.</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60" w:top="270" w:right="459" w:bottom="1440" w:gutter="0" w:footer="0" w:header="0"/>
        </w:sectPr>
      </w:pPr>
    </w:p>
    <w:bookmarkStart w:id="75" w:name="page76"/>
    <w:bookmarkEnd w:id="75"/>
    <w:p>
      <w:pPr>
        <w:ind w:left="540" w:right="880" w:hanging="532"/>
        <w:spacing w:after="0" w:line="284"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paid-in capital — </w:t>
      </w:r>
      <w:r>
        <w:rPr>
          <w:rFonts w:ascii="Times New Roman" w:cs="Times New Roman" w:eastAsia="Times New Roman" w:hAnsi="Times New Roman"/>
          <w:sz w:val="18"/>
          <w:szCs w:val="18"/>
          <w:color w:val="auto"/>
        </w:rPr>
        <w:t>Represents the impact of the Business Combination on additional paid-in capital. The table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summarizes the pro forma adjustments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6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35"/>
        </w:trPr>
        <w:tc>
          <w:tcPr>
            <w:tcW w:w="65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4(O)(i)</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 of Deferred Transaction Costs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4(O)(ii)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(11,112)</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Convertible Notes</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4(O)(iii)</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411,462</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liability classified Earnout Shares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4(O)(iv)</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(88,504)</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Warrants</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4(O)(v)</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98,248</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Redeemable Convertible Preferred Stock</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4(O)(vi)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173,338</w:t>
            </w:r>
          </w:p>
        </w:tc>
        <w:tc>
          <w:tcPr>
            <w:tcW w:w="8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BurTech’s Redeemable Class A Common Stock</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4(O)(vii)</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36,735</w:t>
            </w:r>
          </w:p>
        </w:tc>
      </w:tr>
      <w:tr>
        <w:trPr>
          <w:trHeight w:val="198"/>
        </w:trPr>
        <w:tc>
          <w:tcPr>
            <w:tcW w:w="6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4(O)(viii)</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3,937</w:t>
            </w:r>
          </w:p>
        </w:tc>
        <w:tc>
          <w:tcPr>
            <w:tcW w:w="80" w:type="dxa"/>
            <w:vAlign w:val="bottom"/>
          </w:tcPr>
          <w:p>
            <w:pPr>
              <w:spacing w:after="0"/>
              <w:rPr>
                <w:sz w:val="20"/>
                <w:szCs w:val="20"/>
                <w:color w:val="auto"/>
              </w:rPr>
            </w:pPr>
          </w:p>
        </w:tc>
      </w:tr>
      <w:tr>
        <w:trPr>
          <w:trHeight w:val="198"/>
        </w:trPr>
        <w:tc>
          <w:tcPr>
            <w:tcW w:w="6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4(O)(ix)</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(30,617)</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PIPE Investment and Sponsor Note</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4(O)(x)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24,157</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Derivative Liability</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4(O)(xi)</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Additional paid-in capital</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619,752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00" w:right="320" w:hanging="439"/>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transaction costs of approximately $1.0 million incurred by Blaize related to financial advisory, legal, and other professional services, in connection with the Business Combination prior to the Closing. These costs are non-recurring in nature.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202" w:lineRule="exact"/>
        <w:rPr>
          <w:rFonts w:ascii="Times New Roman" w:cs="Times New Roman" w:eastAsia="Times New Roman" w:hAnsi="Times New Roman"/>
          <w:sz w:val="18"/>
          <w:szCs w:val="18"/>
          <w:color w:val="auto"/>
        </w:rPr>
      </w:pPr>
    </w:p>
    <w:p>
      <w:pPr>
        <w:ind w:left="1000" w:right="60" w:hanging="439"/>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$11.1 million of transaction costs incurred by Blaize in conjunction with the Business Combination and which are capitalized within prepaid expenses and other current assets as of December 31, 2024. Upon the close of the Business Combination, such costs were reclassified as an equity issuance cost, resulting in a $11.1 million decrease to prepaid expenses and other current assets and a $11.1 million decrease to additional paid-in capital. Refer to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assets</w:t>
      </w:r>
      <w:r>
        <w:rPr>
          <w:rFonts w:ascii="Times New Roman" w:cs="Times New Roman" w:eastAsia="Times New Roman" w:hAnsi="Times New Roman"/>
          <w:sz w:val="18"/>
          <w:szCs w:val="18"/>
          <w:color w:val="auto"/>
        </w:rPr>
        <w:t>, for the corresponding pro forma adjusting entries.</w:t>
      </w:r>
    </w:p>
    <w:p>
      <w:pPr>
        <w:spacing w:after="0" w:line="210"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206" w:lineRule="exact"/>
        <w:rPr>
          <w:rFonts w:ascii="Times New Roman" w:cs="Times New Roman" w:eastAsia="Times New Roman" w:hAnsi="Times New Roman"/>
          <w:sz w:val="18"/>
          <w:szCs w:val="18"/>
          <w:color w:val="auto"/>
        </w:rPr>
      </w:pPr>
    </w:p>
    <w:p>
      <w:pPr>
        <w:ind w:left="1000" w:right="120" w:hanging="439"/>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preliminary estimated fair value of liability classified Blaize Equityholders’ Earnout Shares of $88.5 million as of December 31, 2024, with a corresponding recognition of $88.5 million Earnout Shares liability. Refer to Note 4(H),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for the corresponding pro forma adjusting entries and Note 6 for further information.</w:t>
      </w:r>
    </w:p>
    <w:p>
      <w:pPr>
        <w:spacing w:after="0" w:line="202"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pro forma adjusting entries. The warrant treatment assumes that certain warrants were out of the money at Closing Date remain unexercised and therefore expire.</w:t>
      </w:r>
    </w:p>
    <w:p>
      <w:pPr>
        <w:spacing w:after="0" w:line="206" w:lineRule="exact"/>
        <w:rPr>
          <w:rFonts w:ascii="Times New Roman" w:cs="Times New Roman" w:eastAsia="Times New Roman" w:hAnsi="Times New Roman"/>
          <w:sz w:val="18"/>
          <w:szCs w:val="18"/>
          <w:color w:val="auto"/>
        </w:rPr>
      </w:pPr>
    </w:p>
    <w:p>
      <w:pPr>
        <w:ind w:left="1000" w:right="80" w:hanging="439"/>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conversion of 44,494,703 shares of Blaize Redeemable Convertible Preferred Stock into 44,494,703 shares of Blaize Common Stock, immediately prior to the Closing of the Business Combination as part of the Blaize Security Conversion event, resulting in the reclassification of $173.3 million from mezzanine equity to permanent equity. Refer to Note 4(K),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for the corresponding pro forma adjusting entries.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60" w:top="268" w:right="459" w:bottom="1440" w:gutter="0" w:footer="0" w:header="0"/>
        </w:sectPr>
      </w:pPr>
    </w:p>
    <w:bookmarkStart w:id="76" w:name="page77"/>
    <w:bookmarkEnd w:id="76"/>
    <w:p>
      <w:pPr>
        <w:jc w:val="both"/>
        <w:ind w:left="1000" w:right="760" w:hanging="439"/>
        <w:spacing w:after="0" w:line="26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Represents the reclassification of $36.7 million of BurTech’s Redeemable Class A Common Stock from temporary equity (mezzanine) to permanent equity after giving effect to redemptions Refer to Note 4(L), </w:t>
      </w:r>
      <w:r>
        <w:rPr>
          <w:rFonts w:ascii="Times New Roman" w:cs="Times New Roman" w:eastAsia="Times New Roman" w:hAnsi="Times New Roman"/>
          <w:sz w:val="18"/>
          <w:szCs w:val="18"/>
          <w:i w:val="1"/>
          <w:iCs w:val="1"/>
          <w:color w:val="auto"/>
        </w:rPr>
        <w:t>Class A Common Stock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220" w:hanging="439"/>
        <w:spacing w:after="0" w:line="26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$3.9 million of stock-based compensation expense associated with Blaize performance-based equity awards that have a portion that are immediately vested upon the successful completion of a Business Combination. Refer to Note 4(P)(v),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20" w:hanging="439"/>
        <w:spacing w:after="0" w:line="261"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$30.6 million elimination of BurTech’s historical accumulated deficit as part of the reverse recapitalization at the Closing of the Business Combination, after giving effect to the $7.3 million of transaction costs expected to be incurred by BurTech related to the Business Combination (as described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4(P)(vi),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00" w:right="120" w:hanging="439"/>
        <w:spacing w:after="0" w:line="26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reversal of the $1.1 million BurTech derivative liability related to the Non-Redemption Agreement in connection with the consummation of the Business Combination. Refer to Note 4(Q), </w:t>
      </w:r>
      <w:r>
        <w:rPr>
          <w:rFonts w:ascii="Times New Roman" w:cs="Times New Roman" w:eastAsia="Times New Roman" w:hAnsi="Times New Roman"/>
          <w:sz w:val="18"/>
          <w:szCs w:val="18"/>
          <w:i w:val="1"/>
          <w:iCs w:val="1"/>
          <w:color w:val="auto"/>
        </w:rPr>
        <w:t>Derivative liability — Non-Redemption Agreement</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540" w:right="20" w:hanging="532"/>
        <w:spacing w:after="0" w:line="284"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Accumulated deficit — </w:t>
      </w:r>
      <w:r>
        <w:rPr>
          <w:rFonts w:ascii="Times New Roman" w:cs="Times New Roman" w:eastAsia="Times New Roman" w:hAnsi="Times New Roman"/>
          <w:sz w:val="18"/>
          <w:szCs w:val="18"/>
          <w:color w:val="auto"/>
        </w:rPr>
        <w:t>Represents the impact of the Business Combination on accumulated deficit. The table below reflects the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as follows:</w:t>
      </w:r>
    </w:p>
    <w:p>
      <w:pPr>
        <w:spacing w:after="0" w:line="16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60" w:type="dxa"/>
            <w:vAlign w:val="bottom"/>
            <w:vMerge w:val="restart"/>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35"/>
        </w:trPr>
        <w:tc>
          <w:tcPr>
            <w:tcW w:w="65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Transaction Expenses</w:t>
            </w:r>
          </w:p>
        </w:tc>
        <w:tc>
          <w:tcPr>
            <w:tcW w:w="8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4(P)(i)</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4(P)(ii)</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Blaize Convertible Notes</w:t>
            </w:r>
          </w:p>
        </w:tc>
        <w:tc>
          <w:tcPr>
            <w:tcW w:w="8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4(P)(iii)</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(262,833)</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Warrants</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4(P)(iv)</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(83,537)</w:t>
            </w: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8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4(P)(v)</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(elimination) and other charges</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4(P)(vi)</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Accumulated deficit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(328,099)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000" w:right="40" w:hanging="439"/>
        <w:spacing w:after="0" w:line="28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certain transaction related expenses incurred subsequent to December 31, 2024 by BurTech prior to the Closing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65" w:lineRule="exact"/>
        <w:rPr>
          <w:rFonts w:ascii="Times New Roman" w:cs="Times New Roman" w:eastAsia="Times New Roman" w:hAnsi="Times New Roman"/>
          <w:sz w:val="18"/>
          <w:szCs w:val="18"/>
          <w:color w:val="auto"/>
        </w:rPr>
      </w:pPr>
    </w:p>
    <w:p>
      <w:pPr>
        <w:ind w:left="1000" w:right="440" w:hanging="439"/>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 relative fair value allocation compared to all financial instruments issued</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00"/>
          </w:cols>
          <w:pgMar w:left="860" w:top="270" w:right="539" w:bottom="1440" w:gutter="0" w:footer="0" w:header="0"/>
        </w:sectPr>
      </w:pPr>
    </w:p>
    <w:bookmarkStart w:id="77" w:name="page78"/>
    <w:bookmarkEnd w:id="77"/>
    <w:p>
      <w:pPr>
        <w:ind w:left="142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85" w:lineRule="exact"/>
        <w:rPr>
          <w:sz w:val="20"/>
          <w:szCs w:val="20"/>
          <w:color w:val="auto"/>
        </w:rPr>
      </w:pPr>
    </w:p>
    <w:p>
      <w:pPr>
        <w:ind w:left="1420" w:hanging="439"/>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final remeasurement of Blaize convertible notes which are accounted for under the fair value option, at the time of the Blaize Security Conversion resulting in an increase to accumulated deficit of $262.8 million.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final remeasurement of Blaize liability classified warrants at the time of the Warrant Event, which results in a</w:t>
      </w:r>
    </w:p>
    <w:p>
      <w:pPr>
        <w:spacing w:after="0" w:line="27" w:lineRule="exact"/>
        <w:rPr>
          <w:rFonts w:ascii="Times New Roman" w:cs="Times New Roman" w:eastAsia="Times New Roman" w:hAnsi="Times New Roman"/>
          <w:sz w:val="18"/>
          <w:szCs w:val="18"/>
          <w:color w:val="auto"/>
        </w:rPr>
      </w:pPr>
    </w:p>
    <w:p>
      <w:pPr>
        <w:ind w:left="14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$83.5 million loss on remeasurement to mark the warrants to fair value. Adjustment includes the recognition of $79 thousand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adjusting pro forma entries.</w:t>
      </w:r>
    </w:p>
    <w:p>
      <w:pPr>
        <w:spacing w:after="0" w:line="94" w:lineRule="exact"/>
        <w:rPr>
          <w:rFonts w:ascii="Times New Roman" w:cs="Times New Roman" w:eastAsia="Times New Roman" w:hAnsi="Times New Roman"/>
          <w:sz w:val="18"/>
          <w:szCs w:val="18"/>
          <w:color w:val="auto"/>
        </w:rPr>
      </w:pPr>
    </w:p>
    <w:p>
      <w:pPr>
        <w:ind w:left="1420" w:right="160" w:hanging="439"/>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$3.9 million of stock-based compensation expense associated with Blaize performance-based equity awards that have a portion that are immediately vested upon the successful completion of the Business Combination. Refer to Note 4(O) (viii),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420" w:right="300" w:hanging="439"/>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BurTech’s historical accumulated deficit to additional paid-in capital in connection with the consummation of the Business Combination, inclusive of the $7.3 million discussed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Refer to Note 4(O)ix,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960" w:right="240" w:hanging="532"/>
        <w:spacing w:after="0" w:line="267"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 liability — Non-Redemption Agreement </w:t>
      </w:r>
      <w:r>
        <w:rPr>
          <w:rFonts w:ascii="Times New Roman" w:cs="Times New Roman" w:eastAsia="Times New Roman" w:hAnsi="Times New Roman"/>
          <w:sz w:val="18"/>
          <w:szCs w:val="18"/>
          <w:color w:val="auto"/>
        </w:rPr>
        <w:t>— Reflects the reversal of the $1.1 million BurTech derivative liability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 in connection with the consummation of the Business Combination. Refer to Note 4(O)(xi),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paid-in capital</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960" w:right="140" w:hanging="532"/>
        <w:spacing w:after="0" w:line="258"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Amount represents the reclassification of $33.1 million from cash and cash equivalents to restricted cash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the corresponding pro forma adjusting entries.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Adjustments to Unaudited Pro Forma Condensed Combined Statement of Operations for the Year Ended December 31, 2024</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2024, are as follows:</w:t>
      </w:r>
    </w:p>
    <w:p>
      <w:pPr>
        <w:spacing w:after="0" w:line="67" w:lineRule="exact"/>
        <w:rPr>
          <w:sz w:val="20"/>
          <w:szCs w:val="20"/>
          <w:color w:val="auto"/>
        </w:rPr>
      </w:pPr>
    </w:p>
    <w:p>
      <w:pPr>
        <w:ind w:left="1420" w:right="6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assuming the Closing of the Business Combination occurred on January 1, 2023, with details of the effects on the impacted financial statement line items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8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gridSpan w:val="2"/>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540" w:type="dxa"/>
            <w:vAlign w:val="bottom"/>
            <w:gridSpan w:val="4"/>
          </w:tcPr>
          <w:p>
            <w:pPr>
              <w:ind w:left="580"/>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35"/>
        </w:trPr>
        <w:tc>
          <w:tcPr>
            <w:tcW w:w="5500" w:type="dxa"/>
            <w:vAlign w:val="bottom"/>
            <w:gridSpan w:val="3"/>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5(A)(i)</w:t>
            </w:r>
          </w:p>
        </w:tc>
        <w:tc>
          <w:tcPr>
            <w:tcW w:w="7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upon achievement of performance condition</w:t>
            </w:r>
          </w:p>
        </w:tc>
        <w:tc>
          <w:tcPr>
            <w:tcW w:w="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5(A)(ii)</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8,521</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420" w:right="260" w:hanging="439"/>
        <w:spacing w:after="0" w:line="261"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6) recognized stock-based compensation for the year as an increase of $5.1 million to research and development expense and $6.6 million to selling, general and administrative expense.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8" w:name="page79"/>
    <w:bookmarkEnd w:id="78"/>
    <w:p>
      <w:pPr>
        <w:ind w:left="1420" w:right="220" w:hanging="439"/>
        <w:spacing w:after="0" w:line="25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Business Combination. The Company has recorded the incremental stock- based compensation expense for the year as an increase of $3.5 million to research and development expense and $0.5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960" w:right="20" w:hanging="532"/>
        <w:spacing w:after="0" w:line="274" w:lineRule="auto"/>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transaction expenses incurred by both BurTech and Blaize prior to Closing. Impact is calculated as (i) $11.4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w:t>
      </w:r>
    </w:p>
    <w:p>
      <w:pPr>
        <w:spacing w:after="0" w:line="78" w:lineRule="exact"/>
        <w:rPr>
          <w:rFonts w:ascii="Times New Roman" w:cs="Times New Roman" w:eastAsia="Times New Roman" w:hAnsi="Times New Roman"/>
          <w:sz w:val="17"/>
          <w:szCs w:val="17"/>
          <w:color w:val="auto"/>
        </w:rPr>
      </w:pPr>
    </w:p>
    <w:p>
      <w:pPr>
        <w:ind w:left="960" w:right="260" w:hanging="532"/>
        <w:spacing w:after="0" w:line="261"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elimination of $10.0 million of loss on changes in the fair value of Blaize’s convertible notes, which were accounted for under the fair value option during the year ended December 31, 2024, offset by (ii) the reflection of a final fair value measurement associated with all convertible notes, assuming the date of the closing is January 1, 2023, resulting in a loss on remeasurement of $262.8 million.</w:t>
      </w:r>
    </w:p>
    <w:p>
      <w:pPr>
        <w:spacing w:after="0" w:line="85"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impacts to the pro forma statement of operations associated of the various warrants, the details of such effect are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2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6"/>
        </w:trPr>
        <w:tc>
          <w:tcPr>
            <w:tcW w:w="67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loss on changes in fair value of warrants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5(E)(i)</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remeasurement of warrants at time of Warrant Event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5(E)(ii)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(83,537)</w:t>
            </w:r>
          </w:p>
        </w:tc>
      </w:tr>
      <w:tr>
        <w:trPr>
          <w:trHeight w:val="27"/>
        </w:trPr>
        <w:tc>
          <w:tcPr>
            <w:tcW w:w="7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Warrants</w:t>
            </w: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(77,836)</w:t>
            </w:r>
          </w:p>
        </w:tc>
      </w:tr>
      <w:tr>
        <w:trPr>
          <w:trHeight w:val="20"/>
        </w:trPr>
        <w:tc>
          <w:tcPr>
            <w:tcW w:w="7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0" w:right="240" w:hanging="439"/>
        <w:spacing w:after="0" w:line="282" w:lineRule="auto"/>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$5.7 million of loss on changes in the fair value of Blaize’s liability classified warrants during the year ended December 31, 2024.</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final fair value measurement associated with all liability classified warrants at the time of the Warrant event, assuming the date of the Closing is January 1, 2023. Such measurement results in a loss on remeasurement of $83.5 million.</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$2.5 million of BurTech’s historical interest income earned on the funds held in the Trust Account, which was dissolved and liquidated upon the Closing of the Business Combination.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$1.1 million change in fair value of the derivative liability related to the Non-Redemption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Earnouts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w:t>
      </w:r>
    </w:p>
    <w:p>
      <w:pPr>
        <w:spacing w:after="0" w:line="89" w:lineRule="exact"/>
        <w:rPr>
          <w:sz w:val="20"/>
          <w:szCs w:val="20"/>
          <w:color w:val="auto"/>
        </w:rPr>
      </w:pPr>
    </w:p>
    <w:p>
      <w:pPr>
        <w:ind w:left="960" w:hanging="424"/>
        <w:spacing w:after="0" w:line="25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79" w:name="page80"/>
    <w:bookmarkEnd w:id="79"/>
    <w:p>
      <w:pPr>
        <w:ind w:left="964" w:right="60" w:hanging="424"/>
        <w:spacing w:after="0" w:line="258"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w:t>
      </w:r>
    </w:p>
    <w:p>
      <w:pPr>
        <w:spacing w:after="0" w:line="183"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w:t>
      </w:r>
    </w:p>
    <w:p>
      <w:pPr>
        <w:spacing w:after="0" w:line="322"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Holders of Blaize Stock Options and Blaize RSUs</w:t>
      </w:r>
    </w:p>
    <w:p>
      <w:pPr>
        <w:spacing w:after="0" w:line="11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w:t>
      </w:r>
    </w:p>
    <w:p>
      <w:pPr>
        <w:spacing w:after="0" w:line="189" w:lineRule="exact"/>
        <w:rPr>
          <w:sz w:val="20"/>
          <w:szCs w:val="20"/>
          <w:color w:val="auto"/>
        </w:rPr>
      </w:pPr>
    </w:p>
    <w:p>
      <w:pPr>
        <w:ind w:left="4" w:right="100" w:firstLine="440"/>
        <w:spacing w:after="0" w:line="289" w:lineRule="auto"/>
        <w:rPr>
          <w:sz w:val="20"/>
          <w:szCs w:val="20"/>
          <w:color w:val="auto"/>
        </w:rPr>
      </w:pPr>
      <w:r>
        <w:rPr>
          <w:rFonts w:ascii="Times New Roman" w:cs="Times New Roman" w:eastAsia="Times New Roman" w:hAnsi="Times New Roman"/>
          <w:sz w:val="17"/>
          <w:szCs w:val="17"/>
          <w:color w:val="auto"/>
        </w:rPr>
        <w:t>The preliminary estimated fair value of the Blaize Earnout Shares subject to ASC 718 was $58.2 million, assuming the service conditions were met and assuming no forfeitures. The vested amounts of $11.6 million for the year ended December 31, 2024 were recorded as stock- based compensation expense in the unaudited pro forma condensed combined statements of operations as it was probable the market condition would be met.</w:t>
      </w:r>
    </w:p>
    <w:p>
      <w:pPr>
        <w:spacing w:after="0" w:line="304"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Blaize and Burkhan</w:t>
      </w:r>
    </w:p>
    <w:p>
      <w:pPr>
        <w:spacing w:after="0" w:line="11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80" w:name="page81"/>
    <w:bookmarkEnd w:id="80"/>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w:t>
      </w:r>
    </w:p>
    <w:p>
      <w:pPr>
        <w:spacing w:after="0" w:line="180"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has placed a value of $88.5 million on the liability. The earnout liability will be remeasured at each reporting date with changes in the fair value recorded to earnings.</w:t>
      </w:r>
    </w:p>
    <w:p>
      <w:pPr>
        <w:spacing w:after="0" w:line="308"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Earnout Shares</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Blaize Earnout Consideration that was not subject to ASC 718 was determined by using the assumed stock price of Blaize of $10.00 at the grant date and multiplying it by the expected probability of achieving the market conditions.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7 — Net Loss Per Share</w:t>
      </w:r>
    </w:p>
    <w:p>
      <w:pPr>
        <w:spacing w:after="0" w:line="12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 shares outstanding for basic and diluted net loss per share assumes the shares issued in connection with the Business Combination and other related events have been outstanding for the entire periods presented.</w:t>
      </w:r>
    </w:p>
    <w:p>
      <w:pPr>
        <w:spacing w:after="0" w:line="204"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r>
      <w:tr>
        <w:trPr>
          <w:trHeight w:val="209"/>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7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(4.19)</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Weighted average shares outstanding for both basic and diluted was calculated as follows for the year ended December 31, 2024:</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2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stockholders</w:t>
            </w:r>
          </w:p>
        </w:tc>
        <w:tc>
          <w:tcPr>
            <w:tcW w:w="3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55,571,107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BurTech’s public stockholders</w:t>
            </w:r>
          </w:p>
        </w:tc>
        <w:tc>
          <w:tcPr>
            <w:tcW w:w="3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5,456,999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 &amp; related parties</w:t>
            </w:r>
          </w:p>
        </w:tc>
        <w:tc>
          <w:tcPr>
            <w:tcW w:w="3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14,456,132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Final closing lenders</w:t>
            </w:r>
          </w:p>
        </w:tc>
        <w:tc>
          <w:tcPr>
            <w:tcW w:w="3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25,673,479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431,250</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Total Weighted Average Shares Outstanding</w:t>
            </w:r>
          </w:p>
        </w:tc>
        <w:tc>
          <w:tcPr>
            <w:tcW w:w="29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94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70" w:right="519" w:bottom="1440" w:gutter="0" w:footer="0" w:header="0"/>
        </w:sectPr>
      </w:pPr>
    </w:p>
    <w:bookmarkStart w:id="81" w:name="page82"/>
    <w:bookmarkEnd w:id="81"/>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outstanding shares of Blaize Common Stock equivalents were excluded from the computation of pro forma diluted net loss per share because including them would have had an anti-dilutive effect for the year ended December 31, 2024:</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ind w:left="340"/>
              <w:spacing w:after="0" w:line="210" w:lineRule="exact"/>
              <w:rPr>
                <w:sz w:val="20"/>
                <w:szCs w:val="20"/>
                <w:color w:val="auto"/>
              </w:rPr>
            </w:pPr>
            <w:r>
              <w:rPr>
                <w:rFonts w:ascii="Times New Roman" w:cs="Times New Roman" w:eastAsia="Times New Roman" w:hAnsi="Times New Roman"/>
                <w:sz w:val="17"/>
                <w:szCs w:val="17"/>
                <w:color w:val="auto"/>
              </w:rPr>
              <w:t>Blaize Stock Options and RSUs</w:t>
            </w:r>
            <w:r>
              <w:rPr>
                <w:rFonts w:ascii="Times New Roman" w:cs="Times New Roman" w:eastAsia="Times New Roman" w:hAnsi="Times New Roman"/>
                <w:sz w:val="24"/>
                <w:szCs w:val="24"/>
                <w:color w:val="auto"/>
                <w:vertAlign w:val="superscript"/>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31,679,816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898,250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78,928,066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6" w:lineRule="exact"/>
        <w:rPr>
          <w:sz w:val="20"/>
          <w:szCs w:val="20"/>
          <w:color w:val="auto"/>
        </w:rPr>
      </w:pPr>
    </w:p>
    <w:p>
      <w:pPr>
        <w:ind w:left="424" w:right="10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gives effect to the net impact of (399,000) options that have been granted or cancelled from January 1, 2025 through the date of this filing.</w:t>
      </w:r>
    </w:p>
    <w:p>
      <w:pPr>
        <w:spacing w:after="0" w:line="94" w:lineRule="exact"/>
        <w:rPr>
          <w:sz w:val="20"/>
          <w:szCs w:val="20"/>
          <w:color w:val="auto"/>
        </w:rPr>
      </w:pPr>
    </w:p>
    <w:p>
      <w:pPr>
        <w:jc w:val="center"/>
        <w:ind w:right="-383"/>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0644"/>
          </w:cols>
          <w:pgMar w:left="436" w:top="270" w:right="8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MANAGEMENT’S DISCUSSION AND ANALYSIS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Blaize Inc., (“us”, “our”, “we” and “Blaize”) should be read together with our audited consolidated financial statements and related notes filed as Exhibit 99.1 to this Current Report on 8-K (the “Current Report”). Some of the information contained in this discussion and analysis, including information with respect to our plans, objectives, expectations, projections, and strategy for our business, includes forward-looking statements that involve risks and uncertainties. As a result of many factors, including those factors set out in the “Risk Factors” section of our Annual Report on Form 10-K for the year ended December 31, 2024 (our “Annual Report”), our actual results could differ materially from the results described in or implied by these forward-looking statements. See also the section entitled “Cautionary Statement Regarding Forward-Looking Statements” in our Annual Report.” Certain amounts may not foot due to rounding, and all figures presented are in thousands.</w:t>
      </w:r>
    </w:p>
    <w:p>
      <w:pPr>
        <w:spacing w:after="0" w:line="18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“us,” and “our” in this section generally refer to Blaize, Inc. before the Business Combination (as defined below) or, from and after the Business Combination, Blaize Holdings Inc.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pipeline continues to expand, driven by strong and accelerating market interest in Edge AI[LW5] , and ongoing engagement with high-quality prospective customers across key sectors, including, but not limited to, Smart Cities, defense, and the automotive industry.</w:t>
      </w:r>
    </w:p>
    <w:p>
      <w:pPr>
        <w:spacing w:after="0" w:line="67" w:lineRule="exact"/>
        <w:rPr>
          <w:sz w:val="20"/>
          <w:szCs w:val="20"/>
          <w:color w:val="auto"/>
        </w:rPr>
      </w:pPr>
    </w:p>
    <w:p>
      <w:pPr>
        <w:ind w:left="960" w:right="8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technology agreement with KAIST to produce new edge AI computing applications across biomedical, neuromorphic, photovoltaics, thermoelectrics and green hydrogen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alwaysAI to revolutionize real-time insights with AI Edge Computing and advanced computer vision applications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VSBLTY to develop new AI-enabled hybrid technology for large-scale global safety and security solutions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Turbo Federal to procure contracts to accelerate AI solutions for the U.S. Department of Defense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22, 2023, as amended on April 22, 2024, October 24, 2024 and November 21, 2024, the Company entered into a Merger Agreement with BurTech Merger Sub, Inc (“Merger Sub”), Blaize, Inc. (“Legacy Blaize”), and solely for the limited purposes of the transaction, Burkhan Capital LLC, a Delaware limited liability company and affiliate of BurTech (“Burkhan”), pursuant to which Merger Sub would merge with and into Legacy Blaize, with Legacy Blaize surviving the Business Combination as a wholly owned subsidiary of the Company.</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and around December 31, 2024, the Company and certain unaffiliated stockholders of the Company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Common Stock (“Non-Redeemed Shares”) and, in exchange,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w:t>
      </w:r>
    </w:p>
    <w:p>
      <w:pPr>
        <w:sectPr>
          <w:pgSz w:w="11900" w:h="16838" w:orient="portrait"/>
          <w:cols w:equalWidth="0" w:num="1">
            <w:col w:w="11020"/>
          </w:cols>
          <w:pgMar w:left="440" w:top="266" w:right="439" w:bottom="99" w:gutter="0" w:footer="0" w:header="0"/>
        </w:sectPr>
      </w:pPr>
    </w:p>
    <w:bookmarkStart w:id="83" w:name="page84"/>
    <w:bookmarkEnd w:id="83"/>
    <w:p>
      <w:pPr>
        <w:ind w:right="3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December 31, 2024 through January 13, 2025, BurTech Acquisition Corp. (“BurTech”), Legacy Blaize and certain subscribers (each, a “Subscriber” and collectively, the “Subscribers”) entered into subscription agreements (each, a “PIPE Subscription Agreement” and collectively, the “PIPE Subscription Agreements”) pursuant to which BurTech issued and sold to the Subscribers, immediately prior to the closing of the Business Combination, collectively, 1,540,300, shares of Class A Stock (the “PIPE Shares”) at a price per share equal to $10.00 (the “PIPE Investment”).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Immediately before the closing of the Business Combination and pursuant to the terms of the Merger Agreement, the Legacy Blaize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Business Combination, each share of Blaize common stock issued and outstanding were canceled and converted into the right to receive shares of Blaize Holdings Class A common stock and each share of Merger Sub Capital Stock was converted into one share of Blaize Holdings Class A common stock, par value $0.0001. 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and pursuant to the terms of the Merger Agreement, on January 13, 2025, BurTech, Merger Sub, Blaize and Burkhan confirmed to one another that all conditions to the closing set forth in Article IX of the Merger Agreement have been satisfied, and expressly waived the conditions that remained unsatisfied on such date through the execution of that certain Letter Agreement (the “Letter Agreement”), dated as of January 13, 2025, by and among BurTech, Merger Sub, Blaize, Burkhan, and BurTech’s sponsor, BurTech LP LLC, a Delaware corporation (the “ Sponsor”) which is attached hereto as Exhibit 10.15 to this Report, and which is incorporated herein by reference. Pursuant to the Letter Agreement, Blaize waived the conditions to Closing (1) under Section 9.3(d) of the Merger Agreement that BurTech have available proceeds of not less than $125,000,000 remaining upon the consummation of the Merger, and (2) under Section 9.3(f) of the Merger Agreement that the sum of the BurTech trust account plus the amount of immediately available funds received by BurTech pursuant to purchases of shares of Class A Stock on the terms provided in the Backstop Subscription Agreement (the “Backstop Agreement”), dated as of April 22, 2024, by and among BurTech, Blaize and the Sponsor, shall be no less than $30,000,000, to allow the parties to proceed to Closing. Pursuant to the Letter Agreement, BurTech waived the obligations of the Sponsor under the Backstop Agreement and, in lieu of such obligations, Burkhan entered into a PIPE Subscription Agreement to purchase an aggregate of 1,200,000 shares of Class A Stock at a purchase price of $10.00 per share for aggregate proceeds of $12,000,000 to the Company. Pursuant to the Letter Agreement, the Company agreed to register for resale within four (4) business days of the closing of the Business Combination, pursuant to the Securities Act, certain shares of the Sponsor and the Sponsor Group (as defined in the A&amp;R Registration Rights Agreement) on the same terms and subject to the same conditions as the Registration Rights Agreement.</w:t>
      </w:r>
    </w:p>
    <w:p>
      <w:pPr>
        <w:spacing w:after="0" w:line="1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19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and certain stockholders of Legacy Blaize entered into that certain Registration Rights Agreement (the “Ava Registration Rights Agreement”).</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“Lock-Up Period”). At Closing, approximately 34.39% of the total issued and outstanding shares of Common Stock are subject to lock-up restrictions in connection with the Stockholder Lock-Up Agreement.</w:t>
      </w:r>
    </w:p>
    <w:p>
      <w:pPr>
        <w:sectPr>
          <w:pgSz w:w="11900" w:h="16838" w:orient="portrait"/>
          <w:cols w:equalWidth="0" w:num="1">
            <w:col w:w="11000"/>
          </w:cols>
          <w:pgMar w:left="440" w:top="270" w:right="459" w:bottom="1440" w:gutter="0" w:footer="0" w:header="0"/>
        </w:sectPr>
      </w:pPr>
    </w:p>
    <w:bookmarkStart w:id="84" w:name="page85"/>
    <w:bookmarkEnd w:id="8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Business Combination, 28,750,000 of public warrants and 898,250 of private warrants of BurTech that were outstanding immediately before to the Merger became warrants of Blaize Holdings.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Concurrent with the Business Combination, holders of Blaize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1" w:lineRule="exact"/>
        <w:rPr>
          <w:sz w:val="20"/>
          <w:szCs w:val="20"/>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13, 2025, pursuant to the Merger Agreement, Merger Sub merged with and into Legacy Blaize (the “Merger”), the separate corporate existence of Merger Sub ceased and Legacy Blaize survived as a wholly owned subsidiary of the Company (collectively, the Business Combination”). Following the closing of the Business Combination, we changed our name to Blaize Holdings, Inc. While we are the legal acquiror of Legacy Blaize in the Business Combination, Legacy Blaize is deemed to be the accounting acquiror, and the historical financial statements of Legacy Blaize became the historical financial statements of the Company upon the closing of the Business Combination.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Advisor Fees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BurTech engaged Jefferies as capital markets advisor. Pursuant to the engagement, Jefferies is entitled to receive a fee of $4.5 million upon the Closing of the Business Combination, with the option for the Company to defer up to $1 million of this fee for up to 12 months post-closing. As of the date of this Form 8-K/A, no fees have been paid to Jefferies under its engagement.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our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December 22, 2023, as amended on April 22, 2024, October 24, 2024 and November 21, 2024, we entered into the Merger Agreement with BurTech, Merger Sub, and, solely for the limited purposes of the transaction, Burkhan. On January 13, 2025, upon closing of the Business Combination, Merger Sub merged with and into Blaize, with Blaize surviving as the surviving company as a direct, wholly owned subsidiary of BurTech.</w:t>
      </w:r>
    </w:p>
    <w:p>
      <w:pPr>
        <w:spacing w:after="0" w:line="15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Under this method of accounting, Blaize is treated as the accounting acquirer and BurTech is treated as the acquired company for financial statement reporting purposes. We are deemed as the accounting acquirer and the successor SEC registrant, meaning that our financial statements for previous periods will be disclosed in the registrant’s future periodic reports filed with the SEC.</w:t>
      </w:r>
    </w:p>
    <w:p>
      <w:pPr>
        <w:spacing w:after="0" w:line="15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As a consequence of the Business Combination, Blaize is the successor to an SEC-registered and Nasdaq- listed company, which requires Blaize to hire additional personnel and implement procedures and processes to address public company regulatory requirements and customary practices. We will</w:t>
      </w:r>
    </w:p>
    <w:p>
      <w:pPr>
        <w:sectPr>
          <w:pgSz w:w="11900" w:h="16838" w:orient="portrait"/>
          <w:cols w:equalWidth="0" w:num="1">
            <w:col w:w="11000"/>
          </w:cols>
          <w:pgMar w:left="440" w:top="270" w:right="459" w:bottom="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incur additional annual expenses as a public company for, among other things, directors’ and officers’ liability insurance, director fees and additional internal and external accounting and legal and administrative resources, including increased audit and legal fees.</w:t>
      </w:r>
    </w:p>
    <w:p>
      <w:pPr>
        <w:sectPr>
          <w:pgSz w:w="11900" w:h="16838" w:orient="portrait"/>
          <w:cols w:equalWidth="0" w:num="1">
            <w:col w:w="10720"/>
          </w:cols>
          <w:pgMar w:left="440" w:top="121" w:right="7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Business Metrics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November 11, 2024, a total of 23 POCs have been initiated or are in progress with a potential customer.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October 25, 2024, Blaize has a total of 30 Partners.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November 11, 2024, a total of 11 Design Wins have been confirmed with a Partner or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1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cost of revenue (exclusive of depreciation and amortization) also includes direct labor costs associated with the servicing of our engineering services revenue contracts.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ectPr>
          <w:pgSz w:w="11900" w:h="16838" w:orient="portrait"/>
          <w:cols w:equalWidth="0" w:num="1">
            <w:col w:w="11000"/>
          </w:cols>
          <w:pgMar w:left="440" w:top="266"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general and administrative expense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results of our operations for the periods presented, as well as the changes between periods. The period-to-period comparison of financial results is not necessarily indicative of future results.</w:t>
      </w:r>
    </w:p>
    <w:p>
      <w:pPr>
        <w:sectPr>
          <w:pgSz w:w="11900" w:h="16838" w:orient="portrait"/>
          <w:cols w:equalWidth="0" w:num="1">
            <w:col w:w="10920"/>
          </w:cols>
          <w:pgMar w:left="440" w:top="268"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ended December 31, 2024 compared to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2024 and 2023,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80" w:type="dxa"/>
            <w:vAlign w:val="bottom"/>
          </w:tcPr>
          <w:p>
            <w:pPr>
              <w:spacing w:after="0"/>
              <w:rPr>
                <w:sz w:val="13"/>
                <w:szCs w:val="13"/>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7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18,115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17,303</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6,805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(38,528)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9,107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(35,832)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(35,832)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(9,532)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4,756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(49,659)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(35,147)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(62,147)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(88,187)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(26,040)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(26,394)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year ended December 31, 2024 reflects a decrease of $3.1 million, or 84%, compared to the year ended December 31, 2023. This decrease was primarily driven by a $2.9 million decrease in charges for excess inventory and a $0.4 million decrease in direct labor costs commensurate with the decrease in engineering services revenue, partially offset by a $0.1 million increase in costs for inventory carrying costs with an outside supplier and a $0.1 reduction in other miscellaneous costs</w:t>
      </w:r>
    </w:p>
    <w:p>
      <w:pPr>
        <w:sectPr>
          <w:pgSz w:w="11900" w:h="16838" w:orient="portrait"/>
          <w:cols w:equalWidth="0" w:num="1">
            <w:col w:w="11020"/>
          </w:cols>
          <w:pgMar w:left="440" w:top="266"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2024 and 2023 amounted to a net expense of $14.5 million and $49.7 million, respectively, for a decrease of net expense period over period of $35.1 million.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ectPr>
          <w:pgSz w:w="11900" w:h="16838" w:orient="portrait"/>
          <w:cols w:equalWidth="0" w:num="1">
            <w:col w:w="10980"/>
          </w:cols>
          <w:pgMar w:left="440" w:top="268" w:right="479" w:bottom="1440" w:gutter="0" w:footer="0" w:header="0"/>
        </w:sectPr>
      </w:pPr>
    </w:p>
    <w:bookmarkStart w:id="90" w:name="page91"/>
    <w:bookmarkEnd w:id="90"/>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 the Pay-to-Play equity financing charge and the valuation allowance which is driven by the deferred tax assets arising from capitalized research and experimental expenditures and the net operating losses.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a party to the following debt financing agreements during the years ended December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year ended December 31, 2024, we issued approximately a total of $110.7 million in convertible notes under the 2023 NPA, of which $11.5 million in convertible notes under the 2023 NPA to the Sponsor. During the year ended December 31, 2023, we issued approximately</w:t>
      </w:r>
    </w:p>
    <w:p>
      <w:pPr>
        <w:spacing w:after="0" w:line="1"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ectPr>
          <w:pgSz w:w="11900" w:h="16838" w:orient="portrait"/>
          <w:cols w:equalWidth="0" w:num="1">
            <w:col w:w="11000"/>
          </w:cols>
          <w:pgMar w:left="440" w:top="270"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2023-2024 Convertible Notes provides that the notes may be converted as follows:</w:t>
      </w:r>
    </w:p>
    <w:p>
      <w:pPr>
        <w:spacing w:after="0" w:line="131" w:lineRule="exact"/>
        <w:rPr>
          <w:sz w:val="20"/>
          <w:szCs w:val="20"/>
          <w:color w:val="auto"/>
        </w:rPr>
      </w:pPr>
    </w:p>
    <w:p>
      <w:pPr>
        <w:ind w:left="960" w:right="60" w:hanging="424"/>
        <w:spacing w:after="0" w:line="261"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 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960" w:right="140" w:hanging="424"/>
        <w:spacing w:after="0" w:line="25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 diluted capital.</w:t>
      </w:r>
    </w:p>
    <w:p>
      <w:pPr>
        <w:spacing w:after="0" w:line="81" w:lineRule="exact"/>
        <w:rPr>
          <w:rFonts w:ascii="Times New Roman" w:cs="Times New Roman" w:eastAsia="Times New Roman" w:hAnsi="Times New Roman"/>
          <w:sz w:val="18"/>
          <w:szCs w:val="18"/>
          <w:color w:val="auto"/>
        </w:rPr>
      </w:pPr>
    </w:p>
    <w:p>
      <w:pPr>
        <w:ind w:left="960" w:right="140" w:hanging="424"/>
        <w:spacing w:after="0" w:line="25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960" w:right="120" w:hanging="424"/>
        <w:spacing w:after="0" w:line="312" w:lineRule="auto"/>
        <w:tabs>
          <w:tab w:leader="none" w:pos="9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960" w:right="12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ectPr>
          <w:pgSz w:w="11900" w:h="16838" w:orient="portrait"/>
          <w:cols w:equalWidth="0" w:num="1">
            <w:col w:w="11000"/>
          </w:cols>
          <w:pgMar w:left="440" w:top="270" w:right="459" w:bottom="1440" w:gutter="0" w:footer="0" w:header="0"/>
        </w:sectPr>
      </w:pPr>
    </w:p>
    <w:bookmarkStart w:id="92" w:name="page93"/>
    <w:bookmarkEnd w:id="92"/>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sz w:val="20"/>
          <w:szCs w:val="20"/>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2023-2024 Convertible Notes, the outstanding notes were converted, at the option of the holders, to common stock upon the execution of the Merger.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Demand Notes</w:t>
      </w:r>
    </w:p>
    <w:p>
      <w:pPr>
        <w:spacing w:after="0" w:line="119"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Pay-to-Play Notes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960" w:right="140" w:hanging="424"/>
        <w:spacing w:after="0" w:line="261"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88" w:lineRule="exact"/>
        <w:rPr>
          <w:rFonts w:ascii="Times New Roman" w:cs="Times New Roman" w:eastAsia="Times New Roman" w:hAnsi="Times New Roman"/>
          <w:sz w:val="18"/>
          <w:szCs w:val="18"/>
          <w:color w:val="auto"/>
        </w:rPr>
      </w:pPr>
    </w:p>
    <w:p>
      <w:pPr>
        <w:ind w:left="960" w:hanging="424"/>
        <w:spacing w:after="0" w:line="289" w:lineRule="auto"/>
        <w:tabs>
          <w:tab w:leader="none" w:pos="9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ectPr>
          <w:pgSz w:w="11900" w:h="16838" w:orient="portrait"/>
          <w:cols w:equalWidth="0" w:num="1">
            <w:col w:w="11000"/>
          </w:cols>
          <w:pgMar w:left="440" w:top="270" w:right="459" w:bottom="1440" w:gutter="0" w:footer="0" w:header="0"/>
        </w:sectPr>
      </w:pPr>
    </w:p>
    <w:bookmarkStart w:id="93" w:name="page94"/>
    <w:bookmarkEnd w:id="93"/>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 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 rata portion.</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P2P notes, the outstanding P2P Notes were converted, at the option of the holders, to common stock upon the execution of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D, D-1 and D-2 redeemable convertible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September 2022, with the conversion of $32.0 million in existing Series D-2 Notes and incremental cash proceeds of $5.6 million, we issued a total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7,561,820 Series D-2 redeemable convertible preferred stock. The total carrying value recognized from conversion and new proceeds, approximated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million and $5.6 million, prior to issuance costs, respectively. The original issue price and conversion price of Series D-2 redeemable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was $4.9717 per share. The Series D-2 convertible preferred shares were issued with detachable Series D-2 Preferred Stock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expiring September 2025. The Series D-2 Preferred Stock warrants were valued at $1.6 million in total value allocated to the preferred stock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ectPr>
          <w:pgSz w:w="11900" w:h="16838" w:orient="portrait"/>
          <w:cols w:equalWidth="0" w:num="1">
            <w:col w:w="11000"/>
          </w:cols>
          <w:pgMar w:left="440" w:top="270" w:right="459" w:bottom="1440" w:gutter="0" w:footer="0" w:header="0"/>
        </w:sectPr>
      </w:pPr>
    </w:p>
    <w:bookmarkStart w:id="94" w:name="page95"/>
    <w:bookmarkEnd w:id="94"/>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Shadow Preferred stock</w:t>
      </w:r>
    </w:p>
    <w:p>
      <w:pPr>
        <w:spacing w:after="0" w:line="119"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8"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9"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 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4" w:hanging="4"/>
        <w:spacing w:after="0" w:line="253" w:lineRule="auto"/>
        <w:tabs>
          <w:tab w:leader="none" w:pos="3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w:t>
      </w:r>
    </w:p>
    <w:p>
      <w:pPr>
        <w:sectPr>
          <w:pgSz w:w="11900" w:h="16838" w:orient="portrait"/>
          <w:cols w:equalWidth="0" w:num="1">
            <w:col w:w="10944"/>
          </w:cols>
          <w:pgMar w:left="436" w:top="270" w:right="519" w:bottom="1440" w:gutter="0" w:footer="0" w:header="0"/>
        </w:sectPr>
      </w:pPr>
    </w:p>
    <w:bookmarkStart w:id="95" w:name="page96"/>
    <w:bookmarkEnd w:id="9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we had outstanding purchase orders and contractual obligations totaling $0.2 million and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December 31, 2024, the liability balance of our accrued loss on accrued purchase commitments equaled $0.6 million. As of December 31, 2023 the liability balance of our accrued losses on accrued purchase commitments equaled $3.6 million. The accrued losses on accrued purchase commitments as of December 31, 2024 and 2023 are included in the purchase orders and contractual obligations amount.</w:t>
      </w:r>
    </w:p>
    <w:p>
      <w:pPr>
        <w:sectPr>
          <w:pgSz w:w="11900" w:h="16838" w:orient="portrait"/>
          <w:cols w:equalWidth="0" w:num="1">
            <w:col w:w="11000"/>
          </w:cols>
          <w:pgMar w:left="440" w:top="270"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flows for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2024 and 2023:</w:t>
      </w:r>
    </w:p>
    <w:p>
      <w:pPr>
        <w:spacing w:after="0" w:line="12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(53,532)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$(27,955)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101,709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used $ 0.9 million and $0.2 million of cash to purchase property and equipment, respectively. The increase of $0.7 million during the year ended December 31, 2024 was primarily due to the licensing of software.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balance-sheet arrangements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date of this Form 8-K/A,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ectPr>
          <w:pgSz w:w="11900" w:h="16838" w:orient="portrait"/>
          <w:cols w:equalWidth="0" w:num="1">
            <w:col w:w="11000"/>
          </w:cols>
          <w:pgMar w:left="440" w:top="266"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Emerging Growth Company Status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year ended December 31, 2024, the loss on foreign exchange transactions was $0.2 million. For the year ended December 31, 2023, the gain on foreign exchange transactions was not material.</w:t>
      </w:r>
    </w:p>
    <w:p>
      <w:pPr>
        <w:sectPr>
          <w:pgSz w:w="11900" w:h="16838" w:orient="portrait"/>
          <w:cols w:equalWidth="0" w:num="1">
            <w:col w:w="10980"/>
          </w:cols>
          <w:pgMar w:left="440" w:top="266"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our total accounts receivable. As of December 31, 2023, one customer, a related party, accounted for approximately 98% of our total accounts receivable.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(“US GAAP”) requires us to make estimates and assumptions that affect the reported amount of assets and liabilities, the disclosure of contingent assets and liabilities and the reported amounts of revenues and expenses during the reported periods. The more critical accounting estimates include estimates related to revenue, the valuation of accounts receivable, research and development costs, the net realizable value of inventories, impairment of long-lived assets, the fair value of convertible notes and related financing charges, the fair value of warrant liabilities, the valuation of stock-based compensation awards and the accounting for income taxes. These estimates and assumptions are based on historical experience and on various other factors which we believe to be reasonable under the circumstances. We engage, as needed, third-party valuation specialists to assist with estimates related to the valuation of our convertible notes and related financing charges, the valuation of warrant liabilities and the valuation assumptions underlying our stock-based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derive revenue from product sales, software license and development arrangements, joint marketing arrangements and cloud services. 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the terms and conditions of the engagement in identifying the contracts. We determine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we and are distinct in the context of the contract.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w:t>
      </w:r>
    </w:p>
    <w:p>
      <w:pPr>
        <w:sectPr>
          <w:pgSz w:w="11900" w:h="16838" w:orient="portrait"/>
          <w:cols w:equalWidth="0" w:num="1">
            <w:col w:w="11000"/>
          </w:cols>
          <w:pgMar w:left="440" w:top="266"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Step 4: Allocate the transaction price to the performance obligations in the contract.</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we satisfy a performance obligation.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we provide services over period of time.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we expect to receive in exchange for the hardware. We offer unspecified upgrades and support on certain products; however, the related revenue has historically not been significant. Our software license and development arrangements entail revenue from the licensing of our intellectual property (“IP”) and also include nonrecurring engineering development services to configure our IP and hardware to a customer’s needs. For each contract, we consider the promise to deliver a license that grants the customer the right to use the IP, as well as any professional services provided under the contract, as distinct performance obligations. We recognize licensing revenue from such arrangements over the term of the arrangements and recognize professional services over time as the services are provided. We measure progress to completion based on actual costs incurred to date as a percentage of the estimated total cost required to complete the project.</w:t>
      </w:r>
    </w:p>
    <w:p>
      <w:pPr>
        <w:spacing w:after="0" w:line="1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timing of our revenue recognition may differ from the timing of payment by its customers. An unbilled receivable is recorded when revenue is recognized prior to invoicing and we have an unconditional right to payment. Alternatively, when payment precedes the provision of the related services, we record deferred revenue until the performance obligations are satisfied.</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defer incremental costs of obtaining a customer contract and amortize the deferred costs over the period that the related revenue is recognized. We had no material incremental costs to obtain customer contracts in any period presented.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elected to account for shipping and handling fees as fulfillment activities and not separate performance obligations. Accordingly, these fees are reflected in revenue and the related fulfillment costs are accrued as cost of goods sold as the related fulfillment costs incurred. We offer a standard assurance type warranty to customers for hardware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Costs related to our research and development (“R&amp;D”) activities are expensed as incurred. R&amp;D expense consists primarily of personnel costs for our R&amp;D activities. R&amp;D expense also includes costs associated with the design and development of our application-specific integrated circuit (“ASIC”) and IP solutions, such as third-party foundry costs, third-party computer-aided design tools and software licenses, third-party IP licenses, reference design development, and allocated costs, such as facilities and information technology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represents our estimate of the amount of probable credit losses in our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a part of cost of revenue in the consolidated statement of operations.</w:t>
      </w:r>
    </w:p>
    <w:p>
      <w:pPr>
        <w:sectPr>
          <w:pgSz w:w="11900" w:h="16838" w:orient="portrait"/>
          <w:cols w:equalWidth="0" w:num="1">
            <w:col w:w="11000"/>
          </w:cols>
          <w:pgMar w:left="440" w:top="268"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Impairment of Long-Lived Assets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Long-lived assets, which primarily consist of property and equipment and operating lease right-of-use assets are reviewed for impairment whenever events or changes in circumstances indicate that the carrying amount of long-lived assets may not be recoverable. If the sum of the expected undiscounted future cash flows is less than the carrying amount of those assets, we recognize an impairment loss based on the excess of the carrying amount over the fair value of the assets. We estimate the expected undiscounted future cash flows from the use of those assets and their eventual disposition.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account for our convertible notes, some of which contain, complex conversion features or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(ASU 2020-06). We record the convertible note liability at fair value at each period end. Changes in the fair value are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fair value of convertible notes in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issued freestanding warrants in connection with certain convertible debt arrangements and preferred stock issuances which have been recorded as liabilities in the consolidated balance sheets at their estimated fair value. At initial recognition, the warrants are recorded at their estimated fair value calculated using the Black-Scholes-Merton (“Black-Scholes”) option pricing model wherein, depending on the terms of the warrants, certain inputs to the Black-Scholes model are required to be determined via a Monte Carlo Simulation model. The liability associated with these warrants is subject to remeasurement at each balance sheet date, with changes in fair value recorded as remeasurement of warrant liability in the consolidated statements of operations. The warrants continue to be remeasured until the earlier of the expiration or exercise of the warrants.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We use the asset 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We are subject to tax audits in various jurisdictions. We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We include interest expense and penalties related to its uncertain tax positions in income tax expense.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granted stock options to our employees, non-employee consultants and non-employee directors in exchange for services pursuant to the 2011 Plan, which vest upon satisfaction of service-based conditions. We recognize the cost of such stock options based on the fair value of those awards at the date of grant over the requisite service period. The fair value of the stock options granted is determined using the Black-Scholes option pricing model using various inputs, including our estimates of expected stock price volatility, term, risk-free rate and future dividends. We have elected the simplified method to determine the expected term of the stock option grants. We have also granted RSUs to employees and directors in exchange for services pursuant to the 2011 Plan, which vest upon the satisfaction of both a service-based condition and a liquidity event condition, as defined. The fair value of restricted stock units is determined based on our estimated fair value of common stock at the date of grant. We have not recorded any stock-based compensation expense associated with these RSUs as a liquidity event has not occurred. If a liquidity event occurs in the future, we will record service condition has been satisfied prior to the liquidity event, and we will record the remaining unrecognized stock-based compensation over the remainder of the requisite service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w:t>
      </w:r>
    </w:p>
    <w:p>
      <w:pPr>
        <w:sectPr>
          <w:pgSz w:w="11900" w:h="16838" w:orient="portrait"/>
          <w:cols w:equalWidth="0" w:num="1">
            <w:col w:w="11020"/>
          </w:cols>
          <w:pgMar w:left="440" w:top="268" w:right="439" w:bottom="1440" w:gutter="0" w:footer="0" w:header="0"/>
        </w:sectPr>
      </w:pPr>
    </w:p>
    <w:bookmarkStart w:id="101" w:name="page102"/>
    <w:bookmarkEnd w:id="101"/>
    <w:p>
      <w:pPr>
        <w:jc w:val="both"/>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Blaize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 and Exchange</w:t>
      </w:r>
    </w:p>
    <w:p>
      <w:pPr>
        <w:spacing w:after="0" w:line="121"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Blaize is a party to the P2P NPA, pursuant to which Blaize issued, in accordance with the exchange formula therein and the subsequent rights offering completed in November 2023 (the “Rights Offering”), the following shadow preferred shares: (i) an aggregate of 2,020,309 shares of Blaize Series Seed Shadow Preferred Stock in exchange for Blaize’s common stock acquired upon conversion of Blaize Series Seed Preferred Stock; (ii) an aggregate of 4,573,935 shares of Blaize Series A Shadow Preferred Stock in exchange for Blaize’s common stock acquired upon conversion of Blaize Series A Preferred Stock; (iii) an aggregate of 12,234,661 shares of Blaize Series B Shadow Preferred Stock in exchange for Blaize’s common stock acquired upon conversion of Blaize Series B Preferred Stock; (iv) an aggregate of 10,211,548 shares of Blaize Series C Shadow Preferred Stock in exchange for Blaize’s common stock acquired upon conversion of Blaize Series C Preferred Stock; (v) an aggregate of 239,405 shares of Blaize Series D Exchange Shadow Preferred Stock in exchange for Blaize’s common stock acquired upon conversion of Blaize Series D Exchange Preferred Stock; (vi) an aggregate of 3,990,707 shares of Blaize Series D Shadow Preferred Stock in exchange for Blaize’s common stock acquired upon conversion of Blaize Series D Preferred Stock; (vii) an aggregate of 3,662,318 shares of Blaize Series D-1 Shadow Preferred Stock in exchange for Blaize’s common stock acquired upon conversion of Blaize Series D-1 Preferred Stock; and (viii) an aggregate of 7,561,820 shares of Blaize Series D-2 Shadow Preferred Stock in exchange for Blaize’s common stock acquired upon conversion of Blaize Series D-2 Preferred Stock (collectively, the “Conversion and Exchange”). Collectively, Blaize issued P2P Notes in connection with the Conversion and Exchange in the aggregate principal amount of $12.2 million, plus interest.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tables summarize the Conversion and Exchange by Blaize’s related persons and their affiliated entities: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Bess Ventures and Advisory, LLC</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of Shadow</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Exchange (Note</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1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Preferred</w:t>
            </w:r>
          </w:p>
        </w:tc>
        <w:tc>
          <w:tcPr>
            <w:tcW w:w="46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0" w:type="dxa"/>
            <w:vAlign w:val="bottom"/>
          </w:tcPr>
          <w:p>
            <w:pPr>
              <w:spacing w:after="0"/>
              <w:rPr>
                <w:sz w:val="1"/>
                <w:szCs w:val="1"/>
                <w:color w:val="auto"/>
              </w:rPr>
            </w:pPr>
          </w:p>
        </w:tc>
      </w:tr>
      <w:tr>
        <w:trPr>
          <w:trHeight w:val="160"/>
        </w:trPr>
        <w:tc>
          <w:tcPr>
            <w:tcW w:w="4280" w:type="dxa"/>
            <w:vAlign w:val="bottom"/>
            <w:gridSpan w:val="2"/>
            <w:vMerge w:val="continue"/>
          </w:tcPr>
          <w:p>
            <w:pPr>
              <w:spacing w:after="0"/>
              <w:rPr>
                <w:sz w:val="13"/>
                <w:szCs w:val="13"/>
                <w:color w:val="auto"/>
              </w:rPr>
            </w:pPr>
          </w:p>
        </w:tc>
        <w:tc>
          <w:tcPr>
            <w:tcW w:w="11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Pr>
          <w:p>
            <w:pPr>
              <w:spacing w:after="0"/>
              <w:rPr>
                <w:sz w:val="13"/>
                <w:szCs w:val="13"/>
                <w:color w:val="auto"/>
              </w:rPr>
            </w:pPr>
          </w:p>
        </w:tc>
        <w:tc>
          <w:tcPr>
            <w:tcW w:w="16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4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1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Blaize Series D-2 Shadow Preferred Stock</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4,167,698</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$ 20,720,547.94</w:t>
            </w: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4,167,698</w:t>
            </w:r>
          </w:p>
        </w:tc>
        <w:tc>
          <w:tcPr>
            <w:tcW w:w="4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4,167,698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4,167,698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$ 20,720,547.94</w:t>
            </w:r>
          </w:p>
        </w:tc>
        <w:tc>
          <w:tcPr>
            <w:tcW w:w="5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4,167,698</w:t>
            </w:r>
          </w:p>
        </w:tc>
        <w:tc>
          <w:tcPr>
            <w:tcW w:w="4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4,167,698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760" w:hanging="424"/>
        <w:spacing w:after="0" w:line="261"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Lane Bess is a member of the Blaize board of directors and is affiliated with Bess Ventures and Advisory, LLC (“Bess Ventures”). As of December 31, 2024, Bess Ventures held more than 5% of Blaize’s outstanding capital stock.</w:t>
      </w:r>
    </w:p>
    <w:p>
      <w:pPr>
        <w:ind w:left="424" w:right="140" w:hanging="424"/>
        <w:spacing w:after="0" w:line="253"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Bess Ventures received 4,167,698 shares of Blaize Series D-2 Preferred Stock upon conversion of certain convertible securities in the aggregate principal amount of $20,720,547.94, including interest, pursuant to that certain Series D-2 Preferred Stock Purchase Agreement, dated September 19, 2022, between Blaize and certain investors of Blaize listed on Schedule A thereto (the “Series D-2 Purchase Agreement”).</w:t>
      </w:r>
    </w:p>
    <w:p>
      <w:pPr>
        <w:sectPr>
          <w:pgSz w:w="11900" w:h="16838" w:orient="portrait"/>
          <w:cols w:equalWidth="0" w:num="1">
            <w:col w:w="11004"/>
          </w:cols>
          <w:pgMar w:left="436" w:top="270" w:right="459" w:bottom="1440" w:gutter="0" w:footer="0" w:header="0"/>
        </w:sectPr>
      </w:pPr>
    </w:p>
    <w:bookmarkStart w:id="102" w:name="page103"/>
    <w:bookmarkEnd w:id="102"/>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Franklin Strategic Series — Franklin Small-Mid Cap Growth Fund and Franklin Templeton Variable Insurance products Trust — Franklin Small-Mid Cap Growth VIP Fund</w:t>
      </w:r>
    </w:p>
    <w:p>
      <w:pPr>
        <w:spacing w:after="0" w:line="16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2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P2P Note</w:t>
            </w:r>
          </w:p>
        </w:tc>
        <w:tc>
          <w:tcPr>
            <w:tcW w:w="0" w:type="dxa"/>
            <w:vAlign w:val="bottom"/>
          </w:tcPr>
          <w:p>
            <w:pPr>
              <w:spacing w:after="0"/>
              <w:rPr>
                <w:sz w:val="1"/>
                <w:szCs w:val="1"/>
                <w:color w:val="auto"/>
              </w:rPr>
            </w:pPr>
          </w:p>
        </w:tc>
      </w:tr>
      <w:tr>
        <w:trPr>
          <w:trHeight w:val="148"/>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80" w:type="dxa"/>
            <w:vAlign w:val="bottom"/>
            <w:gridSpan w:val="2"/>
            <w:vMerge w:val="continue"/>
          </w:tcPr>
          <w:p>
            <w:pPr>
              <w:spacing w:after="0"/>
              <w:rPr>
                <w:sz w:val="13"/>
                <w:szCs w:val="13"/>
                <w:color w:val="auto"/>
              </w:rPr>
            </w:pPr>
          </w:p>
        </w:tc>
        <w:tc>
          <w:tcPr>
            <w:tcW w:w="80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3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2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9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Blaize Series D Exchange Shadow Preferred</w:t>
            </w: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80" w:type="dxa"/>
            <w:vAlign w:val="bottom"/>
            <w:gridSpan w:val="2"/>
            <w:shd w:val="clear" w:color="auto" w:fill="CCEEFF"/>
          </w:tcPr>
          <w:p>
            <w:pPr>
              <w:jc w:val="right"/>
              <w:ind w:right="3240"/>
              <w:spacing w:after="0" w:line="235"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6"/>
                <w:szCs w:val="26"/>
                <w:color w:val="auto"/>
                <w:vertAlign w:val="superscript"/>
              </w:rPr>
              <w:t>(2)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239,405</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239,405</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239,405</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Blaize Series D Shadow Preferred Stock</w:t>
            </w:r>
            <w:r>
              <w:rPr>
                <w:rFonts w:ascii="Times New Roman" w:cs="Times New Roman" w:eastAsia="Times New Roman" w:hAnsi="Times New Roman"/>
                <w:sz w:val="25"/>
                <w:szCs w:val="25"/>
                <w:color w:val="auto"/>
                <w:vertAlign w:val="superscript"/>
              </w:rPr>
              <w:t>(3)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1,915,251</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22,500,008.58</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1,915,251</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1,915,251</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Blaize Series D-2 Shadow Preferred Stock</w:t>
            </w:r>
            <w:r>
              <w:rPr>
                <w:rFonts w:ascii="Times New Roman" w:cs="Times New Roman" w:eastAsia="Times New Roman" w:hAnsi="Times New Roman"/>
                <w:sz w:val="25"/>
                <w:szCs w:val="25"/>
                <w:color w:val="auto"/>
                <w:vertAlign w:val="superscript"/>
              </w:rPr>
              <w:t>(4)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1,550,417</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7,708,213.67</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1,550,417</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1,550,417</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980" w:type="dxa"/>
            <w:vAlign w:val="bottom"/>
            <w:gridSpan w:val="2"/>
          </w:tcPr>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3,705,073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30,208,222.25</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3,705,073</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3,705,073</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634,489.56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620" w:hanging="424"/>
        <w:spacing w:after="0" w:line="257"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Franklin Strategic Series — Franklin Small-Mid Cap Growth Fund and Franklin Templeton Variable Insurance Products Trust — Franklin Small-Mid Growth VIP Fund (collectively, “Franklin Funds”) beneficially owned more than 5% of Blaize’s outstanding capital stock.</w:t>
      </w:r>
    </w:p>
    <w:p>
      <w:pPr>
        <w:spacing w:after="0" w:line="1"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Franklin Funds received 239,405 shares of Blaize Series D Exchange Preferred Stock in exchange for Blaize Series D Preferred Stock in accordance with the exchange pro rata share, pursuant to the Series D-2 Purchase Agreement.</w:t>
      </w:r>
    </w:p>
    <w:p>
      <w:pPr>
        <w:ind w:left="424" w:right="40" w:hanging="424"/>
        <w:spacing w:after="0" w:line="250"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Franklin Funds received 1,915,251 shares of Blaize Series D Preferred Stock upon the purchase and conversion of certain convertible securities in the aggregate principal amount of $22,500,008.58, including interest, pursuant to that certain Series D Preferred Stock Purchase Agreement, dated March 22, 2021, between Blaize and certain investors of Blaize listed on Schedule A thereto (the “Series D Purchase Agreement”).</w:t>
      </w:r>
    </w:p>
    <w:p>
      <w:pPr>
        <w:spacing w:after="0" w:line="1" w:lineRule="exact"/>
        <w:rPr>
          <w:rFonts w:ascii="Times New Roman" w:cs="Times New Roman" w:eastAsia="Times New Roman" w:hAnsi="Times New Roman"/>
          <w:sz w:val="18"/>
          <w:szCs w:val="18"/>
          <w:color w:val="auto"/>
        </w:rPr>
      </w:pPr>
    </w:p>
    <w:p>
      <w:pPr>
        <w:jc w:val="both"/>
        <w:ind w:left="424" w:right="380" w:hanging="424"/>
        <w:spacing w:after="0" w:line="255"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Franklin Funds received 1,550,417 shares of Blaize Series D-2 Preferred Stock upon the purchase and conversion of certain convertible securities in the aggregate principal amount of $7,708,213.67, including interest, pursuant to the Series D-2 Purchase Agreement.</w:t>
      </w:r>
    </w:p>
    <w:p>
      <w:pPr>
        <w:sectPr>
          <w:pgSz w:w="11900" w:h="16838" w:orient="portrait"/>
          <w:cols w:equalWidth="0" w:num="1">
            <w:col w:w="10984"/>
          </w:cols>
          <w:pgMar w:left="436" w:top="266" w:right="479" w:bottom="1440" w:gutter="0" w:footer="0" w:header="0"/>
        </w:sectPr>
      </w:pPr>
    </w:p>
    <w:bookmarkStart w:id="103" w:name="page104"/>
    <w:bookmarkEnd w:id="10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Anderson Investments Pte. Ltd.</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P2P Note</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2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8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3"/>
                <w:szCs w:val="13"/>
                <w:color w:val="auto"/>
              </w:rPr>
            </w:pPr>
          </w:p>
        </w:tc>
        <w:tc>
          <w:tcPr>
            <w:tcW w:w="14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Blaize Series C Shadow Preferred Stock</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7"/>
              </w:rPr>
              <w:t>3,147,755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$ 14,999,996.91</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3,147,755</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3,147,755</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Blaize Series D Shadow Preferred Stock</w:t>
            </w:r>
            <w:r>
              <w:rPr>
                <w:rFonts w:ascii="Times New Roman" w:cs="Times New Roman" w:eastAsia="Times New Roman" w:hAnsi="Times New Roman"/>
                <w:sz w:val="25"/>
                <w:szCs w:val="25"/>
                <w:color w:val="auto"/>
                <w:vertAlign w:val="superscript"/>
              </w:rPr>
              <w:t>(3)</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1,436,437</w:t>
            </w:r>
          </w:p>
        </w:tc>
        <w:tc>
          <w:tcPr>
            <w:tcW w:w="17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$ 14,999,993.38</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1,436,437</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1,436,437</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Blaize Series D-1 Shadow Preferred Stock</w:t>
            </w:r>
            <w:r>
              <w:rPr>
                <w:rFonts w:ascii="Times New Roman" w:cs="Times New Roman" w:eastAsia="Times New Roman" w:hAnsi="Times New Roman"/>
                <w:sz w:val="25"/>
                <w:szCs w:val="25"/>
                <w:color w:val="auto"/>
                <w:vertAlign w:val="superscript"/>
              </w:rPr>
              <w:t>(3)</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2,394,063</w:t>
            </w:r>
          </w:p>
        </w:tc>
        <w:tc>
          <w:tcPr>
            <w:tcW w:w="17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$ 20,000,000.00</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2,394,063</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2,394,063</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6,978,255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$ 49,999,990.29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6,978,255</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6,978,255</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2,312,010.00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Anderson Investments Pte. Ltd. (“Anderson Investments”) held more than 5% of Blaize’s outstanding capital stock.</w:t>
      </w:r>
    </w:p>
    <w:p>
      <w:pPr>
        <w:spacing w:after="0" w:line="27"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Anderson Investments received 3,147,755 shares of Blaize Series C Preferred Stock upon the purchase of certain convertible securities in the aggregate principal amount of $14,999,996.91, pursuant to that certain Series C Preferred Stock Purchase Agreement, dated July 6, 2018, between ThinCI, Inc. and certain investors of Blaize listed on Schedule A thereto (the “Series C Purchase Agreement”).</w:t>
      </w:r>
    </w:p>
    <w:p>
      <w:pPr>
        <w:spacing w:after="0" w:line="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Anderson Investments received 1,436,437 shares of Blaize Series D Preferred Stock and 2,394,063 shares of Blaize Series D-1 Preferred Stock upon the purchase and conversion of certain convertible securities in the aggregate principal amount of $34,999,993.38, pursuant to the Series D Purchase Agreement.</w:t>
      </w:r>
    </w:p>
    <w:p>
      <w:pPr>
        <w:sectPr>
          <w:pgSz w:w="11900" w:h="16838" w:orient="portrait"/>
          <w:cols w:equalWidth="0" w:num="1">
            <w:col w:w="10884"/>
          </w:cols>
          <w:pgMar w:left="436" w:top="266" w:right="579" w:bottom="1440" w:gutter="0" w:footer="0" w:header="0"/>
        </w:sectPr>
      </w:pPr>
    </w:p>
    <w:bookmarkStart w:id="104" w:name="page105"/>
    <w:bookmarkEnd w:id="10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certain related party and its affiliate</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P2P Note</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8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Blaize Series B Shadow Preferred Stock</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5,797,101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3,999,999.69</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5,797,101</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5,797,101</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Blaize Series C Shadow Preferred Stock</w:t>
            </w:r>
            <w:r>
              <w:rPr>
                <w:rFonts w:ascii="Times New Roman" w:cs="Times New Roman" w:eastAsia="Times New Roman" w:hAnsi="Times New Roman"/>
                <w:sz w:val="25"/>
                <w:szCs w:val="25"/>
                <w:color w:val="auto"/>
                <w:vertAlign w:val="superscript"/>
              </w:rPr>
              <w:t>(3)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3,147,755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15,000,000.00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3,147,755</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3,147,755</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Blaize Series D-1 Shadow Preferred Stock</w:t>
            </w:r>
            <w:r>
              <w:rPr>
                <w:rFonts w:ascii="Times New Roman" w:cs="Times New Roman" w:eastAsia="Times New Roman" w:hAnsi="Times New Roman"/>
                <w:sz w:val="25"/>
                <w:szCs w:val="25"/>
                <w:color w:val="auto"/>
                <w:vertAlign w:val="superscript"/>
              </w:rPr>
              <w:t>(4)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957,625</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8,000,000.00</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957,625</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957,625</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9,902,481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26,999,999.69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9,902,481</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9,902,481</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1,920,674.00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180" w:hanging="424"/>
        <w:spacing w:after="0" w:line="257"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Tony Cannestra is a member of the Blaize board of directors and is affiliated with DENSO, DENSO Corporation and NSITEXE, Inc. (“NSITEXE”). As of December 31, 2024, DENSO and its affiliate, DENSO Corporation (previously held by NSITEXE, which was absorbed by and merged into DENSO on January 1, 2024), held approximately 5% of Blaize’s outstanding capital stock.</w:t>
      </w:r>
    </w:p>
    <w:p>
      <w:pPr>
        <w:spacing w:after="0" w:line="1" w:lineRule="exact"/>
        <w:rPr>
          <w:rFonts w:ascii="Times New Roman" w:cs="Times New Roman" w:eastAsia="Times New Roman" w:hAnsi="Times New Roman"/>
          <w:sz w:val="18"/>
          <w:szCs w:val="18"/>
          <w:color w:val="auto"/>
        </w:rPr>
      </w:pPr>
    </w:p>
    <w:p>
      <w:pPr>
        <w:ind w:left="424" w:right="160" w:hanging="424"/>
        <w:spacing w:after="0" w:line="265" w:lineRule="auto"/>
        <w:tabs>
          <w:tab w:leader="none" w:pos="42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Conversion and Exchange, DENSO received 5,797,101 shares of Blaize Series B Preferred Stock upon the purchase of certain convertible securities in the aggregate principal amount of $3,999,999.69, pursuant to that certain Series B Preferred Stock Purchase Agreement, dated August 25, 2016, between ThinCI, Inc. and certain investors of Blaize listed on Schedule A thereto (the “Series B Purchase Agreement”).</w:t>
      </w:r>
    </w:p>
    <w:p>
      <w:pPr>
        <w:ind w:left="424" w:right="20" w:hanging="424"/>
        <w:spacing w:after="0" w:line="250"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NSITEXE received 3,147,755 shares of Blaize Series C Preferred Stock upon the purchase and conversion of certain convertible securities in the aggregate principal amount of $15,000,000.00, pursuant to the Series C Purchase Agreement. Subsequent to the Conversion and Exchange, the affiliate of the certain related party transferred 3,147,755 shares of Series C Shadow Preferred Stock to DENSO Corporation pursuant to that certain Stock Transfer Agreement, dated December 31, 2023, by and between NSITEXE and DENSO Corporation (the “DENSO Transfer Agreement”).</w:t>
      </w:r>
    </w:p>
    <w:p>
      <w:pPr>
        <w:spacing w:after="0" w:line="1"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NSITEXE received 957,625 shares of Blaize Series D-1 Preferred Stock upon the purchase and conversion of certain convertible securities in the aggregate principal amount of $8,000,000.00, pursuant to the Series D Purchase Agreement. Subsequent to the Conversion and Exchange, the affiliate transferred 957,625 shares of Series D-1 Shadow Preferred Stock to DENSO Corporation pursuant to the DENSO Transfer Agreement.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Agreements with Shareholders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Common Rights Offering</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connection with the P2P NPA, Blaize completed the Rights Offering in November 2023, whereby any common stockholder of Blaize that held shares of common stock as of immediately prior to the 10:1 reverse stock split completed in November 2022 had the opportunity to purchase a pro-rata portion of the P2P Notes and partially or fully undo the effects of the reverse stock split. The P2P Notes bore simple interest at a rate of ten percent (10%) and, unless converted earlier into shares pursuant to the P2P NPA, was payable on the earlier of (i) immediately prior to Blaize’s consummation of a transaction defined as a “Liquidation Event” in the Certificate of Incorporation of Blaize or (ii) an event of default with respect to the P2P Notes. Proceeds received under the Rights Offering totaled $0.1 million. Under the Rights Offering, Satyaki Koneru, the Chief Technical Officer of Blaize, purchased a P2P Note in the aggregate principal amount of $28,924.76; Ke Yin, the Vice President of Engineering of Blaize purchased a P2P Note in the aggregate principal amount of $28,924.76; and Dinakar Munagala, Chief Executive Officer and a member of the Blaize board of directors, purchased two P2P Notes in the aggregate principal amounts of $19,637.14 and $7,797.04, respectively. Since January 1, 2023, the largest aggregate amount of principal outstanding under the P2P Notes was approximately $12.4 million, and no amount of principal or interest has been paid under the P2P Notes. As of June 24, 2024, Blaize had approximately $12.4 million in borrowings outstanding under the P2P Notes, inclusive of P2P Notes issued under the Rights Offering.</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Blaize is a party to the Amended and Restated Investors’ Rights Agreement, dated September 19, 2022, as amended by that certain Omnibus Amendment and Agreement, dated December 8, 2022, which provides, among other things, that certain holders of its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a member of the Blaize board of directors, have the right to demand that Blaize file a registration statement or request that their shares of Blaize capital stock be covered by a registration statement that Blaize is otherwise filing. This agreement will terminate upon completion of the Business Combination.</w:t>
      </w:r>
    </w:p>
    <w:p>
      <w:pPr>
        <w:sectPr>
          <w:pgSz w:w="11900" w:h="16838" w:orient="portrait"/>
          <w:cols w:equalWidth="0" w:num="1">
            <w:col w:w="11004"/>
          </w:cols>
          <w:pgMar w:left="436" w:top="266" w:right="459" w:bottom="1440" w:gutter="0" w:footer="0" w:header="0"/>
        </w:sectPr>
      </w:pPr>
    </w:p>
    <w:bookmarkStart w:id="105" w:name="page106"/>
    <w:bookmarkEnd w:id="10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Refusal and Co-Sale Agreement</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Pursuant to certain agreements with its stockholders, including the Amended and Restated First Refusal and Co-sale Agreement, dated September 19, 2022, as amended by that certain Omnibus Amendment and Agreement, dated December 8, 2022 (the “ROFR Agreement”), Blaize or its assignees have the right to (i) purchase shares of Blaize capital stock which certain stockholders propose to sell to other parties and (ii) participate in the sale of shares of Blaize capital stock alongside certain stockholders. Certain holders of Blaize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Director of Blaize, have rights of first refusal and co-sale under the ROFR Agreement. The ROFR Agreement will terminate upon completion of the Business Combination.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Blaize is a party to the Amended and Restated Voting Agreement, dated September 19, 2022, as amended by that certain Omnibus Amendment and Agreement, dated December 8, 2022, and as further amended by that certain Amendment, dated July 3, 2023, pursuant to which certain holders of its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a member of the Blaize board of directors, have agreed to vote their shares of our capital stock on certain matters, including with respect to the board size and the election of directors. This agreement will terminate upon completion of the Business Combination.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Stockholder Support Agreement</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Blaize is a party to the Stockholder Support Agreement, dated December 22, 2023 (the “Company Support Agreement”), pursuant to which certain holders of its capital stock, including Dinakar Munagala, Chief Executive Officer and a member of the Blaize board of directors, and entities affiliated with NSITEXE and DENSO, which are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have agreed to, among other things: (i) support and vote in favor of (a) the approval and adoption of the Merger Agreement and the Business Combination, (b) the conversion of each issued and outstanding share of Blaize Preferred Stock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Business Combination,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Blaize Capital Stock, subject to certain exceptions, and termination of certain stockholder agreements and other affiliate agreements of Blaize. This agreement will terminate upon completion of the Business Combination.</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Side Letters</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connection with the Bess Note (as defined below), pursuant to which Blaize has borrowed an aggregate principal amount of $5,000,000 from Bess Ventures, Blaize and Bess Ventures, which is affiliated with a member of the Blaize board of directors, Lane Bess, and currently holds more than 5% of Blaize’s outstanding capital stock, entered into a Management and Board Observer Rights Agreement, dated as of July 3, 2023 (the “Bess Side Letter”), pursuant to which Blaize has agreed to grant certain management consultation rights, access to books and records rights, inspection rights and board observer rights to Bess Ventures. The Bess Side Letter terminates upon the earlier to occur of (i) the consummation of the sale of Blaize’s securities pursuant to a registration statement in connection with a firm commitment underwritten offering of its securities to the general public or (ii) the date upon which Bess Ventures ceases to hold any shares of Blaize.</w:t>
      </w:r>
    </w:p>
    <w:p>
      <w:pPr>
        <w:spacing w:after="0" w:line="189"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7"/>
          <w:szCs w:val="17"/>
          <w:color w:val="auto"/>
        </w:rPr>
        <w:t>In connection with the Note Purchase and Exchange Agreement, pursuant to which Blaize has borrowed an aggregate principal amount of $634,489.56 in aggregate from Franklin Funds, Blaize and Franklin Advisers, Inc., as the investment manager on behalf of Franklin Funds, which held within Blaize’s last fiscal year more than 5% of Blaize’s outstanding capital stock (collectively, the “Franklin Parties”), entered into a Side Letter, dated as of January 19, 2023 (the “Franklin P2P Side Letter”), pursuant to which Blaize has agreed to waive the lock-up provisions applicable to Blaize’s common stock or its convertible securities acquired by the Franklin Parties following the effective date of the first firm commitment underwritten public offering of Blaize’s securities. The Franklin P2P Side Letter terminates upon the earliest to occur of (i) immediately prior to such underwritten public offering,</w:t>
      </w:r>
    </w:p>
    <w:p>
      <w:pPr>
        <w:spacing w:after="0" w:line="5" w:lineRule="exact"/>
        <w:rPr>
          <w:sz w:val="20"/>
          <w:szCs w:val="20"/>
          <w:color w:val="auto"/>
        </w:rPr>
      </w:pPr>
    </w:p>
    <w:p>
      <w:pPr>
        <w:ind w:left="4" w:right="60" w:hanging="4"/>
        <w:spacing w:after="0" w:line="255" w:lineRule="auto"/>
        <w:tabs>
          <w:tab w:leader="none" w:pos="2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 direct listing, (iii) such time as all of the Franklin Parties no longer hold any of the notes pursuant to the Note Purchase and Exchange Agreement or (iv) immediately prior to Blaize’s consummation of a transaction defined as a “Liquidation Event” in the Certificate of Incorporation of Blaize.</w:t>
      </w:r>
    </w:p>
    <w:p>
      <w:pPr>
        <w:spacing w:after="0" w:line="186"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In connection with the Note Purchase Agreement, dated as of July 3, 2023 (as amended and restated on April 22, 2024, the “Amended and Restated Note Purchase Agreement”), pursuant to which Blaize has borrowed an aggregate principal amount of $2,000,000 in aggregate</w:t>
      </w:r>
    </w:p>
    <w:p>
      <w:pPr>
        <w:sectPr>
          <w:pgSz w:w="11900" w:h="16838" w:orient="portrait"/>
          <w:cols w:equalWidth="0" w:num="1">
            <w:col w:w="11004"/>
          </w:cols>
          <w:pgMar w:left="436" w:top="266" w:right="459" w:bottom="1440" w:gutter="0" w:footer="0" w:header="0"/>
        </w:sectPr>
      </w:pPr>
    </w:p>
    <w:bookmarkStart w:id="106" w:name="page107"/>
    <w:bookmarkEnd w:id="106"/>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Franklin Funds, Blaize and the Franklin Parties, entered into a Side Letter, dated as of August 23, 2023 (the “Franklin 2023 Side Letter”), pursuant to which Blaize has agreed to the satisfaction of certain investment obligations of the Franklin Parties, and to waive the lock-up provisions applicable to Blaize’s common stock or its convertible securities acquired by the Franklin Parties following the effective date of the first firm commitment underwritten public offering of Blaize’s securities. The Franklin 2023 Side Letter terminates upon the earliest to occur of (i) immediately prior to such underwritten public offering, (ii) immediately prior to the consummation of a direct listing, (iii) such time as all of the Franklin Parties no longer hold any of the notes pursuant to the Amended and Restated Note Purchase Agreement or (iv) immediately prior to Blaize’s consummation of a transaction defined as a “Liquidation Event” in the Certificate of Incorporation of Blaize.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Blaize is a party to the Blaize 2011 Stock Plan Notice of Restricted Stock Unit Award, dated as of July 3, 2023 (the “Bess RSU Agreement”), pursuant to which Blaize granted 6,000,000 restricted stock units representing common stock of Blaize (the “Bess RSUs”), with a deemed grant date value of $2.6 million and an additional value of $1.7 million associated with a subsequent acceleration of vesting, to Bess Ventures, which is affiliated with a member of the Blaize board of directors, Lane Bess, and currently holds more than 5% of Blaize’s outstanding capital stock. The Bess RSUs are subject to various anti-dilution protections, and under the original terms vested upon the earlier to occur of (i) July 3, 2024, provided that Bess Ventures remains in continuous service as an employee, consultant or outside director through such date or (ii) Blaize’s completion of an initial public offering, a SPAC IPO (as defined in the Bess RSU Agreement), direct listing or sale event. On December 20, 2023, the Blaize Board unanimously approved a modification to the Bess RSU terms to immediately accelerate the vesting of the 6.0 million awards outstanding and issue 6.0 million shares of common stock, which were otherwise set to fully vest on July 3, 2024 on the terms of the Bess RSU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and Operating Agreements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Blaize is a party to a Long-Term Joint Development Agreement with an affiliate of a certain related party, dated as of February 15, 2022, pursuant to which Blaize and an affiliate of a certain related party, which held more than 5% of Blaize’s outstanding capital stock within Blaize’s last fiscal year and is affiliated with a member of the Blaize board of directors, Tony Cannestra, have agreed to jointly develop AI solutions based on one or more Blaize Products and market and sell the AI solutions to customers in various automotive market segments until the end of December 2029. Blaize has not recognized any revenue to date associated with the Long-Term Joint Development Agreement as it has yet to be commercialized.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expects commercialization of the Long-Term Joint Development Agreement to begin in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Transactions, Accounts Payable and Account Receivable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an Intercompany Service Agreement, dated February 25, 2020, by and between Blaize and Blaize New Computing Technologies India Private Limited, a subsidiary of Blaize (“Blaize India”), Blaize India has agreed to provide software development services to Blaize in exchange for a fee equal to Blaize India’s costs plus a markup of approximately 15%. The Intercompany Service Agreement remains in effect and the amounts expensed by Blaize to Blaize India under this agreement were approximately $13.5 million and $11.5 million for the fiscal years ended December 31, 2024 and 2023, respectively.</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Blaize is a party to the Research and Development Services Agreement, dated as of June 15, 2019, pursuant to which Blaize U.K. Limited f/k/a ThinCI Limited, a subsidiary of Blaize (“Blaize UK”), has agreed to perform certain research and development services for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amounts expensed by Blaize to Blaize UK under this agreement were approximately $6.6 million and $6.1 million for the fiscal years ended December 31, 2024 and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Trademark Agreements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Blaize is a party to the Blaize-DENSO Compiler Project Statement of Work, dated as of February 4, 2024, pursuant to which DENSO Corporation, an affiliate of Blaize which beneficially owns more than 5% of Blaize’s outstanding capital stock through its subsidiary, DENSO, and is affiliated with a member of the Blaize board of directors, Tony Cannestra, has agreed to jointly develop certain AI projects with Blaize. The approximate dollar value of the amount involved in the transaction is $326,658.60.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2023, the largest aggregate amount of principal outstanding under the Blaize India Loan was $3,569,932. The amount of principal and interest paid under the Blaize India Loan since the inception of loan to date amounts to $1,784,969 and $505,190, respectively. As of December 31, 2024, Blaize India had $2,677,448 of borrowings outstanding under the Blaize India Loan.</w:t>
      </w:r>
    </w:p>
    <w:p>
      <w:pPr>
        <w:sectPr>
          <w:pgSz w:w="11900" w:h="16838" w:orient="portrait"/>
          <w:cols w:equalWidth="0" w:num="1">
            <w:col w:w="11020"/>
          </w:cols>
          <w:pgMar w:left="440" w:top="270" w:right="43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is a party to the Note Purchase and Exchange Agreement, pursuant to which Blaize has borrowed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$12,244,033.56 from certain holders of its capital stock, including the following related persons and their affiliated entities: (i) $2,312,010.00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Anderson Investments (the related note, the “Anderson Note”), which currently holds more than 5% of Blaize’s outstanding capital stock,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$3,280,853.00 from DENSO Corporation (the related note, the “DENSO Note”), an affiliate of Blaize which beneficially owns more than 5% of Blaize’s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capital stock together with its subsidiary, DENSO, and is affiliated with a member of the Blaize board of directors, Tony Cannestra, and (iii)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$634,489.56 in aggregate from Franklin Funds (the related notes, the “Franklin 2022 Notes”), which held within Blaize’s last fiscal year more than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Blaize’s outstanding capital stock. The notes issued pursuant to such Note Purchase and Exchange Agreement are convertible, bear simple interest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rate of ten percent (10%) and are payable on the earlier of (i) Blaize’s consummation of a transaction defined as a “Liquidation Event”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of Blaize or (ii) an event of default with respect to the notes. Since January 1, 2023, the largest aggregate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outstanding under the Anderson Note was $2,312,010.00, and no amount of principal or interest has been paid under the Anderson Note.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Blaize had $2,312,010.00 of borrowings outstanding under the Anderson Note. Since January 1, 2023, the largest aggregate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principal outstanding under the DENSO Note was $3,280,853.00, and no amount of principal or interest has been paid under the DENSO Note.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Blaize had $3,280,853.00 of borrowings outstanding under the DENSO Note. Since January 1, 2023, the largest aggregate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principal outstanding under the Franklin 2022 Notes was $634,489.56, and no amount of principal or interest has been paid under the Franklin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As of December 31, 2024, Blaize had $634,489.56 of borrowings outstanding under the Franklin 2022 Notes.</w:t>
      </w:r>
    </w:p>
    <w:p>
      <w:pPr>
        <w:spacing w:after="0" w:line="20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Note Purchase and Exchange Agreement, warrants previously granted on September 19, 2022 to purchase Blaize Series D-2 preferred stock were amended to be exercisable into Blaize Series D-2 Shadow Preferred Stock. Of these warrants, Bess Ventures held a warrant exercisable into 416,769 shares of Blaize Series D-2 Shadow Preferred Stock and the Franklin Funds held four warrants exercisable into 155,040 Blaize Series D-2 Shadow Preferred Stock. In connection the Note Purchase and Exchange Agreement, warrants previously granted on February 28, 2021 and November 9, 2021 to purchase Blaize Series D preferred stock were amended to be exercisable into Blaize Series D Shadow Preferred Stock. Of these warrants, the Franklin Funds held four warrants exercisable for an aggregate of 287,289 shares of Series D Shadow Preferred Stock (the “Series D Warrants”). These Series D Warrants expired on February 28, 2024 in accordance with their terms.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Blaize is a party to the Amended and Restated Note Purchase Agreement pursuant to which Blaize has borrowed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$122.9 million from certain holders of its capital stock, including the following related persons and their affiliated entities: (i) $99.4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from the RT Parties, (ii) $5,000,000 from Bess Ventures (the related note, the “Bess Note”), which is affiliated with a member of the 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Lane Bess, and currently holds more than 5% of Blaize’s outstanding capital stock, (iii) $2,000,000 in aggregate from Franklin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notes, the “Franklin Notes”), which held within Blaize’s last fiscal year more than 5% of Blaize’s outstanding capital stock and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$16,500,000 from the Sponsor (the related notes, the “Sponsor Notes”), which currently holds more than 5% of Blaize’s outstanding capital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issued pursuant to such Amended and Restated Note Purchase Agreement are convertible, bear interest at a rate of ten percent (10%) compounded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and are payable on the earlier of (i) Blaize’s consummation of a transaction defined as a “Liquidation Event” in the Certificate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Blaize, (ii) an event of default with respect to the note or (iii) January 3, 2025. Since January 1, 2023, the largest aggregate amount of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 Bess Note was $5,000,000, and no amount of principal or interest has been paid under the Bess Note.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had $5,000,000 of borrowings outstanding under the Bess Note. Since January 1, 2023, the largest aggregate amount of principal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Franklin Notes was $2,000,000, and no amount of principal or interest has been paid under the Franklin Notes.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Blaize had $2,000,000 of borrowings outstanding under the Franklin Notes. Since January 1, 2023, the largest aggregate amount of principal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Sponsor Notes was $16,500,000, and no amount of principal or interest has been paid under the Sponsor Notes.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had $16,500,000 of borrowings outstanding under the Sponsor Notes.</w:t>
      </w:r>
    </w:p>
    <w:p>
      <w:pPr>
        <w:spacing w:after="0" w:line="20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Amended and Restated Note Purchase Agreement, the noteholders were also granted warrants to purchase shares of Blaize preferred stock, with Bess Ventures receiving a warrant to purchase shares of Blaize preferred stock, dated September 19, 2022, exercisable for an aggregate of 416,769 shares of Blaize Series D-2 Preferred Stock, and the Franklin Funds receiving four (4) warrants to purchase shares of Blaize preferred stock, with two (2) dated February 28, 2021 and two (2) dated November 9, 2021, exercisable for an aggregate of 287,289 shares of Blaize Series D Preferred Stock (the “Franklin Warrants”). The Franklin Warrants expired on February 28, 2024 in accordance with their terms.</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obligations due under the Amended and Restated Note Purchase Agreement and the Bess Note are secured by the Amended and Restated Security Agreement, dated as of April 22, 2024 (the “A&amp;R Security Agreement”) and the Intellectual Property Security Agreement, dated as of July 3, 2023 (the “IP Security Agreement”), pursuant to which Blaize has granted, respectively, (i) a continuing security interest in and lien on all of Blaize’s property described therein and (ii) a security interest in all of Blaize’s right, title and interest in, to and under its intellectual property, to certain holders of its capital stock, including the following related persons and their affiliated entities: (a) Bess Ventures, which is affiliated with a member of the Blaize board of directors, Lane Bess, and currently holds more than 5% of Blaize’s outstanding capital stock, and (b) Franklin Funds, which held within Blaize’s last fiscal year more than 5% of Blaize’s outstanding capital stock.</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Blaize is a party to the Promissory Note, dated as of November 22, 2023, pursuant to which Blaize has borrowed an aggregate principal amount of $750,000 from Juergen Hambrecht, a member of the board of directors of Blaize.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$750,000, the amount of principal paid under the note was $750,000 and the amount of interest paid under the note was $38,466. As of December 31, 2024, Blaize had no borrowings outstanding under the note.</w:t>
      </w:r>
    </w:p>
    <w:p>
      <w:pPr>
        <w:sectPr>
          <w:pgSz w:w="11900" w:h="16838" w:orient="portrait"/>
          <w:cols w:equalWidth="0" w:num="1">
            <w:col w:w="11000"/>
          </w:cols>
          <w:pgMar w:left="440" w:top="270" w:right="459" w:bottom="1440" w:gutter="0" w:footer="0" w:header="0"/>
        </w:sectPr>
      </w:pPr>
    </w:p>
    <w:bookmarkStart w:id="108" w:name="page109"/>
    <w:bookmarkEnd w:id="108"/>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is a party to the Promissory Note, dated as of June 12, 2023, pursuant to which Blaize has borrowed an aggregate principal amount of $175,000 from Juergen Hambrecht, a member of the Blaize board of directors. The note bore simple interest at a rate of five percent (5%) and was payable on the earlier of (i) immediately following the initial closing of Blaize’s next convertible note or equity financing with aggregate proceeds of at least $5,000,000 or (ii) June 12, 2024. Since January 1, 2023, the largest aggregate amount of principal outstanding under the note was $175,000, the amount of principal paid under the note was $175,000 and the amount of interest paid under the note was $719. As of December 31, 2024, Blaize had no borrowings outstanding under the note.</w:t>
      </w:r>
    </w:p>
    <w:p>
      <w:pPr>
        <w:spacing w:after="0" w:line="18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Blaize is a party to the Promissory Note, dated as of November 22, 2023, pursuant to which Blaize has borrowed an aggregate principal amount of $4,000,000 from Bess Ventures, which is affiliated with a member of the Blaize board of directors, Lane Bess, and currently holds more than 5% of Blaize’s outstanding capital stock.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$4,000,000, the amount of principal paid under the note was $4,000,000 and the amount of interest paid under the note was $206,466. As of December 31, 2024, Blaize had no borrowings outstanding under the note.</w:t>
      </w:r>
    </w:p>
    <w:p>
      <w:pPr>
        <w:spacing w:after="0" w:line="189"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Blaize is a party to the Promissory Note, dated as of June 5, 2023, pursuant to which Blaize has borrowed an aggregate principal amount of $175,000 from Bess Ventures, which is affiliated with a member of the Blaize board of directors, Lane Bess, and currently holds more than 5% of Blaize’s outstanding capital stock. The note bore simple interest at a rate of five percent (5%) and was payable on the earlier of (i) immediately following the initial closing of Blaize’s next convertible note or equity financing with aggregate proceeds of at least $5,000,000 or (ii) June 5, 2024. Since January 1, 2023, the largest aggregate amount of principal outstanding under the note was $175,000, the amount of principal paid under the note was $175,000 and the amount of interest paid under the note was $2,062. As of December 31, 2024, Blaize had no borrowings outstanding under the note.</w:t>
      </w:r>
    </w:p>
    <w:p>
      <w:pPr>
        <w:spacing w:after="0" w:line="189" w:lineRule="exact"/>
        <w:rPr>
          <w:sz w:val="20"/>
          <w:szCs w:val="20"/>
          <w:color w:val="auto"/>
        </w:rPr>
      </w:pPr>
    </w:p>
    <w:p>
      <w:pPr>
        <w:jc w:val="both"/>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Blaize is a party to the Convertible Promissory Note, dated as of January 19, 2023, pursuant to which Blaize has borrowed an aggregate principal amount of $415,000 from JIH, which is affiliated with a member of the Blaize board of directors, Juergen Hambrecht. The note bore simple interest at a rate of ten percent (10%) and, unless converted earlier into shares pursuant to the Note Purchase and Exchange Agreement, was payable on the earlier of</w:t>
      </w:r>
    </w:p>
    <w:p>
      <w:pPr>
        <w:spacing w:after="0" w:line="2" w:lineRule="exact"/>
        <w:rPr>
          <w:sz w:val="20"/>
          <w:szCs w:val="20"/>
          <w:color w:val="auto"/>
        </w:rPr>
      </w:pPr>
    </w:p>
    <w:p>
      <w:pPr>
        <w:ind w:left="4" w:hanging="4"/>
        <w:spacing w:after="0" w:line="250"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Blaize’s consummation of a transaction defined as a “Liquidation Event” in the Certificate of Incorporation of Blaize or (ii) an event of default with respect to the notes. Since January 1, 2023, the largest aggregate amount of principal outstanding under the note was $415,000, and no amount of principal or interest has been paid under the note. As of December 31, 2024, Blaize had $415,000 in borrowings outstanding under the note. Bess Ventures, which held within Blaize’s last fiscal year more than 5% of Blaize’s outstanding capital stock and is affiliated with a member of the Blaize board of directors, Lane Bess, is a party to the Promissory Note Agreement, dated as of January 19, 2024 (the “Bess 2024 Note”), pursuant to which the Sponsor, which currently holds more than 5% of Blaize’s outstanding capital stock, has borrowed an aggregate principal amount of $13,000,000 from Bess Ventures, which is affiliated with a member of the Blaize board of directors, Lane Bess, and currently holds more than 5% of Blaize’s outstanding capital stock, in exchange for 500,000 shares of BurTech Class A Common Stock.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As of October 1, 2024, the aggregate amount outstanding under the Bess 2024 Note is approximately $14.2 million, and no payments or interest or principal on the loan have been paid. Further, pursuant to an agreement between the Sponsor and Bess Ventures, the Sponsor shall transfer 500,000 shares of New Blaize Common Stock following the six (6) month anniversary of the closing of the Business Combination and in connection with the termination of the post-closing lock-up obligations of each of the Sponsor and Bess Ventures.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its P2P Note pursuant to the Note Purchase Agreement, in an aggregate principal amount up to $13.0 million, (ii) any securities issued upon the conversion thereof, (iii) all of Sponsor’s rights, title and interests under the Note Purchase Agreement, the A&amp;R Security Agreement, the IP Security Agreement, and all other financing statements, agreements, instruments and documents granting, perfecting or protecting a security interest in Blaize’s assets to secure the P2P Notes and (iv) all proceeds of each of the foregoing.</w:t>
      </w:r>
    </w:p>
    <w:p>
      <w:pPr>
        <w:spacing w:after="0" w:line="206"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and Bess Ventures, which each held within Blaize’s last fiscal year more than 5% of Blaize’s outstanding capital stock and, solely with respect to Bess Ventures, is affiliated with a member of the Blaize board of directors, Lane Bess, and Blaize entered into a Letter Agreement, dated as of February 15, 2024, pursuant to which Blaize acknowledged and agreed to the grant of security and the obligations set forth in the Bess Security Agreement and other related loan documents, and further agreed to comply with certain instructions and procedures as set forth therein. As of August 31, 2024, Sponsor was in default of the repayment terms in connection with the Bess 2024 Note, the Bess Security Agreement and the Letter Agreement as a result of its failure to make a timely repayment of the outstanding balance that was due on March 31, 2024.</w:t>
      </w:r>
    </w:p>
    <w:p>
      <w:pPr>
        <w:sectPr>
          <w:pgSz w:w="11900" w:h="16838" w:orient="portrait"/>
          <w:cols w:equalWidth="0" w:num="1">
            <w:col w:w="11024"/>
          </w:cols>
          <w:pgMar w:left="436" w:top="270" w:right="439" w:bottom="1440" w:gutter="0" w:footer="0" w:header="0"/>
        </w:sectPr>
      </w:pPr>
    </w:p>
    <w:bookmarkStart w:id="109" w:name="page110"/>
    <w:bookmarkEnd w:id="109"/>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September 16, 2024, Bess Ventures and the Sponsor entered into a forbearance agreement (the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SPAC Transaction (as defined in the Restated Charter). As of October 1, 2024, the forbearance period under the Forbearance Agreement has not expired or been terminated.</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shares of BurTech Class A Common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BurTech Class A Common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of BurTech Class A Common Stock (representing the 500,000 shares required to be transferred to Bess Ventures under the Bess 2025 Note and 2.0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BurTech Class A Common Stock. As of March 25, 2025, the forbearance period under the Second Forbearance Agreement has expired and the Sponsor is under default under the Bess 2025 Note.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Blaize’s charter and Blaize’s bylaws provide for indemnification and advancement of expenses for its directors and officers to the fullest extent permitted by the DGCL, subject to certain limited exceptions. Blaize has entered into indemnification agreements with certain of the members of its board directors. Following the Business Combination, Blaize expects that these agreements will be replaced with new indemnification agreements for each director and officer of New Blaize. For additional information, see “</w:t>
      </w:r>
      <w:r>
        <w:rPr>
          <w:rFonts w:ascii="Times New Roman" w:cs="Times New Roman" w:eastAsia="Times New Roman" w:hAnsi="Times New Roman"/>
          <w:sz w:val="18"/>
          <w:szCs w:val="18"/>
          <w:i w:val="1"/>
          <w:iCs w:val="1"/>
          <w:color w:val="auto"/>
        </w:rPr>
        <w:t>Description of BurTech’s Securities — Limitations on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of Officers and Directors</w:t>
      </w: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Letter"/>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Letter"/>
      <w:start w:val="4"/>
    </w:lvl>
  </w:abstractNum>
  <w:abstractNum w:abstractNumId="5">
    <w:nsid w:val="3804823E"/>
    <w:multiLevelType w:val="hybridMultilevel"/>
    <w:lvl w:ilvl="0">
      <w:lvlJc w:val="left"/>
      <w:lvlText w:val="(%1)"/>
      <w:numFmt w:val="lowerRoman"/>
      <w:start w:val="2"/>
    </w:lvl>
  </w:abstractNum>
  <w:abstractNum w:abstractNumId="6">
    <w:nsid w:val="77465F01"/>
    <w:multiLevelType w:val="hybridMultilevel"/>
    <w:lvl w:ilvl="0">
      <w:lvlJc w:val="left"/>
      <w:lvlText w:val="•"/>
      <w:numFmt w:val="bullet"/>
      <w:start w:val="1"/>
    </w:lvl>
    <w:lvl w:ilvl="1">
      <w:lvlJc w:val="left"/>
      <w:lvlText w:val="(%2)"/>
      <w:numFmt w:val="decimal"/>
      <w:start w:val="30"/>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Roman"/>
      <w:start w:val="2"/>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lvl w:ilvl="1">
      <w:lvlJc w:val="left"/>
      <w:lvlText w:val="•"/>
      <w:numFmt w:val="bullet"/>
      <w:start w:val="1"/>
    </w:lvl>
  </w:abstractNum>
  <w:abstractNum w:abstractNumId="12">
    <w:nsid w:val="2D517796"/>
    <w:multiLevelType w:val="hybridMultilevel"/>
    <w:lvl w:ilvl="0">
      <w:lvlJc w:val="left"/>
      <w:lvlText w:val="•"/>
      <w:numFmt w:val="bullet"/>
      <w:start w:val="1"/>
    </w:lvl>
    <w:lvl w:ilvl="1">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lowerRoman"/>
      <w:start w:val="1"/>
    </w:lvl>
  </w:abstractNum>
  <w:abstractNum w:abstractNumId="19">
    <w:nsid w:val="1D4ED43B"/>
    <w:multiLevelType w:val="hybridMultilevel"/>
    <w:lvl w:ilvl="0">
      <w:lvlJc w:val="left"/>
      <w:lvlText w:val="%1."/>
      <w:numFmt w:val="lowerRoman"/>
      <w:start w:val="3"/>
    </w:lvl>
  </w:abstractNum>
  <w:abstractNum w:abstractNumId="20">
    <w:nsid w:val="725A06FB"/>
    <w:multiLevelType w:val="hybridMultilevel"/>
    <w:lvl w:ilvl="0">
      <w:lvlJc w:val="left"/>
      <w:lvlText w:val="%1."/>
      <w:numFmt w:val="lowerRoman"/>
      <w:start w:val="9"/>
    </w:lvl>
  </w:abstractNum>
  <w:abstractNum w:abstractNumId="21">
    <w:nsid w:val="2CD89A32"/>
    <w:multiLevelType w:val="hybridMultilevel"/>
    <w:lvl w:ilvl="0">
      <w:lvlJc w:val="left"/>
      <w:lvlText w:val="%1."/>
      <w:numFmt w:val="lowerRoman"/>
      <w:start w:val="1"/>
    </w:lvl>
  </w:abstractNum>
  <w:abstractNum w:abstractNumId="22">
    <w:nsid w:val="57E4CCAF"/>
    <w:multiLevelType w:val="hybridMultilevel"/>
    <w:lvl w:ilvl="0">
      <w:lvlJc w:val="left"/>
      <w:lvlText w:val="%1."/>
      <w:numFmt w:val="lowerLetter"/>
      <w:start w:val="35"/>
    </w:lvl>
    <w:lvl w:ilvl="1">
      <w:lvlJc w:val="left"/>
      <w:lvlText w:val="%2"/>
      <w:numFmt w:val="lowerLetter"/>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2"/>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upperLetter"/>
      <w:start w:val="1"/>
    </w:lvl>
  </w:abstractNum>
  <w:abstractNum w:abstractNumId="29">
    <w:nsid w:val="32FFF902"/>
    <w:multiLevelType w:val="hybridMultilevel"/>
    <w:lvl w:ilvl="0">
      <w:lvlJc w:val="left"/>
      <w:lvlText w:val="(%1)"/>
      <w:numFmt w:val="upperLetter"/>
      <w:start w:val="1"/>
    </w:lvl>
  </w:abstractNum>
  <w:abstractNum w:abstractNumId="30">
    <w:nsid w:val="684A481A"/>
    <w:multiLevelType w:val="hybridMultilevel"/>
    <w:lvl w:ilvl="0">
      <w:lvlJc w:val="left"/>
      <w:lvlText w:val="(%1)"/>
      <w:numFmt w:val="lowerRoman"/>
      <w:start w:val="1"/>
    </w:lvl>
  </w:abstractNum>
  <w:abstractNum w:abstractNumId="31">
    <w:nsid w:val="579478FE"/>
    <w:multiLevelType w:val="hybridMultilevel"/>
    <w:lvl w:ilvl="0">
      <w:lvlJc w:val="left"/>
      <w:lvlText w:val="%1"/>
      <w:numFmt w:val="upperLetter"/>
      <w:start w:val="1"/>
    </w:lvl>
    <w:lvl w:ilvl="1">
      <w:lvlJc w:val="left"/>
      <w:lvlText w:val="(%2)"/>
      <w:numFmt w:val="lowerRoman"/>
      <w:start w:val="6"/>
    </w:lvl>
  </w:abstractNum>
  <w:abstractNum w:abstractNumId="32">
    <w:nsid w:val="749ABB43"/>
    <w:multiLevelType w:val="hybridMultilevel"/>
    <w:lvl w:ilvl="0">
      <w:lvlJc w:val="left"/>
      <w:lvlText w:val="(%1)"/>
      <w:numFmt w:val="upperLetter"/>
      <w:start w:val="2"/>
    </w:lvl>
    <w:lvl w:ilvl="1">
      <w:lvlJc w:val="left"/>
      <w:lvlText w:val="%2"/>
      <w:numFmt w:val="lowerRoman"/>
      <w:start w:val="1"/>
    </w:lvl>
  </w:abstractNum>
  <w:abstractNum w:abstractNumId="33">
    <w:nsid w:val="3DC240FB"/>
    <w:multiLevelType w:val="hybridMultilevel"/>
    <w:lvl w:ilvl="0">
      <w:lvlJc w:val="left"/>
      <w:lvlText w:val="(%1)"/>
      <w:numFmt w:val="upperLetter"/>
      <w:start w:val="10"/>
    </w:lvl>
  </w:abstractNum>
  <w:abstractNum w:abstractNumId="34">
    <w:nsid w:val="1BA026FA"/>
    <w:multiLevelType w:val="hybridMultilevel"/>
    <w:lvl w:ilvl="0">
      <w:lvlJc w:val="left"/>
      <w:lvlText w:val="(%1)"/>
      <w:numFmt w:val="upperLetter"/>
      <w:start w:val="15"/>
    </w:lvl>
  </w:abstractNum>
  <w:abstractNum w:abstractNumId="35">
    <w:nsid w:val="79A1DEAA"/>
    <w:multiLevelType w:val="hybridMultilevel"/>
    <w:lvl w:ilvl="0">
      <w:lvlJc w:val="left"/>
      <w:lvlText w:val="%1."/>
      <w:numFmt w:val="lowerRoman"/>
      <w:start w:val="1"/>
    </w:lvl>
  </w:abstractNum>
  <w:abstractNum w:abstractNumId="36">
    <w:nsid w:val="75C6C33A"/>
    <w:multiLevelType w:val="hybridMultilevel"/>
    <w:lvl w:ilvl="0">
      <w:lvlJc w:val="left"/>
      <w:lvlText w:val="%1"/>
      <w:numFmt w:val="upperLetter"/>
      <w:start w:val="1"/>
    </w:lvl>
    <w:lvl w:ilvl="1">
      <w:lvlJc w:val="left"/>
      <w:lvlText w:val="%2."/>
      <w:numFmt w:val="lowerRoman"/>
      <w:start w:val="7"/>
    </w:lvl>
  </w:abstractNum>
  <w:abstractNum w:abstractNumId="37">
    <w:nsid w:val="12E685FB"/>
    <w:multiLevelType w:val="hybridMultilevel"/>
    <w:lvl w:ilvl="0">
      <w:lvlJc w:val="left"/>
      <w:lvlText w:val="(%1)"/>
      <w:numFmt w:val="upperLetter"/>
      <w:start w:val="16"/>
    </w:lvl>
    <w:lvl w:ilvl="1">
      <w:lvlJc w:val="left"/>
      <w:lvlText w:val="%2"/>
      <w:numFmt w:val="lowerRoman"/>
      <w:start w:val="1"/>
    </w:lvl>
  </w:abstractNum>
  <w:abstractNum w:abstractNumId="38">
    <w:nsid w:val="70C6A529"/>
    <w:multiLevelType w:val="hybridMultilevel"/>
    <w:lvl w:ilvl="0">
      <w:lvlJc w:val="left"/>
      <w:lvlText w:val="%1."/>
      <w:numFmt w:val="lowerRoman"/>
      <w:start w:val="1"/>
    </w:lvl>
  </w:abstractNum>
  <w:abstractNum w:abstractNumId="39">
    <w:nsid w:val="520EEDD1"/>
    <w:multiLevelType w:val="hybridMultilevel"/>
    <w:lvl w:ilvl="0">
      <w:lvlJc w:val="left"/>
      <w:lvlText w:val="%1"/>
      <w:numFmt w:val="upperLetter"/>
      <w:start w:val="1"/>
    </w:lvl>
    <w:lvl w:ilvl="1">
      <w:lvlJc w:val="left"/>
      <w:lvlText w:val="%2."/>
      <w:numFmt w:val="lowerRoman"/>
      <w:start w:val="3"/>
    </w:lvl>
  </w:abstractNum>
  <w:abstractNum w:abstractNumId="40">
    <w:nsid w:val="374A3FE6"/>
    <w:multiLevelType w:val="hybridMultilevel"/>
    <w:lvl w:ilvl="0">
      <w:lvlJc w:val="left"/>
      <w:lvlText w:val="(%1)"/>
      <w:numFmt w:val="upperLetter"/>
      <w:start w:val="17"/>
    </w:lvl>
    <w:lvl w:ilvl="1">
      <w:lvlJc w:val="left"/>
      <w:lvlText w:val="%2"/>
      <w:numFmt w:val="lowerRoman"/>
      <w:start w:val="1"/>
    </w:lvl>
  </w:abstractNum>
  <w:abstractNum w:abstractNumId="41">
    <w:nsid w:val="4F4EF005"/>
    <w:multiLevelType w:val="hybridMultilevel"/>
    <w:lvl w:ilvl="0">
      <w:lvlJc w:val="left"/>
      <w:lvlText w:val="(%1)"/>
      <w:numFmt w:val="upperLetter"/>
      <w:start w:val="1"/>
    </w:lvl>
  </w:abstractNum>
  <w:abstractNum w:abstractNumId="42">
    <w:nsid w:val="23F9C13C"/>
    <w:multiLevelType w:val="hybridMultilevel"/>
    <w:lvl w:ilvl="0">
      <w:lvlJc w:val="left"/>
      <w:lvlText w:val="%1."/>
      <w:numFmt w:val="lowerRoman"/>
      <w:start w:val="1"/>
    </w:lvl>
  </w:abstractNum>
  <w:abstractNum w:abstractNumId="43">
    <w:nsid w:val="649BB77C"/>
    <w:multiLevelType w:val="hybridMultilevel"/>
    <w:lvl w:ilvl="0">
      <w:lvlJc w:val="left"/>
      <w:lvlText w:val="%1"/>
      <w:numFmt w:val="upperLetter"/>
      <w:start w:val="1"/>
    </w:lvl>
    <w:lvl w:ilvl="1">
      <w:lvlJc w:val="left"/>
      <w:lvlText w:val="%2."/>
      <w:numFmt w:val="lowerRoman"/>
      <w:start w:val="2"/>
    </w:lvl>
  </w:abstractNum>
  <w:abstractNum w:abstractNumId="44">
    <w:nsid w:val="275AC794"/>
    <w:multiLevelType w:val="hybridMultilevel"/>
    <w:lvl w:ilvl="0">
      <w:lvlJc w:val="left"/>
      <w:lvlText w:val="(%1)"/>
      <w:numFmt w:val="upperLetter"/>
      <w:start w:val="2"/>
    </w:lvl>
    <w:lvl w:ilvl="1">
      <w:lvlJc w:val="left"/>
      <w:lvlText w:val="%2"/>
      <w:numFmt w:val="lowerRoman"/>
      <w:start w:val="1"/>
    </w:lvl>
  </w:abstractNum>
  <w:abstractNum w:abstractNumId="45">
    <w:nsid w:val="39386575"/>
    <w:multiLevelType w:val="hybridMultilevel"/>
    <w:lvl w:ilvl="0">
      <w:lvlJc w:val="left"/>
      <w:lvlText w:val="%1"/>
      <w:numFmt w:val="upperLetter"/>
      <w:start w:val="1"/>
    </w:lvl>
    <w:lvl w:ilvl="1">
      <w:lvlJc w:val="left"/>
      <w:lvlText w:val="%2."/>
      <w:numFmt w:val="lowerRoman"/>
      <w:start w:val="1"/>
    </w:lvl>
  </w:abstractNum>
  <w:abstractNum w:abstractNumId="46">
    <w:nsid w:val="1CF10FD8"/>
    <w:multiLevelType w:val="hybridMultilevel"/>
    <w:lvl w:ilvl="0">
      <w:lvlJc w:val="left"/>
      <w:lvlText w:val="(%1)"/>
      <w:numFmt w:val="upperLetter"/>
      <w:start w:val="5"/>
    </w:lvl>
    <w:lvl w:ilvl="1">
      <w:lvlJc w:val="left"/>
      <w:lvlText w:val="%2"/>
      <w:numFmt w:val="lowerRoman"/>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2"/>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lvl w:ilvl="1">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0"/>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lowerRoman"/>
      <w:start w:val="2"/>
    </w:lvl>
  </w:abstractNum>
  <w:abstractNum w:abstractNumId="66">
    <w:nsid w:val="1F48EA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0" Type="http://schemas.openxmlformats.org/officeDocument/2006/relationships/hyperlink" Target="http://www.sec.gov/ix?doc=/Archives/edgar/data/1871638/000119312525008689/d906819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2025-04-18T15:11:22Z</dcterms:created>
  <dcterms:modified xsi:type="dcterms:W3CDTF">2025-04-18T15:11:22Z</dcterms:modified>
</cp:coreProperties>
</file>