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333-284365</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160020</wp:posOffset>
            </wp:positionV>
            <wp:extent cx="2914650" cy="1011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4650" cy="1011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89,550,141 Shares of Common Stock</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898,250 Warrants to Purchase Shares of Common Stock</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29,698,250 Shares of Common Stock Issuable Upon Exercise of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February 13, 2025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spacing w:after="0" w:line="176" w:lineRule="exact"/>
        <w:rPr>
          <w:sz w:val="24"/>
          <w:szCs w:val="24"/>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Current Report on Form 8-K filed with the SEC on July 17, 2025, which is set forth below.</w:t>
      </w:r>
    </w:p>
    <w:p>
      <w:pPr>
        <w:spacing w:after="0" w:line="162" w:lineRule="exact"/>
        <w:rPr>
          <w:sz w:val="24"/>
          <w:szCs w:val="24"/>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July 25, 2025, the closing prices for our Common Stock and Warrants on the Nasdaq Stock Market LLC were $4.33 per share of Common Stock and $.63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8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u w:val="single" w:color="auto"/>
          <w:color w:val="auto"/>
        </w:rPr>
        <w:t>Risk Factors</w:t>
      </w:r>
      <w:r>
        <w:rPr>
          <w:rFonts w:ascii="Times New Roman" w:cs="Times New Roman" w:eastAsia="Times New Roman" w:hAnsi="Times New Roman"/>
          <w:sz w:val="22"/>
          <w:szCs w:val="22"/>
          <w:b w:val="1"/>
          <w:bCs w:val="1"/>
          <w:color w:val="auto"/>
        </w:rPr>
        <w:t>” beginning on page 6 of the Prospectus and other risk factors contained in the documents incorporated by reference therein for a discussion of information that should be considered in connection with an investment in our securities.</w:t>
      </w:r>
    </w:p>
    <w:p>
      <w:pPr>
        <w:spacing w:after="0" w:line="176" w:lineRule="exact"/>
        <w:rPr>
          <w:sz w:val="24"/>
          <w:szCs w:val="24"/>
          <w:color w:val="auto"/>
        </w:rPr>
      </w:pPr>
    </w:p>
    <w:p>
      <w:pPr>
        <w:ind w:right="1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183515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28, 2025</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July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0"/>
          <w:szCs w:val="20"/>
          <w:color w:val="auto"/>
        </w:rPr>
      </w:pPr>
    </w:p>
    <w:tbl>
      <w:tblPr>
        <w:tblLayout w:type="fixed"/>
        <w:tblInd w:w="924" w:type="dxa"/>
        <w:tblCellMar>
          <w:top w:w="0" w:type="dxa"/>
          <w:left w:w="0" w:type="dxa"/>
          <w:bottom w:w="0" w:type="dxa"/>
          <w:right w:w="0" w:type="dxa"/>
        </w:tblCellMar>
      </w:tblPr>
      <w:tr>
        <w:trPr>
          <w:trHeight w:val="214"/>
        </w:trPr>
        <w:tc>
          <w:tcPr>
            <w:tcW w:w="4140" w:type="dxa"/>
            <w:vAlign w:val="bottom"/>
          </w:tcPr>
          <w:p>
            <w:pPr>
              <w:jc w:val="center"/>
              <w:ind w:right="21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4140" w:type="dxa"/>
            <w:vAlign w:val="bottom"/>
          </w:tcPr>
          <w:p>
            <w:pPr>
              <w:jc w:val="center"/>
              <w:ind w:right="21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40" w:type="dxa"/>
            <w:vAlign w:val="bottom"/>
          </w:tcPr>
          <w:p>
            <w:pPr>
              <w:jc w:val="center"/>
              <w:ind w:right="21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6440" w:type="dxa"/>
            <w:vAlign w:val="bottom"/>
            <w:gridSpan w:val="2"/>
          </w:tcPr>
          <w:p>
            <w:pPr>
              <w:jc w:val="center"/>
              <w:ind w:right="842"/>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460" w:type="dxa"/>
            <w:vAlign w:val="bottom"/>
          </w:tcPr>
          <w:p>
            <w:pPr>
              <w:spacing w:after="0"/>
              <w:rPr>
                <w:sz w:val="24"/>
                <w:szCs w:val="24"/>
                <w:color w:val="auto"/>
              </w:rPr>
            </w:pPr>
          </w:p>
        </w:tc>
      </w:tr>
      <w:tr>
        <w:trPr>
          <w:trHeight w:val="227"/>
        </w:trPr>
        <w:tc>
          <w:tcPr>
            <w:tcW w:w="414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3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414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officers)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Strategic Partnership with Starshine</w:t>
      </w:r>
    </w:p>
    <w:p>
      <w:pPr>
        <w:spacing w:after="0" w:line="119" w:lineRule="exact"/>
        <w:rPr>
          <w:sz w:val="20"/>
          <w:szCs w:val="20"/>
          <w:color w:val="auto"/>
        </w:rPr>
      </w:pPr>
    </w:p>
    <w:p>
      <w:pPr>
        <w:ind w:left="4" w:right="140"/>
        <w:spacing w:after="0" w:line="281" w:lineRule="auto"/>
        <w:rPr>
          <w:sz w:val="20"/>
          <w:szCs w:val="20"/>
          <w:color w:val="auto"/>
        </w:rPr>
      </w:pPr>
      <w:r>
        <w:rPr>
          <w:rFonts w:ascii="Times New Roman" w:cs="Times New Roman" w:eastAsia="Times New Roman" w:hAnsi="Times New Roman"/>
          <w:sz w:val="17"/>
          <w:szCs w:val="17"/>
          <w:color w:val="auto"/>
        </w:rPr>
        <w:t>On July 16, 2025, Blaize Holdings, Inc. (“Blaize”) announced it had entered into a Strategic Cooperation Agreement (the “Agreement”) with Starshine Computing Power Technology Limited, a Hong Kong company (“Starshine”). Pursuant to the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Agreement.</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that are based on beliefs and assumptions and on information currently available to Blaize, including statements regarding our collaboration with Starshine, the anticipated value and scope of the agreement, the future deployment of Blaize technology, which enables AI processing on existing camera infrastructure, the expectations for the hybrid AI rollout, the projected growth of hybrid AI, future financial performance,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w:t>
      </w:r>
    </w:p>
    <w:p>
      <w:pPr>
        <w:spacing w:after="0" w:line="5" w:lineRule="exact"/>
        <w:rPr>
          <w:sz w:val="20"/>
          <w:szCs w:val="20"/>
          <w:color w:val="auto"/>
        </w:rPr>
      </w:pPr>
    </w:p>
    <w:p>
      <w:pPr>
        <w:ind w:left="4" w:hanging="4"/>
        <w:spacing w:after="0" w:line="251"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(ii) the ability to maintain compliance with stock exchange listing standards; (iii) failure to realize the anticipated benefits of the business combination of Blaize and BurTech Acquisition Corp., which may be affected by, among other things, competition, the ability of the combined company to grow and manage growth profitably, maintain relationships with customers and suppliers and retain its management and key employees; (iv) the ability of Blaize to successfully market its products and services; (v) the ability of Blaize to successfully deploy its technologies across customer settings; (vi) changes in applicable law or regulations; (vii) the outcome of any legal proceedings that have been or may be instituted against Blaize; (viii) the effects of competition on Blaize’s future business; (ix) the ability of the combined company to issue equity or equity-linked securities or obtain debt financing; and (x) those factors discussed under the heading “Risk Factors” in our Quarterly Report on Form 10-Q filed with the Securities and Exchange Commission (the “SEC”) on May 14,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sectPr>
          <w:pgSz w:w="11900" w:h="16838" w:orient="portrait"/>
          <w:cols w:equalWidth="0" w:num="1">
            <w:col w:w="11004"/>
          </w:cols>
          <w:pgMar w:left="436"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6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Dated: July 17, 2025</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60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2025-07-28T15:52:13Z</dcterms:created>
  <dcterms:modified xsi:type="dcterms:W3CDTF">2025-07-28T15:52:13Z</dcterms:modified>
</cp:coreProperties>
</file>