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Dorado Hills, CA 95762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30,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3"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tab/>
        <w:t>Blaize Holdings, Inc. Registration Statement on Form S-3</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333-292986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Rule 461 of Regulation C of the General Rules and Regulations under the Securities Act of 1933, as amended, the undersigned, on behalf of Blaize Holdings, Inc., respectfully requests that the effective date of the Registration Statement on Form S-3 referred to above be accelerated so that it will become effective at 4:00 P.M. Eastern Time on February 3, 2026, or as soon as practicable thereafter.</w:t>
      </w:r>
    </w:p>
    <w:p>
      <w:pPr>
        <w:spacing w:after="0" w:line="17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additional information, please contact Jonathan Zimmerman of Faegre Drinker Biddle &amp; Reath LLP at (612) 766-8419. Thank you for your assistance and cooperation in this matter.</w:t>
      </w:r>
    </w:p>
    <w:p>
      <w:pPr>
        <w:spacing w:after="0" w:line="200" w:lineRule="exact"/>
        <w:rPr>
          <w:sz w:val="24"/>
          <w:szCs w:val="24"/>
          <w:color w:val="auto"/>
        </w:rPr>
      </w:pPr>
    </w:p>
    <w:p>
      <w:pPr>
        <w:spacing w:after="0" w:line="218"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BLAIZE HOLDINGS, INC.</w:t>
      </w:r>
    </w:p>
    <w:p>
      <w:pPr>
        <w:spacing w:after="0" w:line="293"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Harminder Sehmi</w:t>
      </w:r>
    </w:p>
    <w:p>
      <w:pPr>
        <w:spacing w:after="0" w:line="27"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Harminder Sehmi</w:t>
      </w:r>
    </w:p>
    <w:p>
      <w:pPr>
        <w:spacing w:after="0" w:line="20"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w:t>
      </w:r>
    </w:p>
    <w:p>
      <w:pPr>
        <w:jc w:val="center"/>
        <w:ind w:left="4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440" w:hanging="255"/>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 Evans, General Counsel, Blaize Holdings, Inc.</w:t>
      </w:r>
    </w:p>
    <w:p>
      <w:pPr>
        <w:spacing w:after="0" w:line="49" w:lineRule="exact"/>
        <w:rPr>
          <w:rFonts w:ascii="Times New Roman" w:cs="Times New Roman" w:eastAsia="Times New Roman" w:hAnsi="Times New Roman"/>
          <w:sz w:val="18"/>
          <w:szCs w:val="18"/>
          <w:color w:val="auto"/>
        </w:rPr>
      </w:pPr>
    </w:p>
    <w:p>
      <w:pPr>
        <w:ind w:left="440" w:right="65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Zimmerman, Faegre Drinker Biddle &amp; Reath LLP Charles Lange, Faegre Drinker Biddle &amp; Reath LLP</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2026-03-19T23:06:48Z</dcterms:created>
  <dcterms:modified xsi:type="dcterms:W3CDTF">2026-03-19T23:06:48Z</dcterms:modified>
</cp:coreProperties>
</file>