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p>
      <w:pPr>
        <w:pStyle w:val="TextBody"/>
        <w:bidi w:val="0"/>
        <w:spacing w:lineRule="auto" w:line="192" w:before="0" w:after="12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192" w:before="0" w:after="16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192"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001-41139</w:t>
      </w:r>
    </w:p>
    <w:p>
      <w:pPr>
        <w:pStyle w:val="TextBody"/>
        <w:bidi w:val="0"/>
        <w:spacing w:lineRule="auto" w:line="192" w:before="0" w:after="60"/>
        <w:jc w:val="center"/>
        <w:rPr>
          <w:color w:val="000000"/>
        </w:rPr>
      </w:pPr>
      <w:r>
        <w:rPr>
          <w:color w:val="000000"/>
        </w:rPr>
        <w:t>—————————————————————————</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Blaize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192" w:before="0" w:after="0"/>
        <w:jc w:val="center"/>
        <w:rPr>
          <w:color w:val="000000"/>
        </w:rPr>
      </w:pPr>
      <w:r>
        <w:rPr>
          <w:color w:val="000000"/>
        </w:rPr>
        <w:t>—————————————————————————</w:t>
      </w:r>
    </w:p>
    <w:tbl>
      <w:tblPr>
        <w:tblW w:w="6959" w:type="dxa"/>
        <w:jc w:val="left"/>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 Dorado Hills, CA</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(916) 347-0050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88"/>
        <w:gridCol w:w="1808"/>
        <w:gridCol w:w="1832"/>
        <w:gridCol w:w="109"/>
        <w:gridCol w:w="109"/>
        <w:gridCol w:w="109"/>
        <w:gridCol w:w="406"/>
        <w:gridCol w:w="406"/>
        <w:gridCol w:w="408"/>
        <w:gridCol w:w="109"/>
        <w:gridCol w:w="109"/>
        <w:gridCol w:w="109"/>
        <w:gridCol w:w="731"/>
        <w:gridCol w:w="731"/>
        <w:gridCol w:w="1041"/>
      </w:tblGrid>
      <w:tr>
        <w:trPr/>
        <w:tc>
          <w:tcPr>
            <w:tcW w:w="218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5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2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Warrants, </w:t>
            </w:r>
            <w:r>
              <w:rPr>
                <w:rFonts w:ascii="Times New Roman;serif" w:hAnsi="Times New Roman;serif"/>
                <w:b w:val="false"/>
                <w:color w:val="000000"/>
                <w:sz w:val="18"/>
                <w:shd w:fill="FFFFFF" w:val="clear"/>
              </w:rPr>
              <w:t>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7" w:type="dxa"/>
        <w:jc w:val="center"/>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120"/>
        <w:jc w:val="left"/>
        <w:rPr/>
      </w:pPr>
      <w:r>
        <w:rPr>
          <w:rFonts w:ascii="Times New Roman;serif" w:hAnsi="Times New Roman;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August 13, 2026, there were 144,832,039 shares of the registrant’s common stock, par value $0.0001 per share, outstanding.</w:t>
      </w:r>
    </w:p>
    <w:p>
      <w:pPr>
        <w:pStyle w:val="TextBody"/>
        <w:bidi w:val="0"/>
        <w:spacing w:lineRule="auto" w:line="192" w:before="0" w:after="120"/>
        <w:jc w:val="center"/>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33"/>
        <w:ind w:left="0" w:right="0" w:hanging="1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8550" w:type="dxa"/>
        <w:jc w:val="left"/>
        <w:tblInd w:w="0" w:type="dxa"/>
        <w:tblLayout w:type="fixed"/>
        <w:tblCellMar>
          <w:top w:w="28" w:type="dxa"/>
          <w:left w:w="28" w:type="dxa"/>
          <w:bottom w:w="28" w:type="dxa"/>
          <w:right w:w="28" w:type="dxa"/>
        </w:tblCellMar>
      </w:tblPr>
      <w:tblGrid>
        <w:gridCol w:w="2889"/>
        <w:gridCol w:w="2540"/>
        <w:gridCol w:w="2550"/>
        <w:gridCol w:w="167"/>
        <w:gridCol w:w="167"/>
        <w:gridCol w:w="237"/>
      </w:tblGrid>
      <w:tr>
        <w:trPr/>
        <w:tc>
          <w:tcPr>
            <w:tcW w:w="288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Cautionary Note Regarding Forward-Looking Statements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0">
              <w:r>
                <w:rPr>
                  <w:rStyle w:val="InternetLink"/>
                  <w:rFonts w:ascii="Times New Roman;serif" w:hAnsi="Times New Roman;serif"/>
                  <w:b w:val="false"/>
                  <w:strike w:val="false"/>
                  <w:dstrike w:val="false"/>
                  <w:color w:val="000000"/>
                  <w:sz w:val="20"/>
                  <w:u w:val="none"/>
                  <w:effect w:val="none"/>
                </w:rPr>
                <w:t>ii</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Important Information Regarding Our Disclosure to Investors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3">
              <w:r>
                <w:rPr>
                  <w:rStyle w:val="InternetLink"/>
                  <w:rFonts w:ascii="Times New Roman;serif" w:hAnsi="Times New Roman;serif"/>
                  <w:b w:val="false"/>
                  <w:strike w:val="false"/>
                  <w:dstrike w:val="false"/>
                  <w:color w:val="000000"/>
                  <w:sz w:val="20"/>
                  <w:u w:val="none"/>
                  <w:effect w:val="none"/>
                </w:rPr>
                <w:t>iii</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7fbd10bb74936a8ddc40b47fe25a2_16">
              <w:r>
                <w:rPr>
                  <w:rStyle w:val="InternetLink"/>
                  <w:rFonts w:ascii="Times New Roman;serif" w:hAnsi="Times New Roman;serif"/>
                  <w:b/>
                  <w:strike w:val="false"/>
                  <w:dstrike w:val="false"/>
                  <w:color w:val="000000"/>
                  <w:sz w:val="20"/>
                  <w:u w:val="none"/>
                  <w:effect w:val="non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6">
              <w:r>
                <w:rPr>
                  <w:rStyle w:val="InternetLink"/>
                  <w:rFonts w:ascii="Times New Roman;serif" w:hAnsi="Times New Roman;serif"/>
                  <w:b w:val="false"/>
                  <w:strike w:val="false"/>
                  <w:dstrike w:val="false"/>
                  <w:color w:val="000000"/>
                  <w:sz w:val="20"/>
                  <w:u w:val="none"/>
                  <w:effect w:val="non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9">
              <w:r>
                <w:rPr>
                  <w:rStyle w:val="InternetLink"/>
                  <w:rFonts w:ascii="Times New Roman;serif" w:hAnsi="Times New Roman;serif"/>
                  <w:b w:val="false"/>
                  <w:strike w:val="false"/>
                  <w:dstrike w:val="false"/>
                  <w:color w:val="000000"/>
                  <w:sz w:val="20"/>
                  <w:u w:val="none"/>
                  <w:effect w:val="non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4e07fbd10bb74936a8ddc40b47fe25a2_19">
              <w:r>
                <w:rPr>
                  <w:rStyle w:val="InternetLink"/>
                  <w:rFonts w:ascii="Times New Roman;serif" w:hAnsi="Times New Roman;serif"/>
                  <w:b w:val="false"/>
                  <w:strike w:val="false"/>
                  <w:dstrike w:val="false"/>
                  <w:color w:val="000000"/>
                  <w:sz w:val="20"/>
                  <w:u w:val="none"/>
                  <w:effect w:val="non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9">
              <w:r>
                <w:rPr>
                  <w:rStyle w:val="InternetLink"/>
                  <w:rFonts w:ascii="Times New Roman;serif" w:hAnsi="Times New Roman;serif"/>
                  <w:b w:val="false"/>
                  <w:strike w:val="false"/>
                  <w:dstrike w:val="false"/>
                  <w:color w:val="000000"/>
                  <w:sz w:val="20"/>
                  <w:u w:val="none"/>
                  <w:effect w:val="non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22">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22">
              <w:r>
                <w:rPr>
                  <w:rStyle w:val="InternetLink"/>
                  <w:rFonts w:ascii="Times New Roman;serif" w:hAnsi="Times New Roman;serif"/>
                  <w:b w:val="false"/>
                  <w:strike w:val="false"/>
                  <w:dstrike w:val="false"/>
                  <w:color w:val="000000"/>
                  <w:sz w:val="20"/>
                  <w:u w:val="none"/>
                  <w:effect w:val="none"/>
                </w:rPr>
                <w:t>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4e07fbd10bb74936a8ddc40b47fe25a2_25">
              <w:r>
                <w:rPr>
                  <w:rStyle w:val="InternetLink"/>
                  <w:rFonts w:ascii="Times New Roman;serif" w:hAnsi="Times New Roman;serif"/>
                  <w:b w:val="false"/>
                  <w:strike w:val="false"/>
                  <w:dstrike w:val="false"/>
                  <w:color w:val="000000"/>
                  <w:sz w:val="20"/>
                  <w:u w:val="none"/>
                  <w:effect w:val="non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25">
              <w:r>
                <w:rPr>
                  <w:rStyle w:val="InternetLink"/>
                  <w:rFonts w:ascii="Times New Roman;serif" w:hAnsi="Times New Roman;serif"/>
                  <w:b w:val="false"/>
                  <w:strike w:val="false"/>
                  <w:dstrike w:val="false"/>
                  <w:color w:val="000000"/>
                  <w:sz w:val="20"/>
                  <w:u w:val="none"/>
                  <w:effect w:val="non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4e07fbd10bb74936a8ddc40b47fe25a2_28">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28">
              <w:r>
                <w:rPr>
                  <w:rStyle w:val="InternetLink"/>
                  <w:rFonts w:ascii="Times New Roman;serif" w:hAnsi="Times New Roman;serif"/>
                  <w:b w:val="false"/>
                  <w:strike w:val="false"/>
                  <w:dstrike w:val="false"/>
                  <w:color w:val="000000"/>
                  <w:sz w:val="20"/>
                  <w:u w:val="none"/>
                  <w:effect w:val="non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31">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31">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7fbd10bb74936a8ddc40b47fe25a2_34">
              <w:r>
                <w:rPr>
                  <w:rStyle w:val="InternetLink"/>
                  <w:rFonts w:ascii="Times New Roman;serif" w:hAnsi="Times New Roman;serif"/>
                  <w:b w:val="false"/>
                  <w:strike w:val="false"/>
                  <w:dstrike w:val="false"/>
                  <w:color w:val="000000"/>
                  <w:sz w:val="20"/>
                  <w:u w:val="none"/>
                  <w:effect w:val="none"/>
                </w:rPr>
                <w:t xml:space="preserve">Note 1 — Organization and Description of </w:t>
              </w:r>
            </w:hyperlink>
            <w:r>
              <w:rPr>
                <w:rFonts w:ascii="Times New Roman;serif" w:hAnsi="Times New Roman;serif"/>
                <w:b w:val="false"/>
                <w:color w:val="000000"/>
                <w:sz w:val="20"/>
              </w:rPr>
              <w:t>Business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34">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7fbd10bb74936a8ddc40b47fe25a2_37">
              <w:r>
                <w:rPr>
                  <w:rStyle w:val="InternetLink"/>
                  <w:rFonts w:ascii="Times New Roman;serif" w:hAnsi="Times New Roman;serif"/>
                  <w:b w:val="false"/>
                  <w:strike w:val="false"/>
                  <w:dstrike w:val="false"/>
                  <w:color w:val="000000"/>
                  <w:sz w:val="20"/>
                  <w:u w:val="none"/>
                  <w:effect w:val="none"/>
                </w:rPr>
                <w:t>Note 2 — Liquidity and Going Concern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37">
              <w:r>
                <w:rPr>
                  <w:rStyle w:val="InternetLink"/>
                  <w:rFonts w:ascii="Times New Roman;serif" w:hAnsi="Times New Roman;serif"/>
                  <w:b w:val="false"/>
                  <w:strike w:val="false"/>
                  <w:dstrike w:val="false"/>
                  <w:color w:val="000000"/>
                  <w:sz w:val="20"/>
                  <w:u w:val="none"/>
                  <w:effect w:val="non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7fbd10bb74936a8ddc40b47fe25a2_40">
              <w:r>
                <w:rPr>
                  <w:rStyle w:val="InternetLink"/>
                  <w:rFonts w:ascii="Times New Roman;serif" w:hAnsi="Times New Roman;serif"/>
                  <w:b w:val="false"/>
                  <w:strike w:val="false"/>
                  <w:dstrike w:val="false"/>
                  <w:color w:val="000000"/>
                  <w:sz w:val="20"/>
                  <w:u w:val="none"/>
                  <w:effect w:val="none"/>
                </w:rPr>
                <w:t>Note 3 — Revenue and Accounts Receivable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40">
              <w:r>
                <w:rPr>
                  <w:rStyle w:val="InternetLink"/>
                  <w:rFonts w:ascii="Times New Roman;serif" w:hAnsi="Times New Roman;serif"/>
                  <w:b w:val="false"/>
                  <w:strike w:val="false"/>
                  <w:dstrike w:val="false"/>
                  <w:color w:val="000000"/>
                  <w:sz w:val="20"/>
                  <w:u w:val="none"/>
                  <w:effect w:val="none"/>
                </w:rPr>
                <w:t>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7fbd10bb74936a8ddc40b47fe25a2_43">
              <w:r>
                <w:rPr>
                  <w:rStyle w:val="InternetLink"/>
                  <w:rFonts w:ascii="Times New Roman;serif" w:hAnsi="Times New Roman;serif"/>
                  <w:b w:val="false"/>
                  <w:strike w:val="false"/>
                  <w:dstrike w:val="false"/>
                  <w:color w:val="000000"/>
                  <w:sz w:val="20"/>
                  <w:u w:val="none"/>
                  <w:effect w:val="none"/>
                </w:rPr>
                <w:t>Note 4 — Fair Value Measurements and Derivative Instruments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43">
              <w:r>
                <w:rPr>
                  <w:rStyle w:val="InternetLink"/>
                  <w:rFonts w:ascii="Times New Roman;serif" w:hAnsi="Times New Roman;serif"/>
                  <w:b w:val="false"/>
                  <w:strike w:val="false"/>
                  <w:dstrike w:val="false"/>
                  <w:color w:val="000000"/>
                  <w:sz w:val="20"/>
                  <w:u w:val="none"/>
                  <w:effect w:val="none"/>
                </w:rPr>
                <w:t>11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7fbd10bb74936a8ddc40b47fe25a2_46">
              <w:r>
                <w:rPr>
                  <w:rStyle w:val="InternetLink"/>
                  <w:rFonts w:ascii="Times New Roman;serif" w:hAnsi="Times New Roman;serif"/>
                  <w:b w:val="false"/>
                  <w:strike w:val="false"/>
                  <w:dstrike w:val="false"/>
                  <w:color w:val="000000"/>
                  <w:sz w:val="20"/>
                  <w:u w:val="none"/>
                  <w:effect w:val="none"/>
                </w:rPr>
                <w:t>Note 5 — Financial Statement Details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46">
              <w:r>
                <w:rPr>
                  <w:rStyle w:val="InternetLink"/>
                  <w:rFonts w:ascii="Times New Roman;serif" w:hAnsi="Times New Roman;serif"/>
                  <w:b w:val="false"/>
                  <w:strike w:val="false"/>
                  <w:dstrike w:val="false"/>
                  <w:color w:val="000000"/>
                  <w:sz w:val="20"/>
                  <w:u w:val="none"/>
                  <w:effect w:val="none"/>
                </w:rPr>
                <w:t>14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49">
              <w:r>
                <w:rPr>
                  <w:rStyle w:val="InternetLink"/>
                  <w:rFonts w:ascii="Times New Roman;serif" w:hAnsi="Times New Roman;serif"/>
                  <w:b w:val="false"/>
                  <w:strike w:val="false"/>
                  <w:dstrike w:val="false"/>
                  <w:color w:val="000000"/>
                  <w:sz w:val="20"/>
                  <w:u w:val="none"/>
                  <w:effect w:val="none"/>
                </w:rPr>
                <w:t>Note 6 — Common Stock</w:t>
              </w:r>
            </w:hyperlink>
            <w:r>
              <w:rPr>
                <w:rFonts w:ascii="Times New Roman;serif" w:hAnsi="Times New Roman;serif"/>
                <w:b w:val="false"/>
                <w:color w:val="000000"/>
                <w:sz w:val="20"/>
              </w:rPr>
              <w:t xml:space="preserve"> and Contingently Issuable Common Stock and Preferred Stock</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49">
              <w:r>
                <w:rPr>
                  <w:rStyle w:val="InternetLink"/>
                  <w:rFonts w:ascii="Times New Roman;serif" w:hAnsi="Times New Roman;serif"/>
                  <w:b w:val="false"/>
                  <w:strike w:val="false"/>
                  <w:dstrike w:val="false"/>
                  <w:color w:val="000000"/>
                  <w:sz w:val="20"/>
                  <w:u w:val="none"/>
                  <w:effect w:val="none"/>
                </w:rPr>
                <w:t>15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7fbd10bb74936a8ddc40b47fe25a2_52">
              <w:r>
                <w:rPr>
                  <w:rStyle w:val="InternetLink"/>
                  <w:rFonts w:ascii="Times New Roman;serif" w:hAnsi="Times New Roman;serif"/>
                  <w:b w:val="false"/>
                  <w:strike w:val="false"/>
                  <w:dstrike w:val="false"/>
                  <w:color w:val="000000"/>
                  <w:sz w:val="20"/>
                  <w:u w:val="none"/>
                  <w:effect w:val="none"/>
                </w:rPr>
                <w:t>Note 7 — Net Loss Per Share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52">
              <w:r>
                <w:rPr>
                  <w:rStyle w:val="InternetLink"/>
                  <w:rFonts w:ascii="Times New Roman;serif" w:hAnsi="Times New Roman;serif"/>
                  <w:b w:val="false"/>
                  <w:strike w:val="false"/>
                  <w:dstrike w:val="false"/>
                  <w:color w:val="000000"/>
                  <w:sz w:val="20"/>
                  <w:u w:val="none"/>
                  <w:effect w:val="none"/>
                </w:rPr>
                <w:t>17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7fbd10bb74936a8ddc40b47fe25a2_55">
              <w:r>
                <w:rPr>
                  <w:rStyle w:val="InternetLink"/>
                  <w:rFonts w:ascii="Times New Roman;serif" w:hAnsi="Times New Roman;serif"/>
                  <w:b w:val="false"/>
                  <w:strike w:val="false"/>
                  <w:dstrike w:val="false"/>
                  <w:color w:val="000000"/>
                  <w:sz w:val="20"/>
                  <w:u w:val="none"/>
                  <w:effect w:val="none"/>
                </w:rPr>
                <w:t>Note 8 — Segment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55">
              <w:r>
                <w:rPr>
                  <w:rStyle w:val="InternetLink"/>
                  <w:rFonts w:ascii="Times New Roman;serif" w:hAnsi="Times New Roman;serif"/>
                  <w:b w:val="false"/>
                  <w:strike w:val="false"/>
                  <w:dstrike w:val="false"/>
                  <w:color w:val="000000"/>
                  <w:sz w:val="20"/>
                  <w:u w:val="none"/>
                  <w:effect w:val="none"/>
                </w:rPr>
                <w:t>18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7fbd10bb74936a8ddc40b47fe25a2_61">
              <w:r>
                <w:rPr>
                  <w:rStyle w:val="InternetLink"/>
                  <w:rFonts w:ascii="Times New Roman;serif" w:hAnsi="Times New Roman;serif"/>
                  <w:b w:val="false"/>
                  <w:strike w:val="false"/>
                  <w:dstrike w:val="false"/>
                  <w:color w:val="000000"/>
                  <w:sz w:val="20"/>
                  <w:u w:val="none"/>
                  <w:effect w:val="none"/>
                </w:rPr>
                <w:t>Note 9 — Related Party Transactions and Balances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61">
              <w:r>
                <w:rPr>
                  <w:rStyle w:val="InternetLink"/>
                  <w:rFonts w:ascii="Times New Roman;serif" w:hAnsi="Times New Roman;serif"/>
                  <w:b w:val="false"/>
                  <w:strike w:val="false"/>
                  <w:dstrike w:val="false"/>
                  <w:color w:val="000000"/>
                  <w:sz w:val="20"/>
                  <w:u w:val="none"/>
                  <w:effect w:val="none"/>
                </w:rPr>
                <w:t>20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 10 — Commitments and Contingencies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64">
              <w:r>
                <w:rPr>
                  <w:rStyle w:val="InternetLink"/>
                  <w:rFonts w:ascii="Times New Roman;serif" w:hAnsi="Times New Roman;serif"/>
                  <w:b w:val="false"/>
                  <w:strike w:val="false"/>
                  <w:dstrike w:val="false"/>
                  <w:color w:val="000000"/>
                  <w:sz w:val="20"/>
                  <w:u w:val="none"/>
                  <w:effect w:val="none"/>
                </w:rPr>
                <w:t>22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07fbd10bb74936a8ddc40b47fe25a2_67">
              <w:r>
                <w:rPr>
                  <w:rStyle w:val="InternetLink"/>
                  <w:rFonts w:ascii="Times New Roman;serif" w:hAnsi="Times New Roman;serif"/>
                  <w:b w:val="false"/>
                  <w:strike w:val="false"/>
                  <w:dstrike w:val="false"/>
                  <w:color w:val="000080"/>
                  <w:sz w:val="20"/>
                  <w:u w:val="single"/>
                  <w:effect w:val="none"/>
                </w:rPr>
                <w:t>Note 1</w:t>
              </w:r>
            </w:hyperlink>
            <w:hyperlink w:anchor="i4e07fbd10bb74936a8ddc40b47fe25a2_67">
              <w:r>
                <w:rPr>
                  <w:rStyle w:val="InternetLink"/>
                  <w:rFonts w:ascii="Times New Roman;serif" w:hAnsi="Times New Roman;serif"/>
                  <w:b w:val="false"/>
                  <w:strike w:val="false"/>
                  <w:dstrike w:val="false"/>
                  <w:color w:val="000080"/>
                  <w:sz w:val="20"/>
                  <w:u w:val="single"/>
                  <w:effect w:val="none"/>
                </w:rPr>
                <w:t>1</w:t>
              </w:r>
            </w:hyperlink>
            <w:hyperlink w:anchor="i4e07fbd10bb74936a8ddc40b47fe25a2_67">
              <w:r>
                <w:rPr>
                  <w:rStyle w:val="InternetLink"/>
                  <w:rFonts w:ascii="Times New Roman;serif" w:hAnsi="Times New Roman;serif"/>
                  <w:b w:val="false"/>
                  <w:strike w:val="false"/>
                  <w:dstrike w:val="false"/>
                  <w:color w:val="000080"/>
                  <w:sz w:val="20"/>
                  <w:u w:val="single"/>
                  <w:effect w:val="none"/>
                </w:rPr>
                <w:t xml:space="preserve"> — Subsequent Events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67">
              <w:r>
                <w:rPr>
                  <w:rStyle w:val="InternetLink"/>
                  <w:rFonts w:ascii="Times New Roman;serif" w:hAnsi="Times New Roman;serif"/>
                  <w:b w:val="false"/>
                  <w:strike w:val="false"/>
                  <w:dstrike w:val="false"/>
                  <w:color w:val="000000"/>
                  <w:sz w:val="20"/>
                  <w:u w:val="none"/>
                  <w:effect w:val="none"/>
                </w:rPr>
                <w:t>23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70">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70">
              <w:r>
                <w:rPr>
                  <w:rStyle w:val="InternetLink"/>
                  <w:rFonts w:ascii="Times New Roman;serif" w:hAnsi="Times New Roman;serif"/>
                  <w:b w:val="false"/>
                  <w:strike w:val="false"/>
                  <w:dstrike w:val="false"/>
                  <w:color w:val="000000"/>
                  <w:sz w:val="20"/>
                  <w:u w:val="none"/>
                  <w:effect w:val="none"/>
                </w:rPr>
                <w:t>24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97">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97">
              <w:r>
                <w:rPr>
                  <w:rStyle w:val="InternetLink"/>
                  <w:rFonts w:ascii="Times New Roman;serif" w:hAnsi="Times New Roman;serif"/>
                  <w:b w:val="false"/>
                  <w:strike w:val="false"/>
                  <w:dstrike w:val="false"/>
                  <w:color w:val="000000"/>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00">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00">
              <w:r>
                <w:rPr>
                  <w:rStyle w:val="InternetLink"/>
                  <w:rFonts w:ascii="Times New Roman;serif" w:hAnsi="Times New Roman;serif"/>
                  <w:b w:val="false"/>
                  <w:strike w:val="false"/>
                  <w:dstrike w:val="false"/>
                  <w:color w:val="000000"/>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03">
              <w:r>
                <w:rPr>
                  <w:rStyle w:val="InternetLink"/>
                  <w:rFonts w:ascii="Times New Roman;serif" w:hAnsi="Times New Roman;serif"/>
                  <w:b/>
                  <w:strike w:val="false"/>
                  <w:dstrike w:val="false"/>
                  <w:color w:val="000000"/>
                  <w:sz w:val="20"/>
                  <w:u w:val="none"/>
                  <w:effect w:val="non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03">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06">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06">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09">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09">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12">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12">
              <w:r>
                <w:rPr>
                  <w:rStyle w:val="InternetLink"/>
                  <w:rFonts w:ascii="Times New Roman;serif" w:hAnsi="Times New Roman;serif"/>
                  <w:b w:val="false"/>
                  <w:strike w:val="false"/>
                  <w:dstrike w:val="false"/>
                  <w:color w:val="000000"/>
                  <w:sz w:val="20"/>
                  <w:u w:val="none"/>
                  <w:effect w:val="none"/>
                </w:rPr>
                <w:t>39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15">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15">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18">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18">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21">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21">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24">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24">
              <w:r>
                <w:rPr>
                  <w:rStyle w:val="InternetLink"/>
                  <w:rFonts w:ascii="Times New Roman;serif" w:hAnsi="Times New Roman;serif"/>
                  <w:b w:val="false"/>
                  <w:strike w:val="false"/>
                  <w:dstrike w:val="false"/>
                  <w:color w:val="000000"/>
                  <w:sz w:val="20"/>
                  <w:u w:val="none"/>
                  <w:effect w:val="none"/>
                </w:rPr>
                <w:t>42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7fbd10bb74936a8ddc40b47fe25a2_127">
              <w:r>
                <w:rPr>
                  <w:rStyle w:val="InternetLink"/>
                  <w:rFonts w:ascii="Times New Roman;serif" w:hAnsi="Times New Roman;serif"/>
                  <w:b/>
                  <w:strike w:val="false"/>
                  <w:dstrike w:val="false"/>
                  <w:color w:val="000000"/>
                  <w:sz w:val="20"/>
                  <w:u w:val="none"/>
                  <w:effect w:val="non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07fbd10bb74936a8ddc40b47fe25a2_127">
              <w:r>
                <w:rPr>
                  <w:rStyle w:val="InternetLink"/>
                  <w:rFonts w:ascii="Times New Roman;serif" w:hAnsi="Times New Roman;serif"/>
                  <w:b w:val="false"/>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233"/>
        <w:ind w:left="0" w:right="0" w:hanging="1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Quarterly Report on Form 10-Q, including but not limited to, changes in domestic and foreign business, market, financial, political and legal conditions; risks related to the Business Combination, as defined in the Glossary of our Annual Report on Form 10-K for the fiscal year ended December 31, 2025 filed with the U.S. Securities and Exchange Commission (“SEC”) on March 24, 2026, and amended by Amendment No. 1 on Form 10-K/A filed with the SEC on April 30, 2026 (the “Annual Report on Form 10-K” or “Form 10-K”),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in the Form 10-K, Part II, Item 1A. “Risk Factors” herein,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233"/>
        <w:ind w:left="0" w:right="0" w:hanging="1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INFORMATION REGARDING OUR DISCLOSURE TO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strike w:val="false"/>
            <w:dstrike w:val="false"/>
            <w:color w:val="0000FF"/>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 or unless otherwise noted)</w:t>
      </w:r>
    </w:p>
    <w:tbl>
      <w:tblPr>
        <w:tblW w:w="10205" w:type="dxa"/>
        <w:jc w:val="center"/>
        <w:tblInd w:w="0" w:type="dxa"/>
        <w:tblLayout w:type="fixed"/>
        <w:tblCellMar>
          <w:top w:w="28" w:type="dxa"/>
          <w:left w:w="28" w:type="dxa"/>
          <w:bottom w:w="28" w:type="dxa"/>
          <w:right w:w="28" w:type="dxa"/>
        </w:tblCellMar>
      </w:tblPr>
      <w:tblGrid>
        <w:gridCol w:w="2798"/>
        <w:gridCol w:w="2242"/>
        <w:gridCol w:w="2213"/>
        <w:gridCol w:w="109"/>
        <w:gridCol w:w="109"/>
        <w:gridCol w:w="109"/>
        <w:gridCol w:w="208"/>
        <w:gridCol w:w="705"/>
        <w:gridCol w:w="116"/>
        <w:gridCol w:w="109"/>
        <w:gridCol w:w="109"/>
        <w:gridCol w:w="109"/>
        <w:gridCol w:w="225"/>
        <w:gridCol w:w="864"/>
        <w:gridCol w:w="180"/>
      </w:tblGrid>
      <w:tr>
        <w:trPr/>
        <w:tc>
          <w:tcPr>
            <w:tcW w:w="2798"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of allowance for credit losses of $9,548 and $523,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 related party, net of allowance for credit losses of $— and $34,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79,514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102,211</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Working capital loan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Unissued shares of common stock for related party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Earnout shares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36,724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63,211</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$0.0001 par value; 600,000,000 and 600,000,000 shares authorized as of June 30, 2026 and December 31, 2025, respectively, and 142,778,075 and 122,043,966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675,143</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(636,155)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42,790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39,000</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79,514</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102,211</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49580"/>
                <wp:effectExtent l="0" t="0" r="0" b="0"/>
                <wp:wrapNone/>
                <wp:docPr id="5" name="Frame5"/>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w:t>
      </w:r>
    </w:p>
    <w:tbl>
      <w:tblPr>
        <w:tblW w:w="10205" w:type="dxa"/>
        <w:jc w:val="left"/>
        <w:tblInd w:w="0" w:type="dxa"/>
        <w:tblLayout w:type="fixed"/>
        <w:tblCellMar>
          <w:top w:w="28" w:type="dxa"/>
          <w:left w:w="28" w:type="dxa"/>
          <w:bottom w:w="28" w:type="dxa"/>
          <w:right w:w="28" w:type="dxa"/>
        </w:tblCellMar>
      </w:tblPr>
      <w:tblGrid>
        <w:gridCol w:w="1505"/>
        <w:gridCol w:w="1097"/>
        <w:gridCol w:w="1105"/>
        <w:gridCol w:w="109"/>
        <w:gridCol w:w="109"/>
        <w:gridCol w:w="109"/>
        <w:gridCol w:w="427"/>
        <w:gridCol w:w="502"/>
        <w:gridCol w:w="264"/>
        <w:gridCol w:w="170"/>
        <w:gridCol w:w="170"/>
        <w:gridCol w:w="170"/>
        <w:gridCol w:w="420"/>
        <w:gridCol w:w="382"/>
        <w:gridCol w:w="384"/>
        <w:gridCol w:w="109"/>
        <w:gridCol w:w="109"/>
        <w:gridCol w:w="109"/>
        <w:gridCol w:w="391"/>
        <w:gridCol w:w="388"/>
        <w:gridCol w:w="384"/>
        <w:gridCol w:w="158"/>
        <w:gridCol w:w="158"/>
        <w:gridCol w:w="158"/>
        <w:gridCol w:w="391"/>
        <w:gridCol w:w="471"/>
        <w:gridCol w:w="456"/>
      </w:tblGrid>
      <w:tr>
        <w:trPr/>
        <w:tc>
          <w:tcPr>
            <w:tcW w:w="150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1,362</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1,064</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263</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14,723</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2,989</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1,131</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918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2,494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1,858</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ind w:left="0" w:right="0" w:hanging="180"/>
              <w:jc w:val="right"/>
              <w:rPr>
                <w:color w:val="000000"/>
              </w:rPr>
            </w:pPr>
            <w:r>
              <w:rPr>
                <w:color w:val="000000"/>
              </w:rPr>
              <w:t> </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20,155</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22,731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26,082</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267</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647</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12,035</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61,762</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(30,604)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(53,992)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(59,904)</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ind w:left="0" w:right="0" w:hanging="180"/>
              <w:jc w:val="right"/>
              <w:rPr>
                <w:color w:val="000000"/>
              </w:rPr>
            </w:pPr>
            <w:r>
              <w:rPr>
                <w:color w:val="000000"/>
              </w:rPr>
              <w:t> </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109,261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(158)</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(117,245)</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(28,541)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(51,095)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(177,149)</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(28,809)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(51,462)</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(177,350)</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(28,444)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(50,972)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(177,350)</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134,813,711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104,588,373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128,627,046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98,374,632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49580"/>
                <wp:effectExtent l="0" t="0" r="0" b="0"/>
                <wp:wrapNone/>
                <wp:docPr id="6" name="Frame6"/>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p>
      <w:pPr>
        <w:pStyle w:val="TextBody"/>
        <w:bidi w:val="0"/>
        <w:spacing w:before="0" w:after="0"/>
        <w:jc w:val="left"/>
        <w:rPr/>
      </w:pPr>
      <w:r>
        <w:rPr/>
      </w:r>
    </w:p>
    <w:tbl>
      <w:tblPr>
        <w:tblW w:w="12053" w:type="dxa"/>
        <w:jc w:val="left"/>
        <w:tblInd w:w="0" w:type="dxa"/>
        <w:tblLayout w:type="fixed"/>
        <w:tblCellMar>
          <w:top w:w="28" w:type="dxa"/>
          <w:left w:w="28" w:type="dxa"/>
          <w:bottom w:w="28" w:type="dxa"/>
          <w:right w:w="28" w:type="dxa"/>
        </w:tblCellMar>
      </w:tblPr>
      <w:tblGrid>
        <w:gridCol w:w="636"/>
        <w:gridCol w:w="229"/>
        <w:gridCol w:w="231"/>
        <w:gridCol w:w="109"/>
        <w:gridCol w:w="153"/>
        <w:gridCol w:w="153"/>
        <w:gridCol w:w="153"/>
        <w:gridCol w:w="153"/>
        <w:gridCol w:w="154"/>
        <w:gridCol w:w="334"/>
        <w:gridCol w:w="334"/>
        <w:gridCol w:w="338"/>
        <w:gridCol w:w="290"/>
        <w:gridCol w:w="290"/>
        <w:gridCol w:w="291"/>
        <w:gridCol w:w="196"/>
        <w:gridCol w:w="346"/>
        <w:gridCol w:w="109"/>
        <w:gridCol w:w="405"/>
        <w:gridCol w:w="405"/>
        <w:gridCol w:w="406"/>
        <w:gridCol w:w="196"/>
        <w:gridCol w:w="751"/>
        <w:gridCol w:w="109"/>
        <w:gridCol w:w="350"/>
        <w:gridCol w:w="350"/>
        <w:gridCol w:w="351"/>
        <w:gridCol w:w="196"/>
        <w:gridCol w:w="436"/>
        <w:gridCol w:w="109"/>
        <w:gridCol w:w="365"/>
        <w:gridCol w:w="365"/>
        <w:gridCol w:w="366"/>
        <w:gridCol w:w="196"/>
        <w:gridCol w:w="751"/>
        <w:gridCol w:w="109"/>
        <w:gridCol w:w="109"/>
        <w:gridCol w:w="109"/>
        <w:gridCol w:w="109"/>
        <w:gridCol w:w="196"/>
        <w:gridCol w:w="66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33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2394" w:type="dxa"/>
            <w:gridSpan w:val="9"/>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April 1,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122,746,757</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684,108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(658,808)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681,481</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457,908</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 taxes 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(26,989)</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public offering, net of expenses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18,918,918</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related party liabilities - non-cash</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142,778,075</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729,903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(687,617)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4"/>
        <w:gridCol w:w="276"/>
        <w:gridCol w:w="278"/>
        <w:gridCol w:w="334"/>
        <w:gridCol w:w="334"/>
        <w:gridCol w:w="219"/>
        <w:gridCol w:w="114"/>
        <w:gridCol w:w="114"/>
        <w:gridCol w:w="114"/>
        <w:gridCol w:w="205"/>
        <w:gridCol w:w="691"/>
        <w:gridCol w:w="114"/>
        <w:gridCol w:w="109"/>
        <w:gridCol w:w="109"/>
        <w:gridCol w:w="109"/>
        <w:gridCol w:w="304"/>
        <w:gridCol w:w="304"/>
        <w:gridCol w:w="308"/>
        <w:gridCol w:w="109"/>
        <w:gridCol w:w="109"/>
        <w:gridCol w:w="109"/>
        <w:gridCol w:w="208"/>
        <w:gridCol w:w="367"/>
        <w:gridCol w:w="116"/>
        <w:gridCol w:w="109"/>
        <w:gridCol w:w="109"/>
        <w:gridCol w:w="109"/>
        <w:gridCol w:w="203"/>
        <w:gridCol w:w="778"/>
        <w:gridCol w:w="112"/>
        <w:gridCol w:w="109"/>
        <w:gridCol w:w="109"/>
        <w:gridCol w:w="109"/>
        <w:gridCol w:w="109"/>
        <w:gridCol w:w="109"/>
        <w:gridCol w:w="199"/>
        <w:gridCol w:w="766"/>
        <w:gridCol w:w="110"/>
        <w:gridCol w:w="109"/>
        <w:gridCol w:w="109"/>
        <w:gridCol w:w="109"/>
        <w:gridCol w:w="213"/>
        <w:gridCol w:w="720"/>
        <w:gridCol w:w="177"/>
      </w:tblGrid>
      <w:tr>
        <w:trPr/>
        <w:tc>
          <w:tcPr>
            <w:tcW w:w="6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 (Deficit)</w:t>
            </w:r>
          </w:p>
        </w:tc>
        <w:tc>
          <w:tcPr>
            <w:tcW w:w="1437" w:type="dxa"/>
            <w:gridSpan w:val="6"/>
            <w:tcBorders/>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Stockholders’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(Deficit)</w:t>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April 1, 2025</w:t>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2,854,242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33,061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98,818,874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593,712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(577,012)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16,710</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advisors</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redemption value</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common stock subject to possible redemption</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(2,800,489)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redemption</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8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98,881,933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601,781</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(606,601)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(4,810)</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49580"/>
                <wp:effectExtent l="0" t="0" r="0" b="0"/>
                <wp:wrapNone/>
                <wp:docPr id="7" name="Frame7"/>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p>
      <w:pPr>
        <w:pStyle w:val="TextBody"/>
        <w:bidi w:val="0"/>
        <w:spacing w:before="0" w:after="0"/>
        <w:jc w:val="left"/>
        <w:rPr/>
      </w:pPr>
      <w:r>
        <w:rPr/>
      </w:r>
    </w:p>
    <w:tbl>
      <w:tblPr>
        <w:tblW w:w="12188" w:type="dxa"/>
        <w:jc w:val="left"/>
        <w:tblInd w:w="0" w:type="dxa"/>
        <w:tblLayout w:type="fixed"/>
        <w:tblCellMar>
          <w:top w:w="28" w:type="dxa"/>
          <w:left w:w="28" w:type="dxa"/>
          <w:bottom w:w="28" w:type="dxa"/>
          <w:right w:w="28" w:type="dxa"/>
        </w:tblCellMar>
      </w:tblPr>
      <w:tblGrid>
        <w:gridCol w:w="742"/>
        <w:gridCol w:w="244"/>
        <w:gridCol w:w="245"/>
        <w:gridCol w:w="109"/>
        <w:gridCol w:w="153"/>
        <w:gridCol w:w="153"/>
        <w:gridCol w:w="153"/>
        <w:gridCol w:w="153"/>
        <w:gridCol w:w="154"/>
        <w:gridCol w:w="334"/>
        <w:gridCol w:w="334"/>
        <w:gridCol w:w="338"/>
        <w:gridCol w:w="290"/>
        <w:gridCol w:w="290"/>
        <w:gridCol w:w="291"/>
        <w:gridCol w:w="196"/>
        <w:gridCol w:w="346"/>
        <w:gridCol w:w="109"/>
        <w:gridCol w:w="405"/>
        <w:gridCol w:w="405"/>
        <w:gridCol w:w="406"/>
        <w:gridCol w:w="196"/>
        <w:gridCol w:w="751"/>
        <w:gridCol w:w="109"/>
        <w:gridCol w:w="350"/>
        <w:gridCol w:w="350"/>
        <w:gridCol w:w="351"/>
        <w:gridCol w:w="196"/>
        <w:gridCol w:w="436"/>
        <w:gridCol w:w="109"/>
        <w:gridCol w:w="365"/>
        <w:gridCol w:w="365"/>
        <w:gridCol w:w="366"/>
        <w:gridCol w:w="196"/>
        <w:gridCol w:w="751"/>
        <w:gridCol w:w="109"/>
        <w:gridCol w:w="109"/>
        <w:gridCol w:w="109"/>
        <w:gridCol w:w="109"/>
        <w:gridCol w:w="196"/>
        <w:gridCol w:w="661"/>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338"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2394" w:type="dxa"/>
            <w:gridSpan w:val="9"/>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122,043,966</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(636,155)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39,000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730,683</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1,111,497</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 taxes 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(26,989)</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earnout awards to liability</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public offering, net of expenses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18,918,918</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related party liabilities - non-cash</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142,778,075</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729,903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(687,617)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1"/>
        <w:gridCol w:w="319"/>
        <w:gridCol w:w="321"/>
        <w:gridCol w:w="302"/>
        <w:gridCol w:w="302"/>
        <w:gridCol w:w="285"/>
        <w:gridCol w:w="120"/>
        <w:gridCol w:w="120"/>
        <w:gridCol w:w="120"/>
        <w:gridCol w:w="271"/>
        <w:gridCol w:w="447"/>
        <w:gridCol w:w="120"/>
        <w:gridCol w:w="109"/>
        <w:gridCol w:w="109"/>
        <w:gridCol w:w="109"/>
        <w:gridCol w:w="304"/>
        <w:gridCol w:w="304"/>
        <w:gridCol w:w="308"/>
        <w:gridCol w:w="109"/>
        <w:gridCol w:w="109"/>
        <w:gridCol w:w="109"/>
        <w:gridCol w:w="208"/>
        <w:gridCol w:w="367"/>
        <w:gridCol w:w="116"/>
        <w:gridCol w:w="109"/>
        <w:gridCol w:w="109"/>
        <w:gridCol w:w="109"/>
        <w:gridCol w:w="207"/>
        <w:gridCol w:w="795"/>
        <w:gridCol w:w="115"/>
        <w:gridCol w:w="109"/>
        <w:gridCol w:w="109"/>
        <w:gridCol w:w="109"/>
        <w:gridCol w:w="109"/>
        <w:gridCol w:w="109"/>
        <w:gridCol w:w="201"/>
        <w:gridCol w:w="776"/>
        <w:gridCol w:w="111"/>
        <w:gridCol w:w="109"/>
        <w:gridCol w:w="109"/>
        <w:gridCol w:w="109"/>
        <w:gridCol w:w="200"/>
        <w:gridCol w:w="775"/>
        <w:gridCol w:w="167"/>
      </w:tblGrid>
      <w:tr>
        <w:trPr/>
        <w:tc>
          <w:tcPr>
            <w:tcW w:w="6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Deficit</w:t>
            </w:r>
          </w:p>
        </w:tc>
        <w:tc>
          <w:tcPr>
            <w:tcW w:w="1469" w:type="dxa"/>
            <w:gridSpan w:val="6"/>
            <w:tcBorders/>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Stockholders’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2025</w:t>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48,376,052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318,783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(429,251)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(110,463)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Conversion of Legacy Blaize convertible notes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exercise of Legacy Blaize warrants</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PIPE financing</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2,854,242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on shareholder note receivable</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advisors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warrants to advisor</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redemption value</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common stock subject to possible redemption</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(2,800,489)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redemption</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8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98,881,933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601,781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(606,601)</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(4,810)</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49580"/>
                <wp:effectExtent l="0" t="0" r="0" b="0"/>
                <wp:wrapNone/>
                <wp:docPr id="8" name="Frame8"/>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2665"/>
        <w:gridCol w:w="2286"/>
        <w:gridCol w:w="2303"/>
        <w:gridCol w:w="109"/>
        <w:gridCol w:w="109"/>
        <w:gridCol w:w="109"/>
        <w:gridCol w:w="211"/>
        <w:gridCol w:w="783"/>
        <w:gridCol w:w="109"/>
        <w:gridCol w:w="109"/>
        <w:gridCol w:w="109"/>
        <w:gridCol w:w="109"/>
        <w:gridCol w:w="211"/>
        <w:gridCol w:w="826"/>
        <w:gridCol w:w="157"/>
      </w:tblGrid>
      <w:tr>
        <w:trPr/>
        <w:tc>
          <w:tcPr>
            <w:tcW w:w="2665"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(32,373)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(681)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public offering, net of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expenses of issuance of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shares to satisfy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advances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32,629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11,428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(21,626)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28,862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28,862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non-cash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exercise of Legacy Blaize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warrants for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shareholder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liabilities to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to issue shares of common stock in related party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warrant modification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deferred offering costs included in accounts payable and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common shares with cash held in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49580"/>
                <wp:effectExtent l="0" t="0" r="0" b="0"/>
                <wp:wrapNone/>
                <wp:docPr id="9" name="Frame9"/>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Holdings, Inc. (together with its subsidiaries, “Blaize,” or the “Company”) is headquartered in El Dorado Hills, California. The condensed consolidated financial statements of the Company include the accounts of the Company and its wholly owned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purpose-built, transformative artificial intelligence (“AI”)-enabled edge computing solutions comprised of both its proprietary hardware and software, and complementary third-party hardware solutions, as further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 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Merger and Reverse Recapitalization and Accounting for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Merger and reverse recapitalization, the accounting for the transaction, and the defined terms used herein are described in Note 1 — “Organization and Description of Business” of the Notes to the Consolidated Financial Statements included in the Company’s Annual Report on Form 10-K for the year ended December 31, 2025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accounting principles generally accepted in the U.S. (“GAAP”) for interim financial information and with the instructions to Form 10-Q and Article 10 of Securities and Exchange Commission (“SEC”), Regulation S-X. In the opinion of management, all adjustments, consisting only of normal recurring adjustments considered necessary for a fair presentation of results of operations and financial position, have been included. The results for the interim periods presented are not necessarily indicative of the results expected for any future period. The following information should be read in conjunction with the audited consolidated financial statements and notes thereto included in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the Company’s management to make estimates based on assumptions about current and, for some estimates, future economic and market conditions, which affect reported amounts and related disclosures in the Company’s condensed consolidated financial statements. Although current estimates contemplate current and expected future conditions, as applicable, it is reasonably possible that actual conditions could differ from management’s expectations, which could materially affect the Company’s results of operations and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Updates to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and Functional Currency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 dollar is the functional currency of the Company and substantially all of its subsidiaries. In 2026, the Company’s newly-formed, wholly owned Chinese subsidiary adopted the Chinese renminbi (RMB/CNY) as its functional currency, reflecting that the primary economic environment in which that subsidiary operates is within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of the Chinese subsidiary are translated into U.S. dollars at the exchange rate in effect at the balance sheet date. Revenues and expenses are translated at average exchange rates in effect during the period. The resulting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are recorded as a component of accumulated other comprehensive income (loss) in stockholders’ equity.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Transactions denominated in currencies other than an entity’s functional currency are remeasured at the exchange rate in effect at the date of the transaction. Monetary assets and liabilities denominated in foreign currencies are remeasured at period-end exchange rates, and the resulting gains and losses are recognized in “Other, net” in the condensed consolidated statements of operations and comprehensive loss.</w:t>
      </w:r>
      <w:r>
        <w:rPr>
          <w:color w:val="EE2724"/>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 accounts are translated at the historical exchange rates in effect at the dates the underlying equity transactions occurred. Retained earnings (accumulated deficit) is translated at historical rates, with current-period activity reflecting net income (loss) translated at average exchange rates for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adoption of the renminbi as the functional currency of the Company’s Chinese subsidiary at the subsidiary’s inception resulted in foreign currency translation adjustments of $0.5 million being recorded in accumulated other comprehensive income on the Company’s condensed consolidated balance sheet as of June 30, 2026, and $0.4 million and $0.5 million, respectively, recorded as “other comprehensive income” on the Company’s condensed consolidated statements of operations and comprehensive loss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Accounts receivable represent the Company’s unconditional right to consideration under contracts with customers, where only the passage of time is required before payment becomes due. Accounts receivable include receivables for which the Company has issued a commercial invoice and has satisfied its performance obligation and has an unconditional right to consideration, but for which the official tax invoice (“</w:t>
      </w:r>
      <w:r>
        <w:rPr>
          <w:rFonts w:ascii="Times New Roman;serif" w:hAnsi="Times New Roman;serif"/>
          <w:b w:val="false"/>
          <w:i/>
          <w:color w:val="000000"/>
          <w:sz w:val="20"/>
        </w:rPr>
        <w:t>fapiao</w:t>
      </w:r>
      <w:r>
        <w:rPr>
          <w:color w:val="000000"/>
        </w:rPr>
        <w:t>”</w:t>
      </w:r>
      <w:r>
        <w:rPr>
          <w:rFonts w:ascii="Times New Roman;serif" w:hAnsi="Times New Roman;serif"/>
          <w:b w:val="false"/>
          <w:color w:val="000000"/>
          <w:sz w:val="20"/>
        </w:rPr>
        <w:t>) has not yet been issued. These receivables relate to sales by the Company’s subsidiary in China, formed in 2026, where, consistent with local business practice, the fapiao is issued upon receipt of final payment rather than upon shipment or delivery of goods. Prior to the Company’s formation of this subsidiary, accounts receivable that had arisen from sales in China were due to the Company’s operating subsidiary in the United States, which issued invoices immediately upon unconditional transfer of goods. Because the Company’s right to payment for these sales is unconditional upon transfer of control of the goods, such amounts are classified within accounts receivable rather than as contract assets. As of June 30, 2026, the amount of such receivables included within accounts receivable, prior to allowance for credit losses, was $13.3 million, which was the result of a sale in the second quarter of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Accounts receivable are recorded at the invoiced or invoiceable amount, do not bear interest, and are presented net of an allowance for credit losses estimated in accordance with ASC 326, Financial Instruments — </w:t>
      </w:r>
      <w:r>
        <w:rPr>
          <w:rFonts w:ascii="Times New Roman;serif" w:hAnsi="Times New Roman;serif"/>
          <w:b w:val="false"/>
          <w:i/>
          <w:color w:val="000000"/>
          <w:sz w:val="20"/>
        </w:rPr>
        <w:t>Credit Losses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Newly Adopted Accounting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did not adopt any new accounting standards during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(“ASUs”) issued by the Financial Accounting Standards Board (“FASB”). Since the issuance of the Company’s Annual Report on Form 10-K for the year ended December 31, 2025, there have been no material updates to the recent accounting pronouncement previously disclosed.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Liquidity and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on hand of $36.8 million, of which approximately $12.4 million, or approximately 34%, of the balance is located in Chinese banks and subject to currency controls that may delay any requested repatriation, and the remainder is held in accounts either in the United States or in countries that do not have strict currency controls.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near-term assets and liabilities included accounts receivable less allowance for credit losses of $13.9 million, which resulted from sales in China and for which the associated cash is substantially receivable by the Company’s wholly owned Chinese subsidiary; while accounts payable, accrued expenses and other current liabilities, and accrued trade payables totaled $17.1 million, which obligations are primarily owed outside of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the Company has funded its operations by using cash generated from financing activities and at the same time, has incurred negative cash flows from operations. Initial net proceeds of approximately $32.8 million in cash provided by financing activities, net of underwriting discounts and offering expenses, were provided by an equity raise during the second quarter of 2026, which was the result of the sole capital raising activity during the six months ended June 30, 2026. Cash used in operations for the six months ended June 30, 2026 was $41.3 million. The Company is party to a committed equity facility with a remaining available capacity of approximately $15.5 million; however, under the terms of the facility, the Company may not effect sales thereunder while the market price of its common stock is below $1.00 per share. Because the Company’s common stock has recently begun trading below $1.00 per share, the facility may not currently represent a readily available source of liquidity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Given the Company’s liquidity condition, as described above, the Company will be unable to continue to operate as a going concern and continue its operations unless it raises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in connection with its assessment of going concern considerations in accordance with FASB Accounting Standards Codification (“ASC”) 205-40-50 — “Going Concern — Disclosure,” management has determined that the Company’s liquidity condition raises substantial doubt about its ability to continue as a going concern through one year from the date that these condensed consolidated financial statements have been issued.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Revenue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revenue disaggregated by geographical location, determined by reference to the customer’s shipping location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8"/>
        <w:gridCol w:w="198"/>
        <w:gridCol w:w="279"/>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32.3%</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66.0%</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*Percentages may not total to 100%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the Company’s revenue recognition method was substantially at a “point in time,” with no material revenue recognized over time.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 in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82.0%</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B and C were not customers for the three months ended June 30, 2026 and 2025, and are intentionally omitted.</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54.4%</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C was not a customer for the six months ended June 30, 2026 and 2025, and is intentionally omitted.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Constrained revenue and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each of the three and six months ended June 30, 2026 and 2025, the Company had no revenue that was subject to constraint or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revenue-related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contract assets (where right to payment would be conditional) and no material contract liabilities (deferred revenue) as of June 30, 2026 and December 31, 2025. The Company did not have any outstanding or unsatisfied performance obligations as of June 30, 2026 and December 31, 2025. The Company did not have material costs related to obtaining a contract, or fulfilling a contract that are not addressed by other accounting standards, with amortization periods greater than one year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Normal credit terms for the Company’s accounts receivable are generally up to net 30 days, although credit terms for one customer for sales that occurred in the fourth quarter of 2025 and the second quarter of 2026 included repayment terms up to 90 days. As of June 30, 2026, the Company’s accounts receivable before allowance for credit losses were 57% current and 43% over 90 days past due, with no amounts between 1 - 90 days past due, under the credit terms of the applicable customer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no accounts receivable due from related parties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balances and activity within the Company’s provision for credit losses as of and for the six months ended June 30, 2026 and as of and for the year ended December 31, 2025 are set forth as follows:</w:t>
      </w:r>
    </w:p>
    <w:p>
      <w:pPr>
        <w:pStyle w:val="TextBody"/>
        <w:bidi w:val="0"/>
        <w:spacing w:before="0" w:after="0"/>
        <w:jc w:val="left"/>
        <w:rPr/>
      </w:pPr>
      <w:r>
        <w:rPr/>
      </w:r>
    </w:p>
    <w:tbl>
      <w:tblPr>
        <w:tblW w:w="5823" w:type="dxa"/>
        <w:jc w:val="left"/>
        <w:tblInd w:w="0" w:type="dxa"/>
        <w:tblLayout w:type="fixed"/>
        <w:tblCellMar>
          <w:top w:w="28" w:type="dxa"/>
          <w:left w:w="28" w:type="dxa"/>
          <w:bottom w:w="28" w:type="dxa"/>
          <w:right w:w="28" w:type="dxa"/>
        </w:tblCellMar>
      </w:tblPr>
      <w:tblGrid>
        <w:gridCol w:w="1630"/>
        <w:gridCol w:w="1429"/>
        <w:gridCol w:w="1441"/>
        <w:gridCol w:w="109"/>
        <w:gridCol w:w="109"/>
        <w:gridCol w:w="109"/>
        <w:gridCol w:w="211"/>
        <w:gridCol w:w="63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to provision for credit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to provision for credit losses - related party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Write-off activity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provision due to collection of full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9,548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additions to the provision for credit losses for the six months ended June 30, 2026 of $9.0 million, included within “selling, general and administrative” expense on the Company’s condensed consolidated statements of operations and comprehensive loss, were substantially comprised of the full credit loss reserve for Customer C, along with “Day 1” credit losses recorded at the inception of an account receivable, net of reversal of the provision due to collections and estimated recoveries.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 of 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sets forth the summary of the Company’s concentration of accounts receivable by customer as of June 30, 2026 </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before="0" w:after="0"/>
        <w:jc w:val="left"/>
        <w:rPr/>
      </w:pPr>
      <w:r>
        <w:rPr/>
      </w:r>
    </w:p>
    <w:tbl>
      <w:tblPr>
        <w:tblW w:w="5879"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37.8%</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56.7%</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There were no accounts receivable due from related parties as of June 30, 2026.</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geographic concentration of these accounts receivable is in China. Customer C’s account receivable arose in the third quarter of 2025, and has been fully reserved as of June 30, 2026. The receivable for Customer D includes value-added tax (“VAT”) while the revenue recognized from Customer D excludes VAT.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Each customer within “Others” individually comprised less than 10% each of the Company’s accounts receivable balance, but is primarily within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summary of the Company’s concentration of accounts receivable by customer as of December 31, 2025:</w:t>
      </w:r>
    </w:p>
    <w:p>
      <w:pPr>
        <w:pStyle w:val="TextBody"/>
        <w:bidi w:val="0"/>
        <w:spacing w:before="0" w:after="0"/>
        <w:jc w:val="left"/>
        <w:rPr/>
      </w:pPr>
      <w:r>
        <w:rPr/>
      </w:r>
    </w:p>
    <w:tbl>
      <w:tblPr>
        <w:tblW w:w="7997" w:type="dxa"/>
        <w:jc w:val="left"/>
        <w:tblInd w:w="0" w:type="dxa"/>
        <w:tblLayout w:type="fixed"/>
        <w:tblCellMar>
          <w:top w:w="28" w:type="dxa"/>
          <w:left w:w="28" w:type="dxa"/>
          <w:bottom w:w="28" w:type="dxa"/>
          <w:right w:w="28" w:type="dxa"/>
        </w:tblCellMar>
      </w:tblPr>
      <w:tblGrid>
        <w:gridCol w:w="1779"/>
        <w:gridCol w:w="1567"/>
        <w:gridCol w:w="1573"/>
        <w:gridCol w:w="109"/>
        <w:gridCol w:w="109"/>
        <w:gridCol w:w="109"/>
        <w:gridCol w:w="226"/>
        <w:gridCol w:w="774"/>
        <w:gridCol w:w="117"/>
        <w:gridCol w:w="117"/>
        <w:gridCol w:w="117"/>
        <w:gridCol w:w="117"/>
        <w:gridCol w:w="255"/>
        <w:gridCol w:w="256"/>
        <w:gridCol w:w="291"/>
        <w:gridCol w:w="109"/>
        <w:gridCol w:w="109"/>
        <w:gridCol w:w="109"/>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geographic concentration of these accounts receivable is from customers located in China. Customer C’s account receivable arose in the third quarter of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Subsequent to December 31, 2025, and as of June 30, 2026, the customer paid this balance of $23.8 million in full.</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Each customer within “Others” individually comprised less than 10% each of the Company’s accounts receivable balance, but is substantially due from a related party located within the United States.</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Includes receivable due from a related party of $3.4 million, which was paid in full subsequent to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Fair Value Measurements and 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fair value hierarchy established by GAAP that is used to determine the fair value of financial instruments. This hierarchy prioritizes relevant market inputs in order to determine an “exit price” at the measurement date, or the price at which an asset could be sold or a liability could be transferred in an orderly process that is not a forced liquidation or distressed sale. Level 1 inputs are observable inputs that reflect quoted prices for identical assets or liabilities in active markets. Level 2 inputs are observable inputs other than quoted prices for an asset or liability that are obtained through corroboration with observable market data. Level 3 inputs are unobservable inputs (e.g., the Company’s own data or assumptions) that are used when there is little, if any, relevant market activity for the asset or liability required to be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certain cases, inputs used to measure fair value fall into different levels of the fair value hierarchy. In such cases, the level at which the fair value measurement falls is determined based on the lowest level input that is significant to the fair value measurement. The Company’s assessment of the significance of a particular input requires judgment and considers factors specific to the asset or liability being measured.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valuation policy and processes had not changed from those described in its consolidated financial statements for the year ended December 31, 2025 included in the Annual Report on Form 10-K. Included in Note 5 — “Fair Value Measurements and Derivative Instruments” to the Consolidated Financial Statements for the year ended December 31, 2025 in the Annual Report on Form 10-K is a detailed description of the Company’s financial instruments measured at fair value and their significant inputs, as well as the classification of such instruments pursuant to the Level 1, Level 2, and Level 3 valuation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Carrying amounts that approximate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accounts receivable (including from related parties), prepaid expenses and other current assets, deferred tax assets, operating lease right-of-use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Company’s financial instruments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Company’s financial assets and liabilities measured at fair value as of June 30, 2026 and December 31, 2025:</w:t>
      </w:r>
    </w:p>
    <w:p>
      <w:pPr>
        <w:pStyle w:val="TextBody"/>
        <w:bidi w:val="0"/>
        <w:spacing w:before="0" w:after="0"/>
        <w:jc w:val="left"/>
        <w:rPr/>
      </w:pPr>
      <w:r>
        <w:rPr/>
      </w:r>
    </w:p>
    <w:tbl>
      <w:tblPr>
        <w:tblW w:w="9641" w:type="dxa"/>
        <w:jc w:val="left"/>
        <w:tblInd w:w="0" w:type="dxa"/>
        <w:tblLayout w:type="fixed"/>
        <w:tblCellMar>
          <w:top w:w="28" w:type="dxa"/>
          <w:left w:w="28" w:type="dxa"/>
          <w:bottom w:w="28" w:type="dxa"/>
          <w:right w:w="28" w:type="dxa"/>
        </w:tblCellMar>
      </w:tblPr>
      <w:tblGrid>
        <w:gridCol w:w="1533"/>
        <w:gridCol w:w="1342"/>
        <w:gridCol w:w="1354"/>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shares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Unissued shares of common stock - related party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May 5, 2026, the Polar warrant exercise price was reduced from $5.00 per warrant to $3.00 per warrant, as described in Note 6 — </w:t>
      </w:r>
      <w:r>
        <w:rPr>
          <w:rFonts w:ascii="Times New Roman;serif" w:hAnsi="Times New Roman;serif"/>
          <w:b w:val="false"/>
          <w:i/>
          <w:color w:val="000000"/>
          <w:sz w:val="20"/>
        </w:rPr>
        <w:t>Common Stock and Contingently Issuable Common Stock and Preferred Stock</w:t>
      </w:r>
      <w:r>
        <w:rPr>
          <w:rFonts w:ascii="Times New Roman;serif" w:hAnsi="Times New Roman;serif"/>
          <w:b w:val="false"/>
          <w:color w:val="000000"/>
          <w:sz w:val="20"/>
        </w:rPr>
        <w:t>. The effect of the price reduction is described below in the table that sets forth information regarding the Company’s significant Level 3 inputs.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$1.7 million in earnout shares - related party.</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During the quarter ended and as of June 30, 2026, the Company’s disinterested directors resolved to issue 2,000,000 shares of the Company’s common stock to Bess Ventures and Advisory LLC, an entity whose owner-manager is Lane M. Bess, chair of the Company’s Board of Directors, in order to resolve a potential disagreement with Mr. Bess by means of a future settlement agreement. The liability represents the fair value of 2,000,000 shares of the Company’s common stock expected to be issued but not yet issued as of June 30, 2026. The fair value of this obligation was determined using the closing price of the Company’s common stock as of June 30, 2026, as quoted on the Nasdaq, an active market. The obligation is classified as a Level 2 measurement within the fair value hierarchy, as the liability is not itself quoted in an active market, but its fair value is derived directly from the observable quoted price of an identical instrument — the Company’s common stock — traded on Nasdaq. The shares were subsequently issued on July 7, 2026, and this liability settled in full.</w:t>
      </w:r>
    </w:p>
    <w:p>
      <w:pPr>
        <w:pStyle w:val="TextBody"/>
        <w:bidi w:val="0"/>
        <w:spacing w:before="0" w:after="0"/>
        <w:ind w:left="0" w:right="0" w:firstLine="180"/>
        <w:jc w:val="left"/>
        <w:rPr/>
      </w:pPr>
      <w:r>
        <w:rPr/>
      </w:r>
    </w:p>
    <w:tbl>
      <w:tblPr>
        <w:tblW w:w="8441" w:type="dxa"/>
        <w:jc w:val="left"/>
        <w:tblInd w:w="0" w:type="dxa"/>
        <w:tblLayout w:type="fixed"/>
        <w:tblCellMar>
          <w:top w:w="28" w:type="dxa"/>
          <w:left w:w="28" w:type="dxa"/>
          <w:bottom w:w="28" w:type="dxa"/>
          <w:right w:w="28" w:type="dxa"/>
        </w:tblCellMar>
      </w:tblPr>
      <w:tblGrid>
        <w:gridCol w:w="1174"/>
        <w:gridCol w:w="1028"/>
        <w:gridCol w:w="1037"/>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$2.2 million in earnout shares - related party.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or Level 3 of the fair value hierarchy during the three and six months ended June 30, 2026 and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as of and for the prior year and as of and for the six months ended June 30, 2026 about the Company’s Level 3 liabilities measured at fair value on a recurring basis:</w:t>
      </w:r>
    </w:p>
    <w:p>
      <w:pPr>
        <w:pStyle w:val="TextBody"/>
        <w:bidi w:val="0"/>
        <w:spacing w:before="0" w:after="0"/>
        <w:jc w:val="left"/>
        <w:rPr/>
      </w:pPr>
      <w:r>
        <w:rPr/>
      </w:r>
    </w:p>
    <w:tbl>
      <w:tblPr>
        <w:tblW w:w="8657" w:type="dxa"/>
        <w:jc w:val="left"/>
        <w:tblInd w:w="0" w:type="dxa"/>
        <w:tblLayout w:type="fixed"/>
        <w:tblCellMar>
          <w:top w:w="28" w:type="dxa"/>
          <w:left w:w="28" w:type="dxa"/>
          <w:bottom w:w="28" w:type="dxa"/>
          <w:right w:w="28" w:type="dxa"/>
        </w:tblCellMar>
      </w:tblPr>
      <w:tblGrid>
        <w:gridCol w:w="2586"/>
        <w:gridCol w:w="2267"/>
        <w:gridCol w:w="2286"/>
        <w:gridCol w:w="109"/>
        <w:gridCol w:w="109"/>
        <w:gridCol w:w="109"/>
        <w:gridCol w:w="211"/>
        <w:gridCol w:w="826"/>
        <w:gridCol w:w="154"/>
      </w:tblGrid>
      <w:tr>
        <w:trPr/>
        <w:tc>
          <w:tcPr>
            <w:tcW w:w="258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and exercise of Legacy Blaize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Reclassification of equity-based shares to liabilities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Due to employee forfeitures.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significant Level 3 inputs as of June 30,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6"/>
        <w:gridCol w:w="805"/>
        <w:gridCol w:w="811"/>
        <w:gridCol w:w="109"/>
        <w:gridCol w:w="109"/>
        <w:gridCol w:w="109"/>
        <w:gridCol w:w="629"/>
        <w:gridCol w:w="621"/>
        <w:gridCol w:w="559"/>
        <w:gridCol w:w="109"/>
        <w:gridCol w:w="109"/>
        <w:gridCol w:w="109"/>
        <w:gridCol w:w="703"/>
        <w:gridCol w:w="678"/>
        <w:gridCol w:w="606"/>
        <w:gridCol w:w="109"/>
        <w:gridCol w:w="109"/>
        <w:gridCol w:w="109"/>
        <w:gridCol w:w="240"/>
        <w:gridCol w:w="581"/>
        <w:gridCol w:w="308"/>
        <w:gridCol w:w="109"/>
        <w:gridCol w:w="109"/>
        <w:gridCol w:w="109"/>
        <w:gridCol w:w="291"/>
        <w:gridCol w:w="705"/>
        <w:gridCol w:w="444"/>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5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 valued using Level 3 methods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5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Valuation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years</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 Carlo Simulation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(interpolated)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years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the Merger and during the six months ended June 30, 2026, the Company’s derivatives were comprised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Company’s liability-classified Earnout Shares, representing a freestanding structured forward contract;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Polar warrants, representing a freestanding liability-classified derivative instrument;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Committed Equity Facility, which upon execution on July 14, 2025, was considered a freestanding purchased put right, which put right was subsequently considered nominal and marked to zero during 2025. Each draw on the Committed Equity Facility is considered an embedded forward contract. No draws on the Committed Equity Facility were outstanding as of June 30, 2026 or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Financial Statement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ending balances of “inventories, net” are set forth on the table below:</w:t>
      </w:r>
    </w:p>
    <w:p>
      <w:pPr>
        <w:pStyle w:val="TextBody"/>
        <w:bidi w:val="0"/>
        <w:spacing w:before="0" w:after="0"/>
        <w:jc w:val="both"/>
        <w:rPr/>
      </w:pPr>
      <w:r>
        <w:rPr/>
      </w:r>
    </w:p>
    <w:tbl>
      <w:tblPr>
        <w:tblW w:w="7238" w:type="dxa"/>
        <w:jc w:val="left"/>
        <w:tblInd w:w="0" w:type="dxa"/>
        <w:tblLayout w:type="fixed"/>
        <w:tblCellMar>
          <w:top w:w="28" w:type="dxa"/>
          <w:left w:w="28" w:type="dxa"/>
          <w:bottom w:w="28" w:type="dxa"/>
          <w:right w:w="28" w:type="dxa"/>
        </w:tblCellMar>
      </w:tblPr>
      <w:tblGrid>
        <w:gridCol w:w="1392"/>
        <w:gridCol w:w="1218"/>
        <w:gridCol w:w="1229"/>
        <w:gridCol w:w="109"/>
        <w:gridCol w:w="109"/>
        <w:gridCol w:w="109"/>
        <w:gridCol w:w="234"/>
        <w:gridCol w:w="800"/>
        <w:gridCol w:w="121"/>
        <w:gridCol w:w="109"/>
        <w:gridCol w:w="109"/>
        <w:gridCol w:w="109"/>
        <w:gridCol w:w="309"/>
        <w:gridCol w:w="1056"/>
        <w:gridCol w:w="225"/>
      </w:tblGrid>
      <w:tr>
        <w:trPr/>
        <w:tc>
          <w:tcPr>
            <w:tcW w:w="139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 manufactured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manufactured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 fiscal periods ended</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Beginning balance - finished goods - resale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of finished goods - resale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finished goods -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 finished goods - resale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Finished goods - resale is comprised of purchased hardware, primarily servers, for resale or integration with manufactured inventories.</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Supplier concentration for “Purchase of finished goods - resale” was concentrated between two suppliers located in China in 2025, and one supplier located in China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manufactured inventories are produced by a third party contract manufacturer.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Details of the Company’s cost of revenue for the three and six months ended June 30, 2026 and 2025 are set forth below:</w:t>
      </w:r>
    </w:p>
    <w:p>
      <w:pPr>
        <w:pStyle w:val="TextBody"/>
        <w:bidi w:val="0"/>
        <w:spacing w:before="0" w:after="0"/>
        <w:jc w:val="both"/>
        <w:rPr/>
      </w:pPr>
      <w:r>
        <w:rPr/>
      </w:r>
    </w:p>
    <w:tbl>
      <w:tblPr>
        <w:tblW w:w="7543" w:type="dxa"/>
        <w:jc w:val="left"/>
        <w:tblInd w:w="0" w:type="dxa"/>
        <w:tblLayout w:type="fixed"/>
        <w:tblCellMar>
          <w:top w:w="28" w:type="dxa"/>
          <w:left w:w="28" w:type="dxa"/>
          <w:bottom w:w="28" w:type="dxa"/>
          <w:right w:w="28" w:type="dxa"/>
        </w:tblCellMar>
      </w:tblPr>
      <w:tblGrid>
        <w:gridCol w:w="761"/>
        <w:gridCol w:w="667"/>
        <w:gridCol w:w="672"/>
        <w:gridCol w:w="109"/>
        <w:gridCol w:w="109"/>
        <w:gridCol w:w="109"/>
        <w:gridCol w:w="239"/>
        <w:gridCol w:w="818"/>
        <w:gridCol w:w="123"/>
        <w:gridCol w:w="123"/>
        <w:gridCol w:w="123"/>
        <w:gridCol w:w="123"/>
        <w:gridCol w:w="239"/>
        <w:gridCol w:w="529"/>
        <w:gridCol w:w="123"/>
        <w:gridCol w:w="109"/>
        <w:gridCol w:w="109"/>
        <w:gridCol w:w="109"/>
        <w:gridCol w:w="211"/>
        <w:gridCol w:w="721"/>
        <w:gridCol w:w="109"/>
        <w:gridCol w:w="109"/>
        <w:gridCol w:w="109"/>
        <w:gridCol w:w="109"/>
        <w:gridCol w:w="211"/>
        <w:gridCol w:w="61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goods -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cost of revenue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cost of revenue” is substantially comprised of the cost of goods for the Company’s manufactured inventory.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were primarily comprised of vendor deposits for raw materials for manufactured inventories as of June 30, 2026 and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Common Stock and Contingently Issuable Common Stock and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The Option Shares expired, unexercised.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shares of the Company’s common stock from December 31, 2025 through June 30, 2026:</w:t>
      </w:r>
    </w:p>
    <w:p>
      <w:pPr>
        <w:pStyle w:val="TextBody"/>
        <w:bidi w:val="0"/>
        <w:spacing w:before="0" w:after="0"/>
        <w:jc w:val="left"/>
        <w:rPr/>
      </w:pPr>
      <w:r>
        <w:rPr/>
      </w:r>
    </w:p>
    <w:tbl>
      <w:tblPr>
        <w:tblW w:w="6946" w:type="dxa"/>
        <w:jc w:val="left"/>
        <w:tblInd w:w="0" w:type="dxa"/>
        <w:tblLayout w:type="fixed"/>
        <w:tblCellMar>
          <w:top w:w="28" w:type="dxa"/>
          <w:left w:w="28" w:type="dxa"/>
          <w:bottom w:w="28" w:type="dxa"/>
          <w:right w:w="28" w:type="dxa"/>
        </w:tblCellMar>
      </w:tblPr>
      <w:tblGrid>
        <w:gridCol w:w="1912"/>
        <w:gridCol w:w="1681"/>
        <w:gridCol w:w="1686"/>
        <w:gridCol w:w="109"/>
        <w:gridCol w:w="109"/>
        <w:gridCol w:w="109"/>
        <w:gridCol w:w="593"/>
        <w:gridCol w:w="593"/>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142,778,075 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Stockholder Rights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22, 2026, the Company entered into a Rights Agreement (the “Rights Agreement”) with Continental Stock Transfer &amp; Trust Company, as rights agent, which had been previously approved by the Board. In connection with the adoption of the Rights Agreement, the Board declared a dividend of one preferred stock purchase right (each, a “Right”) for each share of the Company’s common stock, par value $0.0001 per share, outstanding at the close of business on May 6, 2026 (the “Record Date”). One Right will also attach to each share of common stock issued after the Record Date and prior to the Distribution Date (as defined in the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Right, when exercisable, entitles the registered holder to purchase from the Company one one-hundredth of a share of Series A Junior Participating Preferred Stock, par value $0.0001 per share (the “Series A Preferred Stock”), at an exercise price of $11.00 per Right, subject to adjustment. The Company has reserved 6,000,000 shares of Series A Preferred Stock for issuance upon exercise of the Rights. The Rights are not presently exercisable and trade with, and are inseparable from, the common stock. No separate rights certificates have been issued.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become exercisable only if a person or group acquires beneficial ownership (including certain synthetic or derivative ownership positions) of 10% or more of the Company’s outstanding common stock (an “Acquiring Person”). In that event, each Right (other than Rights held by the Acquiring Person, which become void) will entitle its holder to purchase, at the exercise price, shares of common stock having a market value of twice the exercise price. In addition, the Board may, at its option, exchange each outstanding Right (other than Rights held by the Acquiring Person) for one share of common stock. Persons who beneficially owned 10% or more of the outstanding common stock immediately prior to the first public announcement of the Rights Agreement are not deemed Acquiring Persons unless they acquire additional shares, subject to certain exceptions.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may redeem the Rights, in whole but not in part, at a price of $0.01 per Right at any time prior to the time the Rights become exercisable. The Rights will expire on April 21, 2027, unless earlier redeemed or exchanged by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have no dilutive effect on earnings per share until they become exercisable, and because the Rights were determined to have only nominal value at the date of declaration, the declaration and distribution of the Rights had no impact on the Company’s condensed consolidated balance sheet or condensed consolidated statement of operations and comprehensive loss as of June 30, 2026 and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Currently Outstanding Warrants to Purchase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Polar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10, 2025, the Company issued 9,375,000 freestanding warrants (the “Polar warrants”), each Polar warrant exercisable for one whole share of the Company’s common stock, in connection with its issuance of common stock to Polar. The Company determined that the Polar warrants were considered to be freestanding instruments, did not exhibit any of the characteristics in ASC 480 that would require liability classification, however, were precluded from equity classification under ASC 815, because these warrants met the definition of a derivative instrument in that they were issued for no initial investment, have the derivative characteristics of an underlying (the value and settlement based on the Company’s common stock), notional (the number of shares deliverable), and mechanism for net settlement (cashless exercise) while at the same time did not qualify for a derivative scope exception of both being indexed to the Company’s own stock and not permitting or requiring net cash settlement in a manner outside the Company’s control. In this case, the Polar warrants permit the counterparty to require net cash settlement in specified circumstances.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initial recognition, the warrants were recorded at their estimated fair value calculated using the Black-Scholes-Merton (“Black-Scholes”) option pricing model. The liability associated with these warrants is subject to fair value remeasurement at each balance sheet date using the Black-Scholes option pricing model, with changes in fair value recorded as a change in the fair value of warrant liabilities in the condensed consolidated statements of operations and comprehensive loss. The warrants will continue to be remeasured until the earlier of the exercise during the warrant term or the automatic exercise on a cashless basis at the end of the warrant term of five years, or November 10, 2030.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Polar warrants are considered long-term liabilities, due to the warrants being out-of-the-money, although they are immediately exercisable. At the earlier of the date of the warrants being unexercised but in-the-money, or one year from the date of termination with automatic cashless exercise, the Company will reclassify the liability to a short-term liability until the warrants are exercised, whether by Polar or by means of cashless exercise, at which point they will become reclassified to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Polar warrants had an initial exercise price of $5.00 per share. During the quarter ended June 30, 2026, the Company amended the outstanding Polar warrants to adjust the exercise price from $5.00 per share to $3.00 per share, recognizing the difference between the fair value of the warrants immediately prior to the amendment and immediately after the amendment as a financing charge in the condensed consolidated statements of operations and comprehensive loss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BZAI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the total of 29,648,250 warrants outstanding immediately prior to the Merger became warrants to purchase the Company’s common stock (the “BZAI warrants”). The Company determined that these warrants should be accounted for as equity rather than a liability at the inception date, and thus recognized the BZAI warrants in equity as an increase in additional paid-in-capital.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BZAI warrant entitles the holder to purchase one share of common stock at a price of $11.50 per share, subject to adjustments for stock splits, stock dividends, reorganizations, recapitalizations and similar corporate actions. The warrants expire on January 13, 2030, unless earlier redeemed by the Company. If the Company calls the warrants for redemption, management will have the option to require all holders that wish to exercise warrants to do so on a cashless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Warrants issued to an advisor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the Company issued, to an advisor, warrants to purchase 50,000 shares of common stock at $11.50 per share (the “advisor warrants”), which expire after a term of five years, on February 10, 2030. The Company deemed these warrants to be equity rather than a liability at the inception date, and thus recognized the advisor warrants in equity as an increase in additional paid-in-capital.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Legacy Blaize stockholders and employee equity award holders (including holders of stock options and RSUs) are entitled to receive up to 15,000,000 shares of common stock and Burkhan has the right to receive up to 2,600,000 shares of common stock (collectively, the “Earnout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are not remeasured unless an employee departs from the Company, which is considered a modification of an equity-based award.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Burkhan and Legacy Blaize stockholders that are not within the scope of ASC 718 (the “Other Earnout Shares”), were evaluated by management under ASC 480 — “Distinguishing Liabilities from Equity” (“ASC 480”), and ASC 815. The Company determined that the Other Earnout Shares are a derivative liability and remeasures the Other Earnout Shares at each reporting date, with changes in the fair value recorded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Legacy Blaize stockholders,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 thresholds are described in the Company’s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recorded $4.1 million and $8.0 million, and $4.1 million and $7.6 million, respectively, in stock-based compensation expense related to the Employee Earnout Shares. As of June 30, 2026, there was $57.7 million of total unrecognized compensation cost related to the 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derivative liability associated with the Other Earnout Shares is described in Note 4 — “Fair Value Measurements and Derivative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Net Loss Per Share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attributable to common stockholders by the weighted average number of common stock outstanding during the period, without consideration of potentially dilutive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to determine the dilutive effect of potentially dilutive securities, and the if-converted method to determine the dilutive effect of any potentially dilutive convertible securities, as the Company’s only participating securities are shares of the Company’s common stock, and any dividends declared on the common stock would be forfeitable if not vested. There were no potentially dilutive securities included in the Company’s diluted net loss per share calculation for the three and six months ended June 30, 2026 and 2025, as the effect of any potentially dilutive security would have been anti-dilutive due to the net losses in those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computation of basic and diluted net loss per share: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0"/>
        <w:gridCol w:w="1130"/>
        <w:gridCol w:w="1134"/>
        <w:gridCol w:w="109"/>
        <w:gridCol w:w="109"/>
        <w:gridCol w:w="10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11"/>
        <w:gridCol w:w="891"/>
        <w:gridCol w:w="156"/>
      </w:tblGrid>
      <w:tr>
        <w:trPr/>
        <w:tc>
          <w:tcPr>
            <w:tcW w:w="14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98,374,632 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listing of potentially dilutive securities that were excluded from the calculation of diluted net loss per share attributable to common stockholders because the impact of including them would have been anti-dilutive or out-of-the-money:</w:t>
      </w:r>
    </w:p>
    <w:p>
      <w:pPr>
        <w:pStyle w:val="TextBody"/>
        <w:bidi w:val="0"/>
        <w:spacing w:before="0" w:after="0"/>
        <w:jc w:val="left"/>
        <w:rPr/>
      </w:pPr>
      <w:r>
        <w:rPr/>
      </w:r>
    </w:p>
    <w:tbl>
      <w:tblPr>
        <w:tblW w:w="5743"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540"/>
        <w:gridCol w:w="541"/>
        <w:gridCol w:w="156"/>
        <w:gridCol w:w="132"/>
        <w:gridCol w:w="132"/>
        <w:gridCol w:w="132"/>
        <w:gridCol w:w="540"/>
        <w:gridCol w:w="541"/>
        <w:gridCol w:w="213"/>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29,785,144 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28,011,982 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9,124,212 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to an advisor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BZAI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ESPP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98,134,597 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87,482,113 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Polar warrants were issued in November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ESPP has not yet commenced.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evaluation of ongoing operating performance from period to period (“Adjusted EBITDA”), to make decisions regarding the Company’s strategy, including the allocation of resources, as well as the Company’s assessment of operating performance.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the Company operates as a single operating segment, the measures of total available cash and cash equivalents, total revenue and net loss, as reviewed by the CODM, are set forth on the condensed consolidated financial statements, as well as in certain notes to the condensed consolidated financial statements. See Note 4 — </w:t>
      </w:r>
      <w:r>
        <w:rPr>
          <w:rFonts w:ascii="Times New Roman;serif" w:hAnsi="Times New Roman;serif"/>
          <w:b w:val="false"/>
          <w:i/>
          <w:color w:val="000000"/>
          <w:sz w:val="20"/>
        </w:rPr>
        <w:t>Fair Value Measurements and Derivative Instruments</w:t>
      </w:r>
      <w:r>
        <w:rPr>
          <w:color w:val="000000"/>
        </w:rPr>
        <w:t xml:space="preserve"> </w:t>
      </w:r>
      <w:r>
        <w:rPr>
          <w:rFonts w:ascii="Times New Roman;serif" w:hAnsi="Times New Roman;serif"/>
          <w:b w:val="false"/>
          <w:color w:val="000000"/>
          <w:sz w:val="20"/>
        </w:rPr>
        <w:t xml:space="preserve">for details regarding the Company’s cash equivalents. See Note 3 — </w:t>
      </w:r>
      <w:r>
        <w:rPr>
          <w:rFonts w:ascii="Times New Roman;serif" w:hAnsi="Times New Roman;serif"/>
          <w:b w:val="false"/>
          <w:i/>
          <w:color w:val="000000"/>
          <w:sz w:val="20"/>
        </w:rPr>
        <w:t>Revenue and Accounts Receivable</w:t>
      </w:r>
      <w:r>
        <w:rPr>
          <w:color w:val="000000"/>
        </w:rPr>
        <w:t xml:space="preserve"> </w:t>
      </w:r>
      <w:r>
        <w:rPr>
          <w:rFonts w:ascii="Times New Roman;serif" w:hAnsi="Times New Roman;serif"/>
          <w:b w:val="false"/>
          <w:color w:val="000000"/>
          <w:sz w:val="20"/>
        </w:rPr>
        <w:t>for details regarding the Company’s total revenue disaggregated by customer geographical location and the major customer concentrations of the Company’s total revenue and accounts receivable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Similarly, as the Company operates in a single segment, the condensed consolidated statements of operations provide one view of the Company’s significant expenses. Additional to the condensed consolidated statements of operations, the CODM regularly reviews the significant expense categories in the calculation of net loss, set forth as follows:</w:t>
      </w:r>
    </w:p>
    <w:p>
      <w:pPr>
        <w:pStyle w:val="TextBody"/>
        <w:bidi w:val="0"/>
        <w:spacing w:before="0" w:after="0"/>
        <w:jc w:val="left"/>
        <w:rPr/>
      </w:pPr>
      <w:r>
        <w:rPr/>
      </w:r>
    </w:p>
    <w:tbl>
      <w:tblPr>
        <w:tblW w:w="9386" w:type="dxa"/>
        <w:jc w:val="left"/>
        <w:tblInd w:w="0" w:type="dxa"/>
        <w:tblLayout w:type="fixed"/>
        <w:tblCellMar>
          <w:top w:w="28" w:type="dxa"/>
          <w:left w:w="28" w:type="dxa"/>
          <w:bottom w:w="28" w:type="dxa"/>
          <w:right w:w="28" w:type="dxa"/>
        </w:tblCellMar>
      </w:tblPr>
      <w:tblGrid>
        <w:gridCol w:w="1255"/>
        <w:gridCol w:w="1100"/>
        <w:gridCol w:w="1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items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items” includes marketing expenses, professional fees, facilities costs, foreign exchange gains and losses, credit loss estimates, income taxes, and other overhead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reconciliation of net loss to EBITDA and Adjusted EBITDA:</w:t>
      </w:r>
    </w:p>
    <w:p>
      <w:pPr>
        <w:pStyle w:val="TextBody"/>
        <w:bidi w:val="0"/>
        <w:spacing w:before="0" w:after="0"/>
        <w:jc w:val="left"/>
        <w:rPr/>
      </w:pPr>
      <w:r>
        <w:rPr/>
      </w:r>
    </w:p>
    <w:tbl>
      <w:tblPr>
        <w:tblW w:w="10061" w:type="dxa"/>
        <w:jc w:val="left"/>
        <w:tblInd w:w="0" w:type="dxa"/>
        <w:tblLayout w:type="fixed"/>
        <w:tblCellMar>
          <w:top w:w="28" w:type="dxa"/>
          <w:left w:w="28" w:type="dxa"/>
          <w:bottom w:w="28" w:type="dxa"/>
          <w:right w:w="28" w:type="dxa"/>
        </w:tblCellMar>
      </w:tblPr>
      <w:tblGrid>
        <w:gridCol w:w="1499"/>
        <w:gridCol w:w="1314"/>
        <w:gridCol w:w="1326"/>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Related Party Transactions and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the Sponsor and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Partner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 Sales Partner Referral Agreement (the “Referral Agreement”) with Burkhan LLC (the “Sales Partner”), an affiliate of BurTech LP, LLC (the “Sponsor”). The Referral Agreement designated BurTech Systems Tech LLC (“BST”), an affiliate of the Sales Partner, as the initial approved customer. The Referral Agreement provided for the purchase of the Company’s products by BST on behalf of a certain unaffiliated end user, subject to BST’s issuance of purchase orders. The Company received a single hardware purchase order in the second quarter of 2025 from BST for $6.3 million. A portion of the hardware purchase order was fulfilled in the second and third quarters of 2025, remaining unpaid as of December 31, 2025, resulting in a gross accounts receivable - related party as of December 31, 2025 of $3.4 million. The remainder of the hardware purchase order was fulfilled in the first quarter of 2026. BST paid the purchase order amount in full in the first quarter of 2026, relieving the accounts receivable balance and resulting in immediate hardware revenue recognition for the first quarter of 2026 (on transfer of control), with an immaterial amount of support revenue being recognized over time, including for the three and six months ended June 30, 2026. The Company has not received any further purchase orders from BST.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Sales Partner is entitled to receive a commission from the Company of up to 10%, depending on the Company’s gross margins under the associated purchase orders. The sales commission is payable in cash, or, partially, at the Company’s discretion, in shares of the Company’s common stock. The commission became payable to the Sales Partner upon the Company’s receipt of cash from these sales. The Company paid the sales commissions due to the Sales Partner in cash in the first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$2.6 million in revenue from the Referral Agreement, which was substantially recognized in the first quarter of 2026. Sales commissions of $0.3 million were reported as a reduction of revenue in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recognized $1.6 million in revenue from the Referral Agreement. Sales commissions of $0.2 million were reported as a reduction of revenue in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Earnout shares - related party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 portion of the earnout shares were issued to an affiliate of the Sponsor at the time of the Merger. See Note 6 — </w:t>
      </w:r>
      <w:r>
        <w:rPr>
          <w:rFonts w:ascii="Times New Roman;serif" w:hAnsi="Times New Roman;serif"/>
          <w:b w:val="false"/>
          <w:i/>
          <w:color w:val="000000"/>
          <w:sz w:val="20"/>
        </w:rPr>
        <w:t>Common Stock and Contingently Issuable Common Stock and Preferred Stock</w:t>
      </w:r>
      <w:r>
        <w:rPr>
          <w:rFonts w:ascii="Times New Roman;serif" w:hAnsi="Times New Roman;serif"/>
          <w:b w:val="false"/>
          <w:color w:val="000000"/>
          <w:sz w:val="20"/>
        </w:rPr>
        <w:t>. The fair value of these earnout shares - related party as of June 30, 2026 and December 31, 2025 was $1.7 million and $2.2 million, respectively, as set forth on the Company’s condensed consolidated balance sheets as of each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Transactions arising from the Merger having been repaid or deemed to have been repaid by the Company and release of shareholder note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activity regarding the Company’s liabilities due to the Sponsor resulting from the Merger, and the release of those activities during the quarter ended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5433" w:type="dxa"/>
        <w:jc w:val="left"/>
        <w:tblInd w:w="0" w:type="dxa"/>
        <w:tblLayout w:type="fixed"/>
        <w:tblCellMar>
          <w:top w:w="28" w:type="dxa"/>
          <w:left w:w="28" w:type="dxa"/>
          <w:bottom w:w="28" w:type="dxa"/>
          <w:right w:w="28" w:type="dxa"/>
        </w:tblCellMar>
      </w:tblPr>
      <w:tblGrid>
        <w:gridCol w:w="1496"/>
        <w:gridCol w:w="1309"/>
        <w:gridCol w:w="1320"/>
        <w:gridCol w:w="109"/>
        <w:gridCol w:w="109"/>
        <w:gridCol w:w="109"/>
        <w:gridCol w:w="211"/>
        <w:gridCol w:w="616"/>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Activity recorded at the Merger: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Working capital loan - related party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Advances from related party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payable - related party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Release of accounts payable - related party</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related party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Simultaneous with the Merger, the Company issued an unsecured promissory note (the “working capital loan”) to the Sponsor, regarding a borrowing for general corporate purposes.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Simultaneous with the Merger, the Sponsor provided the Company with certain working capital advances (the “advances from related party”), which were non-interest bearing and payable on demand.</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The Company recorded the management fees due to the Sponsor as an assumed liability at the Merger of “accounts payable - related party”. </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The release of “accounts payable - related party” was recorded as an addition to “additional paid-in capital” on the Company’s condensed consolidated balance sheet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received no further demands from the Sponsor regarding the release of liabilities, and considers the matter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consummation of the Merger, the Sponsor issued a secured promissory note and pledge agreement (the “shareholder note receivable”) to the Company, which was set to decrease when the Sponsor repaid the Company for certain transaction costs that the Company assumed from the Sponsor during the Merger. Immediately after the Merger, the Company recorded the shareholder note receivable as a deduction from additional paid-in capital.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activity regarding the Company’s receivables from the Sponsor resulting from the Merger, and the net release of the shareholder note receivable during the quarter ended June 30, 2026:</w:t>
      </w:r>
    </w:p>
    <w:p>
      <w:pPr>
        <w:pStyle w:val="TextBody"/>
        <w:bidi w:val="0"/>
        <w:spacing w:before="0" w:after="0"/>
        <w:jc w:val="left"/>
        <w:rPr/>
      </w:pPr>
      <w:r>
        <w:rPr/>
      </w:r>
    </w:p>
    <w:tbl>
      <w:tblPr>
        <w:tblW w:w="7323" w:type="dxa"/>
        <w:jc w:val="left"/>
        <w:tblInd w:w="0" w:type="dxa"/>
        <w:tblLayout w:type="fixed"/>
        <w:tblCellMar>
          <w:top w:w="28" w:type="dxa"/>
          <w:left w:w="28" w:type="dxa"/>
          <w:bottom w:w="28" w:type="dxa"/>
          <w:right w:w="28" w:type="dxa"/>
        </w:tblCellMar>
      </w:tblPr>
      <w:tblGrid>
        <w:gridCol w:w="2179"/>
        <w:gridCol w:w="1910"/>
        <w:gridCol w:w="1926"/>
        <w:gridCol w:w="109"/>
        <w:gridCol w:w="109"/>
        <w:gridCol w:w="109"/>
        <w:gridCol w:w="211"/>
        <w:gridCol w:w="616"/>
        <w:gridCol w:w="154"/>
      </w:tblGrid>
      <w:tr>
        <w:trPr/>
        <w:tc>
          <w:tcPr>
            <w:tcW w:w="217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Activity recorded during the 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note receivable from Sponsor recorded at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made by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Payment made by Company to third party for Merger transaction costs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Payment made by Company to third party for Merger transaction costs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Release of shareholder note receivable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Payments made by the Company to third parties were recorded as reductions of cash with an offsetting charge to the income statement on the Company’s condensed consolidated statements of operations and comprehensive loss in the periods in which the payments were made, and did not offset the shareholder note receivable, as the payments were made by the Company and not the Sponsor.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release of the shareholder note receivable resulted in a transfer between “additional paid-in capital” accounts within the Company’s subledger of additional paid-in capital accounts.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shareholder note receivable was secured by collateral of 2,000,000 shares of the Company’s common stock owned by the Sponsor. During the quarter ended June 30, 2026, the Company released the restrictive legend on these shares, which allowed the shares to be released directly to the Sponsor. No new shares of common stock were issued to the Sponsor as a result of the release of the shareholder note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Liability to issue stock to related party, and subsequent settlement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and as of June 30, 2026, the Company’s disinterested directors resolved to issue 2,000,000 shares of the Company’s common stock to Bess Ventures and Advisory LLC, an entity whose owner-manager is Lane M. Bess, Chair of the Company’s Board of Directors, in order to resolve a potential disagreement with Mr. Bess by means of a future settlement agreement. The liability recorded on the Company’s condensed consolidated balance sheet as of June 30, 2026 of $2.8 million and the corresponding expense recorded on the Company’s condensed consolidated statement of operations and comprehensive loss for the three and six months ended June 30, 2026 included within “selling, general, and administrative - related party” expense represents the fair value of 2,000,000 shares of the Company’s common stock expected to be issued but not yet issued as of June 30, 2026. The shares were subsequently issued on July 7, 2026, and this liability settled in full.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with other related parties for marketing services and a related party employed by the Company are set forth in the table below:</w:t>
      </w:r>
    </w:p>
    <w:p>
      <w:pPr>
        <w:pStyle w:val="TextBody"/>
        <w:bidi w:val="0"/>
        <w:spacing w:before="0" w:after="0"/>
        <w:jc w:val="left"/>
        <w:rPr/>
      </w:pPr>
      <w:r>
        <w:rPr/>
      </w:r>
    </w:p>
    <w:tbl>
      <w:tblPr>
        <w:tblW w:w="9780" w:type="dxa"/>
        <w:jc w:val="left"/>
        <w:tblInd w:w="0" w:type="dxa"/>
        <w:tblLayout w:type="fixed"/>
        <w:tblCellMar>
          <w:top w:w="28" w:type="dxa"/>
          <w:left w:w="28" w:type="dxa"/>
          <w:bottom w:w="28" w:type="dxa"/>
          <w:right w:w="28" w:type="dxa"/>
        </w:tblCellMar>
      </w:tblPr>
      <w:tblGrid>
        <w:gridCol w:w="1598"/>
        <w:gridCol w:w="1400"/>
        <w:gridCol w:w="1412"/>
        <w:gridCol w:w="109"/>
        <w:gridCol w:w="109"/>
        <w:gridCol w:w="109"/>
        <w:gridCol w:w="290"/>
        <w:gridCol w:w="558"/>
        <w:gridCol w:w="149"/>
        <w:gridCol w:w="149"/>
        <w:gridCol w:w="149"/>
        <w:gridCol w:w="149"/>
        <w:gridCol w:w="290"/>
        <w:gridCol w:w="558"/>
        <w:gridCol w:w="149"/>
        <w:gridCol w:w="109"/>
        <w:gridCol w:w="109"/>
        <w:gridCol w:w="109"/>
        <w:gridCol w:w="255"/>
        <w:gridCol w:w="491"/>
        <w:gridCol w:w="131"/>
        <w:gridCol w:w="131"/>
        <w:gridCol w:w="131"/>
        <w:gridCol w:w="131"/>
        <w:gridCol w:w="255"/>
        <w:gridCol w:w="564"/>
        <w:gridCol w:w="186"/>
      </w:tblGrid>
      <w:tr>
        <w:trPr/>
        <w:tc>
          <w:tcPr>
            <w:tcW w:w="159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incurred with other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services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received by related party employee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expenses incurred with related parties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 company owned by a direct family member of Mr. Lane M. Bess, chair of the Company’s Board, provided marketing services to the Company.</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 relative of one of the Company’s named executive officers is employed by the Company.</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Included in “selling, general and administrative - related party” expense on the Company’s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subject to various legal proceedings, lawsuits, disputes and claims arising in the ordinary course of business.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August 4, 2026, a class action complaint was filed against the Company and certain current officers of the Company in the United States District Court for the Central District of California, captioned Daniel v. Blaize Holdings, Inc., et al., Case No. 2:26-cv-08563. The complaint alleges, among other things, that the Company and the individual defendants made false and misleading statements or omissions regarding the Company’s contracts with Starshine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the Company’s common stock between July 18, 2025 and April 28, 2026, inclusive. The case is at a preliminary stage.</w:t>
      </w:r>
      <w:r>
        <w:rPr>
          <w:color w:val="000000"/>
          <w:shd w:fill="FFFFFF" w:val="clear"/>
        </w:rPr>
        <w:t xml:space="preserve"> </w:t>
      </w:r>
      <w:r>
        <w:rPr>
          <w:rFonts w:ascii="Times New Roman;serif" w:hAnsi="Times New Roman;serif"/>
          <w:b w:val="false"/>
          <w:color w:val="000000"/>
          <w:sz w:val="20"/>
        </w:rPr>
        <w:t>The Company is in the process of evaluating the effects of the foregoing events and cannot make a reasonable estimate of any outcome, recovery, or loss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primarily relies on a single contract manufacturer to manufacture most of its proprietary hardware products. The Company received notice from this primary contract manufacturer of its intent to terminate the Company’s contract manufacturing agreement within six months of the contract manufacturer’s notice to the Company, by December 14,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purchase commitments for raw materials for its manufactured inventories of $10.8 million and purchase commitments for finished goods for resale of $1.9 million as of June 30, 2026. Certain of these purchase commitments for raw materials for inventory manufacture, in the amount of $5.4 million, require prepayment in advance from the Company in order for the vendor to be obligated to the Company’s purchase commitment. Purchase commitments for finished goods held for resale are generally made when a customer has issued a purchase order.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July 7, 2026, a subsidiary of the Company, Blaize, Inc., entered into a settlement agreement (the “Settlement Agreement”) with Bess Ventures and Advisory LLC (“Bess Ventures”), an entity whose owner-manager is Lane M. Bess, chair of the Board, to resolve certain disagreements between the parties relating to a letter agreement dated February 15, 2024 and matters arising thereunder. Pursuant to the Settlement Agreement, the Company issued 2,000,000 shares of the Company’s common stock to Bess Ventures in consideration for the mutual covenants and releases set forth therein. See Note 9 — </w:t>
      </w:r>
      <w:r>
        <w:rPr>
          <w:rFonts w:ascii="Times New Roman;serif" w:hAnsi="Times New Roman;serif"/>
          <w:b w:val="false"/>
          <w:i/>
          <w:color w:val="000000"/>
          <w:sz w:val="20"/>
        </w:rPr>
        <w:t xml:space="preserve">Related Party Transactions and Balances </w:t>
      </w:r>
      <w:r>
        <w:rPr>
          <w:rFonts w:ascii="Times New Roman;serif" w:hAnsi="Times New Roman;serif"/>
          <w:b w:val="false"/>
          <w:color w:val="000000"/>
          <w:sz w:val="20"/>
        </w:rPr>
        <w:t>for details regarding the liability to issue stock to related party as of June 30, 2026, and the subsequent settlement on July 7,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August 4, 2026, a class action complaint was filed against the Company and certain current officers of the Company in the United States District Court for the Central District of California, captioned Daniel v. Blaize Holdings, Inc., et al., Case No. 2:26-cv-08563. See Note 10 —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The following discussion and analysis of our financial condition and results of operations should be read together with our Annual Report on Form 10-K for the year ended December 31, 2025 (the “Annual Report on Form 10-K”), previous Quarterly Reports on Form 10-Q released during fiscal year </w:t>
      </w:r>
      <w:r>
        <w:rPr>
          <w:rFonts w:ascii="Times New Roman;serif" w:hAnsi="Times New Roman;serif"/>
          <w:b w:val="false"/>
          <w:color w:val="000000"/>
          <w:sz w:val="20"/>
        </w:rPr>
        <w:t>2026</w:t>
      </w:r>
      <w:r>
        <w:rPr>
          <w:rFonts w:ascii="Times New Roman;serif" w:hAnsi="Times New Roman;serif"/>
          <w:b w:val="false"/>
          <w:i/>
          <w:color w:val="000000"/>
          <w:sz w:val="20"/>
        </w:rPr>
        <w:t>, and the unaudited interim condensed consolidated financial statements as of and for the three and six months ended June 30, 2026 and 2025, together with related notes thereto. Unless the context otherwise requires, all references in this Quarterly Report on Form 10-Q to “the Company” “Blaize,” “us,” “our,” “ours,” or “we” refer to Blaize Holdings, Inc. Certain terms are defined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0" w:name="idbd9eee55ef642f19465fbd65120a393_1757"/>
      <w:bookmarkEnd w:id="0"/>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 in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we entered into a Purchase Order Contract Agreement (the “POCA”) with a potential customer in the United Arab Emirates that was intended to provide defense and other solutions to entities in the region. The contract was later amended on October 18, 2024, to add additional detail regarding the potential customer’s hardware and software requirements, as well as intended estimated delivery schedules. Discussions with the potential customer regarding this opportunity and other potential opportunities in the region were ongoing throughout 2025 and into 2026. This opportunity, and / or other potential opportunities that have been discussed with the potential customer, was expected to result in up to $104.0 million in revenue; however, as of August 13, 2026, we have not received a purchase order from this potential customer, nor have we received any revenue from this potential customer. We are currently reevaluating our relationship with this potential customer, and there is substantial uncertainty that any commercial relationship will progress.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certain agreements entered into in 2025, including a Strategic Cooperation Agreement (the “Starshine Agreement”) with Starshine Computing Power Technology Limited, a Hong Kong company (“Starshine”), and the Sales Partner Referral Agreement (the “Referral Agreement”) with Burkhan LLC (the “Sales Partner”), an affiliate of BurTech LP, LLC (the “Sponsor”). The Referral Agreement designated BurTech Systems Tech LLC (“BST”), an affiliate of the Sales Partner, as the initial approved customer under the Referral Agreement. Starshine had agreed, in the Starshine Agreement, to deliver a minimum of $120.0 million in revenue to us, subject to the issuance of purchase orders, over the first 18 months of the Starshine Agreement. Under the Referral Agreement, BST agreed to purchase, subject to the issuance of purchase orders, up to $56.5 million of our products on behalf of a certain unaffiliated end user.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Starshine issued one purchase order to us in the third quarter of 2025 for $10.4 million and paid $1.6 million to us at that time. The remaining $8.8 million of Starshine’s account receivable remains outstanding as of August 13, 2026. This account receivable has been transferred to our wholly-owned Chinese subsidiary, and collection of the account is being pursued by a third party (the “collections agent”). If the collections agent is able to collect the receivable, it will earn a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10% of the amount collected. There is substantial risk that the collections agent may not be successful in its attempts to collect this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BST issued one purchase order to us in the second quarter of 2025. We delivered hardware under that purchase order in the second and third quarters of 2025, and completed the final delivery of hardware in the first quarter of 2026, after receiving payment in full from BST.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received any purchase orders from either Starshine or BST in 2026. We do not expect further purchase orders to be forthcoming from Starshine. We do not have any visibility into any potential further purchase orders from BST for the remainder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we received a purchase order from NeoTensr in the amount of $23.8 million, and we completed our performance obligation at that time. During 2026, NeoTensr paid this amount in full. On April 14, 2026, we entered into a contract with NeoTensr for up to $50.0 million in revenue within the first year of the agreement, subject to NeoTensr’s issuance of purchase orders. NeoTensr has issued one purchase order under this agreement for $13.7 million, and paid its required deposit of 3%, or $0.4 million. The remaining $13.3 million of accounts receivable is due on September 24, 2026. On August 7, 2026, this contract was amended to be a firm contract with a minimum purchase commitment, also known as a “take or pay” arrangement, where our performance obligations over time of deliveries of servers to the customer is intended to be completed by July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us and certain of our current officers in the United States District Court for the Central District of California, alleging, among other things, that we and the individual defendants made false and misleading statements or omissions regarding our contracts with Starshine and NeoTensr. The case is at a preliminary stage. We are in the process of evaluating this complaint and cannot make a reasonable estimate of any outcome, recovery, or loss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 w:name="i5f1dbd16f3c2490b8a218ad10b1faf45_1842"/>
      <w:bookmarkEnd w:id="1"/>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Starting this quarter, management has focused its evaluation of the business on the following key business metrics: revenue, EBITDA and Adjusted EBITDA. See “Non-GAAP Measures” in this Item 2, Management’s Discussion and Analysis of Financial Condition and Results of Operations, for additional information, including a reconciliation of net loss to EBITDA and Adjusted EBITDA. As our business continues to scale and evolve, we may supplement or modify these metrics. For example, management is currently reviewing the connection between purchase orders received and backlog to determine whether such metrics are meaningful measures of our future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our Annual Report on Form 10-K and Quarterly Report on Form 10-Q for the three months ended March 31, 2026, as well as certain other earnings materials furnished in connection therewith, we presented pipeline metrics as key business metrics. We classified pipeline metrics into the following categories: proof of concept stage, partners, and design wins. Although our sales pipeline itself and pipeline progression from the inception of a deal through actual conversion of that pipeline into revenue are indicators of our future business, we determined that these metrics were not as closely connected with future revenue as previously expected. Therefore, management no longer considers these pipeline metrics as key business metrics. As a result, this Quarterly Report on Form 10-Q does not include updated figures for these metrics and we do not expect to present these metrics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2" w:name="ic8323a25955f4781ac5db4ca5dc0b50c_1418"/>
      <w:bookmarkEnd w:id="2"/>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derive revenue through a combination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Hardware revenue — encompasses the sale of our semiconductor products and/or third-party hardware products which support our semiconductor products through various supply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Software revenue — encompasses the sale of our applications and other software products through various licensing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Strategic consulting services revenue (when applicable) — providing customized design services to our customers, tailored to their specific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is currently primarily comprised of the cost of purchase of hardware from third parties (servers into which our graph streaming processor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 In addition, cost of revenue includes direct labor costs associated with the servicing of our strategic consulting services revenue contracts. There is no depreciation allocable to cost of revenue; however, if such depreciation expense were to be incurred, it would be allocated to 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difference between revenue and cost of revenue is gross profit, as calculated in accordance with accounting principles generally accepted in the United States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cost of revenue, and gross profit for the three and six months ended June 30, 2026 and 2025:</w:t>
      </w:r>
    </w:p>
    <w:p>
      <w:pPr>
        <w:pStyle w:val="TextBody"/>
        <w:bidi w:val="0"/>
        <w:spacing w:before="0" w:after="0"/>
        <w:jc w:val="left"/>
        <w:rPr/>
      </w:pPr>
      <w:r>
        <w:rPr/>
      </w:r>
    </w:p>
    <w:tbl>
      <w:tblPr>
        <w:tblW w:w="8017" w:type="dxa"/>
        <w:jc w:val="left"/>
        <w:tblInd w:w="0" w:type="dxa"/>
        <w:tblLayout w:type="fixed"/>
        <w:tblCellMar>
          <w:top w:w="28" w:type="dxa"/>
          <w:left w:w="28" w:type="dxa"/>
          <w:bottom w:w="28" w:type="dxa"/>
          <w:right w:w="28" w:type="dxa"/>
        </w:tblCellMar>
      </w:tblPr>
      <w:tblGrid>
        <w:gridCol w:w="1269"/>
        <w:gridCol w:w="1118"/>
        <w:gridCol w:w="1122"/>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7880" w:type="dxa"/>
        <w:jc w:val="left"/>
        <w:tblInd w:w="0" w:type="dxa"/>
        <w:tblLayout w:type="fixed"/>
        <w:tblCellMar>
          <w:top w:w="28" w:type="dxa"/>
          <w:left w:w="28" w:type="dxa"/>
          <w:bottom w:w="28" w:type="dxa"/>
          <w:right w:w="28" w:type="dxa"/>
        </w:tblCellMar>
      </w:tblPr>
      <w:tblGrid>
        <w:gridCol w:w="1269"/>
        <w:gridCol w:w="1118"/>
        <w:gridCol w:w="112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three and six months ended June 30, 2026 was primarily earned from sales of our complementary third party hardware. Revenue in the second quarter ended June 30, 2026 was primarily earned from the sale of complementary third party hardware to a major customer located in China. Revenue in the first quarter of 2026 was earned at the final shipment of such hardware along with our manufactured hardware to a related party, under the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three and six months ended June 30, 2025 was earned primarily from a related party for the initial sale of complementary third party hardware and our branded hardware under the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the three and six months ended June 30, 2026 and 2025 is primarily a result of the mix between complementary third party hardware and our branded hardware. Cost of revenue increases as the proportion of third party hardware in the revenue mix increases. Further, cost of revenue increases as our proportion of revenue from hardware increases, and decreases with revenue earned from software sales. There were no material sales of software for the three and six months ended June 30, 2026, compared to the three and six months ended June 30, 2025, which had a more significant component of revenue derived from software.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by the geographical location of our customers for the three and six months ended June 30, 2026 and 2025:</w:t>
      </w:r>
    </w:p>
    <w:p>
      <w:pPr>
        <w:pStyle w:val="TextBody"/>
        <w:bidi w:val="0"/>
        <w:spacing w:before="0" w:after="0"/>
        <w:jc w:val="left"/>
        <w:rPr/>
      </w:pPr>
      <w:r>
        <w:rPr/>
      </w:r>
    </w:p>
    <w:tbl>
      <w:tblPr>
        <w:tblW w:w="8017" w:type="dxa"/>
        <w:jc w:val="left"/>
        <w:tblInd w:w="0" w:type="dxa"/>
        <w:tblLayout w:type="fixed"/>
        <w:tblCellMar>
          <w:top w:w="28" w:type="dxa"/>
          <w:left w:w="28" w:type="dxa"/>
          <w:bottom w:w="28" w:type="dxa"/>
          <w:right w:w="28" w:type="dxa"/>
        </w:tblCellMar>
      </w:tblPr>
      <w:tblGrid>
        <w:gridCol w:w="1269"/>
        <w:gridCol w:w="1118"/>
        <w:gridCol w:w="1122"/>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tbl>
      <w:tblPr>
        <w:tblW w:w="7880" w:type="dxa"/>
        <w:jc w:val="left"/>
        <w:tblInd w:w="0" w:type="dxa"/>
        <w:tblLayout w:type="fixed"/>
        <w:tblCellMar>
          <w:top w:w="28" w:type="dxa"/>
          <w:left w:w="28" w:type="dxa"/>
          <w:bottom w:w="28" w:type="dxa"/>
          <w:right w:w="28" w:type="dxa"/>
        </w:tblCellMar>
      </w:tblPr>
      <w:tblGrid>
        <w:gridCol w:w="1269"/>
        <w:gridCol w:w="1118"/>
        <w:gridCol w:w="112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 our revenue is concentrated among a small number of customers, revenue from any one significant customer may significantly change the geographical mix of our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82.0%</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B and C were not customers for the three months ended June 30, 2026 and 2025, and are intentionally omitted.</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54.4%</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C was not a customer for the six months ended June 30, 2026 and 2025, and is intentionally omitted.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expected credit loss provision, tax, corporate software licenses, and insurance-related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SG&amp;A - related party expense is comprised of expenses incurred with related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consists of ordinary depreciation on long-lived assets such as computer equipment, furniture and fixtures, leasehold improvements, and office equipment and is generally not material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which was completed in the first quarter of 2025. No additional costs relating to the Merger are expected to be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Detail of 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costs and expenses, as described above, for the three and six months ended June 30, 2026 and 2025:</w:t>
      </w:r>
    </w:p>
    <w:p>
      <w:pPr>
        <w:pStyle w:val="TextBody"/>
        <w:bidi w:val="0"/>
        <w:spacing w:before="0" w:after="0"/>
        <w:jc w:val="left"/>
        <w:rPr/>
      </w:pPr>
      <w:r>
        <w:rPr/>
      </w:r>
    </w:p>
    <w:tbl>
      <w:tblPr>
        <w:tblW w:w="8908" w:type="dxa"/>
        <w:jc w:val="left"/>
        <w:tblInd w:w="0" w:type="dxa"/>
        <w:tblLayout w:type="fixed"/>
        <w:tblCellMar>
          <w:top w:w="28" w:type="dxa"/>
          <w:left w:w="28" w:type="dxa"/>
          <w:bottom w:w="28" w:type="dxa"/>
          <w:right w:w="28" w:type="dxa"/>
        </w:tblCellMar>
      </w:tblPr>
      <w:tblGrid>
        <w:gridCol w:w="1492"/>
        <w:gridCol w:w="1314"/>
        <w:gridCol w:w="1319"/>
        <w:gridCol w:w="214"/>
        <w:gridCol w:w="732"/>
        <w:gridCol w:w="110"/>
        <w:gridCol w:w="110"/>
        <w:gridCol w:w="110"/>
        <w:gridCol w:w="110"/>
        <w:gridCol w:w="214"/>
        <w:gridCol w:w="732"/>
        <w:gridCol w:w="110"/>
        <w:gridCol w:w="109"/>
        <w:gridCol w:w="109"/>
        <w:gridCol w:w="109"/>
        <w:gridCol w:w="211"/>
        <w:gridCol w:w="466"/>
        <w:gridCol w:w="109"/>
        <w:gridCol w:w="109"/>
        <w:gridCol w:w="109"/>
        <w:gridCol w:w="109"/>
        <w:gridCol w:w="291"/>
        <w:gridCol w:w="294"/>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01" w:type="dxa"/>
        <w:jc w:val="left"/>
        <w:tblInd w:w="0" w:type="dxa"/>
        <w:tblLayout w:type="fixed"/>
        <w:tblCellMar>
          <w:top w:w="28" w:type="dxa"/>
          <w:left w:w="28" w:type="dxa"/>
          <w:bottom w:w="28" w:type="dxa"/>
          <w:right w:w="28" w:type="dxa"/>
        </w:tblCellMar>
      </w:tblPr>
      <w:tblGrid>
        <w:gridCol w:w="1492"/>
        <w:gridCol w:w="1314"/>
        <w:gridCol w:w="131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R&amp;D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R&amp;D expense for the three months ended June 30, 2026, compared to June 30, 2025, was primarily due to higher technology costs, which was partially offset by a reduction in employee costs, including costs related to stock compensation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R&amp;D expense for the six months ended June 30, 2026, compared to June 30, 2025, was primarily due to a reduction in employee costs related to stock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SG&amp;A expense for the three and six months ended June 30, 2026, compared to June 30, 2025, was primarily due to an increase in our provision for expected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the three and six months ended June 30, 2026, were substantially comprised of a liability arising from a resolution to enter into a future settlement agreement to issue shares of our common stock to the chair of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three months ended June 30, 2025, were comprised solely of payroll expenses for an individual related to one of our executive officers. During the six months ended June 30, 2025, these expenses included payroll expenses for the individual as well as advertising expenses incurred with a company owned by a relative of the chair of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our total other expense, net, for the three and six months ended June 30, 2026 and 2025:</w:t>
      </w:r>
    </w:p>
    <w:p>
      <w:pPr>
        <w:pStyle w:val="TextBody"/>
        <w:bidi w:val="0"/>
        <w:spacing w:before="0" w:after="0"/>
        <w:jc w:val="left"/>
        <w:rPr/>
      </w:pPr>
      <w:r>
        <w:rPr/>
      </w:r>
    </w:p>
    <w:tbl>
      <w:tblPr>
        <w:tblW w:w="9129" w:type="dxa"/>
        <w:jc w:val="left"/>
        <w:tblInd w:w="0" w:type="dxa"/>
        <w:tblLayout w:type="fixed"/>
        <w:tblCellMar>
          <w:top w:w="28" w:type="dxa"/>
          <w:left w:w="28" w:type="dxa"/>
          <w:bottom w:w="28" w:type="dxa"/>
          <w:right w:w="28" w:type="dxa"/>
        </w:tblCellMar>
      </w:tblPr>
      <w:tblGrid>
        <w:gridCol w:w="1709"/>
        <w:gridCol w:w="1505"/>
        <w:gridCol w:w="1511"/>
        <w:gridCol w:w="226"/>
        <w:gridCol w:w="662"/>
        <w:gridCol w:w="117"/>
        <w:gridCol w:w="117"/>
        <w:gridCol w:w="117"/>
        <w:gridCol w:w="117"/>
        <w:gridCol w:w="226"/>
        <w:gridCol w:w="743"/>
        <w:gridCol w:w="117"/>
        <w:gridCol w:w="109"/>
        <w:gridCol w:w="109"/>
        <w:gridCol w:w="109"/>
        <w:gridCol w:w="211"/>
        <w:gridCol w:w="616"/>
        <w:gridCol w:w="109"/>
        <w:gridCol w:w="109"/>
        <w:gridCol w:w="109"/>
        <w:gridCol w:w="109"/>
        <w:gridCol w:w="109"/>
        <w:gridCol w:w="109"/>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2"/>
        <w:gridCol w:w="1766"/>
        <w:gridCol w:w="1772"/>
        <w:gridCol w:w="211"/>
        <w:gridCol w:w="616"/>
        <w:gridCol w:w="109"/>
        <w:gridCol w:w="109"/>
        <w:gridCol w:w="109"/>
        <w:gridCol w:w="109"/>
        <w:gridCol w:w="211"/>
        <w:gridCol w:w="898"/>
        <w:gridCol w:w="109"/>
        <w:gridCol w:w="109"/>
        <w:gridCol w:w="109"/>
        <w:gridCol w:w="109"/>
        <w:gridCol w:w="211"/>
        <w:gridCol w:w="826"/>
        <w:gridCol w:w="109"/>
        <w:gridCol w:w="109"/>
        <w:gridCol w:w="109"/>
        <w:gridCol w:w="109"/>
        <w:gridCol w:w="109"/>
        <w:gridCol w:w="109"/>
        <w:gridCol w:w="156"/>
      </w:tblGrid>
      <w:tr>
        <w:trPr/>
        <w:tc>
          <w:tcPr>
            <w:tcW w:w="201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“total other income (expense), net” for the three and six months ended June 30, 2026 compared to the three and six months ended June 30, 2025 was driven by the fair value changes in the different financial instruments in place during each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fair value of the liability-classified earnout shares varied by changes in the value of those instruments. During that same period, the fair value of the Polar warrants also varied by the change in value of those instruments, and a financing charge was also applied to the modification of the warrants during the second quarter of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as a result of the Merger, the Legacy Blaize convertible notes and warrants were all converted into shares of our common stock. These instruments were, therefore, not outstanding in 2026. During the three and six months ended June 30, 2025, there were shares of common stock issuable but unissued to an advisor, and the change in the fair value is therefore applicable to 2025 but not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Other, net” includes interest income, interest expense, fines and penalties (and the reversal of the same) regarding non-income tax based tax positions and foreign exchange gains and losses.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bookmarkStart w:id="3" w:name="ice6901cae3034122a88ba54c8c09d4a7_2130"/>
      <w:bookmarkEnd w:id="3"/>
      <w:r>
        <w:rPr>
          <w:rFonts w:ascii="Times New Roman;serif" w:hAnsi="Times New Roman;serif"/>
          <w:b/>
          <w:i/>
          <w:color w:val="000000"/>
          <w:sz w:val="20"/>
        </w:rPr>
        <w:t xml:space="preserve">Non-GAAP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presented in accordance with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conjunction with net loss calculated in accordance with GAAP, we also use EBITDA and Adjusted EBITDA, as defined below, to evaluate our ongoing operations and for internal planning and forecasting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EBITDA and Adjusted EBITDA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reconciliation of net loss to EBITDA and Adjusted EBITDA for the three and six months ended June 30, 2026 and 2025: </w:t>
      </w:r>
    </w:p>
    <w:p>
      <w:pPr>
        <w:pStyle w:val="TextBody"/>
        <w:bidi w:val="0"/>
        <w:spacing w:before="0" w:after="0"/>
        <w:jc w:val="left"/>
        <w:rPr/>
      </w:pPr>
      <w:r>
        <w:rPr/>
      </w:r>
    </w:p>
    <w:tbl>
      <w:tblPr>
        <w:tblW w:w="929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06"/>
        <w:gridCol w:w="310"/>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tbl>
      <w:tblPr>
        <w:tblW w:w="950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901"/>
        <w:gridCol w:w="109"/>
        <w:gridCol w:w="109"/>
        <w:gridCol w:w="109"/>
        <w:gridCol w:w="109"/>
        <w:gridCol w:w="211"/>
        <w:gridCol w:w="826"/>
        <w:gridCol w:w="109"/>
        <w:gridCol w:w="109"/>
        <w:gridCol w:w="109"/>
        <w:gridCol w:w="109"/>
        <w:gridCol w:w="293"/>
        <w:gridCol w:w="293"/>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4" w:name="i9de40caf04f240ee93754f555ff7cb20_8503"/>
      <w:bookmarkEnd w:id="4"/>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Item 1 — “Financial Statements,” in Note 2 — “Liquidity and Going Concern,” 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Issuance of Common Stock During the Current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issuance of common stock as of August 13,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tbl>
      <w:tblPr>
        <w:tblW w:w="6946" w:type="dxa"/>
        <w:jc w:val="left"/>
        <w:tblInd w:w="0" w:type="dxa"/>
        <w:tblLayout w:type="fixed"/>
        <w:tblCellMar>
          <w:top w:w="28" w:type="dxa"/>
          <w:left w:w="28" w:type="dxa"/>
          <w:bottom w:w="28" w:type="dxa"/>
          <w:right w:w="28" w:type="dxa"/>
        </w:tblCellMar>
      </w:tblPr>
      <w:tblGrid>
        <w:gridCol w:w="1912"/>
        <w:gridCol w:w="1681"/>
        <w:gridCol w:w="1686"/>
        <w:gridCol w:w="109"/>
        <w:gridCol w:w="109"/>
        <w:gridCol w:w="109"/>
        <w:gridCol w:w="593"/>
        <w:gridCol w:w="593"/>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142,778,075 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Shares issued to related party on July 7, 2026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August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144,832,039 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July 7, 2026, one of our subsidiaries entered into a settlement agreement (the “Settlement Agreement”) with Bess Ventures and Advisory LLC (“Bess Ventures”), an entity whose owner-manager is Lane M. Bess, chair of the Board, to resolve certain disagreements between the parties relating to a letter agreement dated February 15, 2024 and matters arising thereunder. Pursuant to the Settlement Agreement, we issued 2,000,000 shares of common stock to Bess Ventures in consideration for the mutual covenants and releases set forth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Commitments to Issue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future commitments to issue common stock as of August 13, 2026:</w:t>
      </w:r>
    </w:p>
    <w:p>
      <w:pPr>
        <w:pStyle w:val="TextBody"/>
        <w:bidi w:val="0"/>
        <w:spacing w:before="0" w:after="0"/>
        <w:jc w:val="left"/>
        <w:rPr/>
      </w:pPr>
      <w:r>
        <w:rPr/>
      </w:r>
    </w:p>
    <w:tbl>
      <w:tblPr>
        <w:tblW w:w="7276" w:type="dxa"/>
        <w:jc w:val="left"/>
        <w:tblInd w:w="0" w:type="dxa"/>
        <w:tblLayout w:type="fixed"/>
        <w:tblCellMar>
          <w:top w:w="28" w:type="dxa"/>
          <w:left w:w="28" w:type="dxa"/>
          <w:bottom w:w="28" w:type="dxa"/>
          <w:right w:w="28" w:type="dxa"/>
        </w:tblCellMar>
      </w:tblPr>
      <w:tblGrid>
        <w:gridCol w:w="2067"/>
        <w:gridCol w:w="1816"/>
        <w:gridCol w:w="1831"/>
        <w:gridCol w:w="109"/>
        <w:gridCol w:w="109"/>
        <w:gridCol w:w="109"/>
        <w:gridCol w:w="540"/>
        <w:gridCol w:w="541"/>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 options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29,785,144 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RSUs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stock purchase plan shares available for future purchase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BZAI warrants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Warrants issued to an advisor</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Sales Partner Referral Agreement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Committed Equity Facility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 commitments to issue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98,134,597 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Variable number of shares not determinable as of August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2026, we had commitments to issue 29,785,144 shares of common stock to employees and others under stock option awards, and an additional</w:t>
      </w:r>
      <w:r>
        <w:rPr>
          <w:color w:val="EE2724"/>
        </w:rPr>
        <w:t xml:space="preserve"> </w:t>
      </w:r>
      <w:r>
        <w:rPr>
          <w:rFonts w:ascii="Times New Roman;serif" w:hAnsi="Times New Roman;serif"/>
          <w:b w:val="false"/>
          <w:color w:val="000000"/>
          <w:sz w:val="20"/>
        </w:rPr>
        <w:t>8,628,534 shares of our common stock under employee and other RSU awards. These commitments did not differ materially as of August 13, 2026, as we did not issue additional such awards during the time period between June 30, 2026 and August 13, 2026, although forfeitures from terminated employees and option exercises may decrease these commitments by immaterial amounts. We have further reserved 3,047,669 shares of our common stock under an employee stock purchase plan, which has not yet commenced.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We have commitments in respect of the Earnout Shares to issue up to 15,000,000 shares of our common stock, primarily to Legacy Blaize stockholders and also to then-outstanding Legacy Blaize employee equity award holders, and 2,600,000 shares of our common stock to Burkhan, subject to our share price achieving certain thresholds over a period of time (collectively, the “Earnout Shares”). These Earnout Shares are dependent upon, among other things, changes in the closing share price of our common stock, the expected timing of settlement, and the probability of achieving certain triggering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exercisable at $11.50 per share, which expire in the first quarter of 2030.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On May 5, 2026, we amended the outstanding Polar warrants to adjust the exercise price from $5.00 per share to $3.00 per share.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 2025, we entered into a Sales Partner Referral Agreement with Burkhan LLC (the “Sales Partner”), an affiliate of BurTech LP, LLC,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To date, we have chosen to pay any such commissions in cash and not in shares of our common stock. During 2026, we have not received any new purchase orders under the Sales Partner Referral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The remaining number of shares that we may sell under the committed equity facility (the “Committed Equity Facility”) with B. Riley Principal Capital, LLC (“B. Riley”) varies in relation to our stock price. However, under the terms of the facility, we may not effect sales thereunder while the market price of our common stock is below $1.00 per share. Our common stock has recently begun trading below $1.00 per share, and therefore, this facility may not be available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for the Six Months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$41.3 million for the six months ended June 30, 2026, compared to $32.4 million for the six months ended June 30, 2025, an increase of $8.9 million. Although net loss decreased by $125.9 million, the reduction in net loss was primarily due to a decrease of $109.9 million in non-cash adjustments to reconcile net loss to net cash used in operating activities, as the prior-year period included significant non-cash losses from changes in fair value measurements that did not recur in the current period. The change in operating assets and liabilities of $24.9 million reflected our payment of accrued trade and other payables and increases in accounts receivables and prepaid expenses, partially offset by cash collections of accounts receivable.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we used $0.6 million and $0.7 million, respectively, of cash to purchase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financing activities was $32.6 million, which consisted primarily of net proceeds from the issuance of common stock. During the six months ended June 30, 2025, net cash provided by financing activities consisted of $15.9 million of proceeds from the Merger and PIPE financing, partially offset by the $4.3 million payment of deferred offering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Cash Availability,</w:t>
      </w:r>
      <w:r>
        <w:rPr>
          <w:color w:val="000000"/>
        </w:rPr>
        <w:t xml:space="preserve"> </w:t>
      </w:r>
      <w:r>
        <w:rPr>
          <w:rFonts w:ascii="Times New Roman;serif" w:hAnsi="Times New Roman;serif"/>
          <w:b/>
          <w:i/>
          <w:color w:val="000000"/>
          <w:sz w:val="20"/>
        </w:rPr>
        <w:t>Material Cash Requirements, and Cash Collections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on hand of $36.8 million, of which approximately $12.4 million, or approximately 34%, is held in China and subject to currency controls. Currency controls may delay our access to this cash. We are a party to a Committed Equity Facility with a remaining available capacity of approximately $15.5 million; however, under the terms of the facility, we may not effect sales thereunder while the market price of our common stock is below $1.00 per share. Because our common stock has recently begun trading below $1.00 per share, the facility may not represent a readily available source of liquidity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Material cash requirements recorded on our condensed consolidated balance sheet as of June 30, 2026 included normal course of business near-term general corporate expenses accrued in accounts payable and accrued expenses, such as consulting fees and employee payroll. Additionally, we had purchase commitments for raw materials for manufactured inventories of $10.8 million and purchase commitments for finished goods for resale of $1.9 million as of June 30, 2026. Certain of these purchase commitments for raw materials for inventory manufacture, in the amount of $5.4 million require prepayment in advance from us in order for the vendor to be obligated to our purchase commitment. Purchase commitments for finished goods held for resale are generally made when a customer has issued a purchase 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continuing to pursue collections of the Starshine account receivable of $8.8 million, through a third-party collections agent. This receivable has been transferred to our wholly-owned Chinese subsidiary, and any such recovery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a 10% collections fee to such collections agent. Any recovered cash would be deposited in our subsidiary’s bank account in China, and therefore subject to currency controls.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other accounts receivable are currently generally deemed to be collectible in the normal course of business. Substantially all of the balance of these accounts receivable are due from one customer located in China.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Emerging Growth Company and Smaller Reporting Company Statuses during the six months ended June 30, 2026. The Company will remain a Smaller Reporting Company for the year ended December 31, 2026, but will not retain its Emerging Growth Company status past December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 w:name="ib12eabcbb8d8407f95178509639d8ca1_269"/>
      <w:bookmarkEnd w:id="5"/>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Part II, Item 7, “Critical Accounting Estimates” of our Annual Report on Form 10-K for the year ended December 31, 2025. There have been no material changes to our Critical Accounting Policies and Estimates during the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this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such period, the Company’s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From time to time, we may become subject to various legal proceedings, lawsuits, disputes and claims either asserted or unasserted, which may arise in the ordinary course of our business. The outcome of these matters cannot be predicted with certainty. See Note 10 —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for a discussion of loss contingencies, if any. Below is a discussion of significant pending legal proceedings involving the Company and/or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the Company and certain current officers in the United States District Court for the Central District of California, captioned Daniel v. Blaize Holdings, Inc., et al., Case No. 2:26-cv-08563. The complaint alleges, among other things, that the Company and the individual defendants made false and misleading statements or omissions regarding the Company’s contracts with Starshine Computing Power Technology Limited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the Company’s common stock between July 18, 2025 and April 28, 2026, inclusive. The case is at a preliminary stage. We are in the process of evaluating the effects of the foregoing events and we cannot make a reasonable estimate of any outcome, recovery or loss at this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See the caption titled “</w:t>
      </w:r>
      <w:r>
        <w:rPr>
          <w:rFonts w:ascii="Times New Roman;serif" w:hAnsi="Times New Roman;serif"/>
          <w:b w:val="false"/>
          <w:i/>
          <w:color w:val="000000"/>
          <w:sz w:val="20"/>
        </w:rPr>
        <w:t>We are subject to securities class action litigation, which could result in substantial costs and adversely affect our reputation, business, and stock price</w:t>
      </w:r>
      <w:r>
        <w:rPr>
          <w:color w:val="000000"/>
        </w:rPr>
        <w:t xml:space="preserve">” </w:t>
      </w:r>
      <w:r>
        <w:rPr>
          <w:rFonts w:ascii="Times New Roman;serif" w:hAnsi="Times New Roman;serif"/>
          <w:b w:val="false"/>
          <w:color w:val="000000"/>
          <w:sz w:val="20"/>
        </w:rPr>
        <w:t>in Part II, Item 1A “Risk Factors” in this Quarterly Report on Form 10-Q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risk factors listed below, there have been no material changes from the risk factors previously described under Part I, Item 1A. “Risk Factors” of our Annual Report on Form 10-K for the year ended December 31, 2025, filed with the SEC on March 24, 2026, as amended by Amendment No. 1 on Form 10-K/A filed with the SEC on April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securities class action litigation, which could result in substantial costs and adversely affect our reputation, business, and stock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our company and certain of our company’s current officers in the United States District Court for the Central District of California, captioned Daniel v. Blaize Holdings, Inc., et al., Case No. 2:26-cv-08563. The complaint alleges, among other things, that we and the individual defendants made false and misleading statements or omissions regarding our contracts with Starshine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our common stock between July 18, 2025 and April 28, 2026, inclusive. The case is at a preliminary stage.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litigation may be expensive, time consuming, and disruptive to normal business operations, and may divert the attention of our management and other personnel from operating our business. We may incur significant legal and other expenses in defending this action and any related matters, and such expenses may not be fully covered by insurance or may exceed applicable insurance coverage.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unfavorable outcome of this litigation or any related matters could result in substantial monetary damages, settlement payments, fines or penalties, or other relief, and could harm our reputation, relationships with customers, partners, investors, and other stakeholders, and the market price of our common stock. Even if we are successful in defending against such claims, the litigation and any related publicity could adversely affect our business, financial condition, results of operations, liquidity, reputation, and ability to raise capital.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price of our common stock has and may continue to fluctuate significantly, and this may make it difficult for you to resell shares of common stock owned by you at times or at prices you find attractive.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access adequate project financing, commercial borrowings and debt and equity capital markets to fund our operations or any significant anticipated capital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results failing to meet the expectations of securities analysts or investors in a particular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and recommendations by securities analysts concerning us or the industry in which we operate in general;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business developments, partnerships or acquisitions;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major change in our board of directors or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political conditions such as recessions, changes in interest rates, changes in fuel prices, international currency fluctuations, and acts of war, terrorism, civil unrest, or pandemics.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Future sales or issuances of our common stock in the public markets, or the perception of such sales, could depress the trading price of our common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in one or more separate offerings. We cannot predict the effect that future sales of common stock or other equity-related securities would have on the market price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 universal registration statement which allows us to offer and sell up to $250.0 million of our securities, including shares of our common stock, from time to time pursuant to one or more offerings at prices to be determined at the time of sale.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activity of short sellers in our common stock could increase volatility in our share price and negatively impact our reputation, business, and ability to raise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may be the target of short selling activity, in which investors sell shares that they do not own in anticipation of a decline in the market price. The presence of significant short interest could lead to increased volatility in the trading price of our shares, regardless of our actual operating performance or prospects. Short sellers may also publish, or cause to be published, negative or misleading information about our company, our management, or our business model, which could further depress our stock price and damage our reputation with customers, partners, and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volatility and downward pressure on our stock price as a result of short selling may make it more difficult for investors to sell their shares at desired prices and could impair our ability to access the capital markets on favorable terms, or at all, when we need to raise additional funds, which is particularly relevant given our current liquidity position and our ongoing need to raise capital to fund our operations and achieve our business objectives, as discussed elsewhere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negative publicity or rumors, whether or not accurate, that are disseminated by short sellers or others may harm our relationships with customers, suppliers, and employees, and may have a material adverse effect on our stock price, reputation,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contracts with key customers are not subject to minimum purchase commitments, and these customers may reduce or cease orders at any time, which could materially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of our contracts with key customers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primary contract manufacturer provided notice to terminate its contract with us. The termination of our contract manufacturing agreement with this contract manufacturer could disrupt our supply chain and materially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primarily rely on a single contract manufacturer to manufacture most of our proprietary hardware products. We received notice from it of its intent to terminate our contract manufacturing agreement with us within six months of its notice to us, by December 14, 2026. The loss of our primary contract manufacturer could result in significant disruption to our supply chain and our ability to fulfill customer orders for our manufactured products on a timely basis, or at all. Identifying, qualifying, and onboarding an alternative contract manufacturer is a time-consuming and costly process, and we may not be able to secure a replacement contract manufacturer on commercially acceptable terms, or within a time frame that avoids material disruption to our operations. Any such disruption could result in delays in product delivery, loss of customer relationships, cancellation of contracts, and damage to our reputation. Furthermore, a transition to a new contract manufacturer may involve additional costs, quality control risks, and operational uncertainties. If we are unable to replace our current primary contract manufacturer in a timely and cost-effective manner, our business, financial condition, and results of operations could be materially and adversely affected.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 significant portion of our cash is held in China, where strict currency controls and repatriation restrictions may limit our ability to access and transfer these funds, which may materially reduce the liquidity actually available to fund our operations and exacerbates our going concern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$36.8 million. A portion of these funds, approximately $12.4 million, or approximately 34%, is held in China through our subsidiary operations. Further, as of June 30, 2026, substantially all of our accounts receivable are due in China, while our accounts payable are largely due outside of China. This structural mismatch means that the cash needed to fund our non-China obligations must be repatriated from China or raised through external financing. China imposes strict foreign currency controls administered by its State Administration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Foreign Exchange, which regulates the conversion of Chinese renminbi into foreign currencies and the cross-border transfer of funds. These regulations may restrict or delay our ability to repatriate cash held in China or otherwise make such funds available to our global operations, including our U.S. parent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access this cash is subject to various approval processes, compliance requirements, and regulatory conditions that are outside of our control and may change at any time without notice. Any delays or restrictions in accessing or transferring funds held in China could materially reduce the liquidity actually available to fund our operations and meet our obligations.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This risk is particularly acute given our going concern condition. Our management has concluded that our liquidity condition raises substantial doubt about our ability to continue as a going concern through one year from the date of issuance of these condensed consolidated financial statements. We are dependent on raising additional financing to continue operations, and if funds held in China cannot be freely accessed or transferred, our effective liquidity position may be materially less than our reported cash balance of $36.8 million suggests. We may not be able to access these funds in a timely manner, and inability to do so could have a material adverse effect on our business, financial condition, results of operations, and ability to continue as a going concern. See Note 2 — </w:t>
      </w:r>
      <w:r>
        <w:rPr>
          <w:rFonts w:ascii="Times New Roman;serif" w:hAnsi="Times New Roman;serif"/>
          <w:b w:val="false"/>
          <w:i/>
          <w:color w:val="000000"/>
          <w:sz w:val="20"/>
        </w:rPr>
        <w:t>Liquidity and Going Concern</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and the section titled “Liquidity and Capital Resources” in Part I, Item 2 “Management’s Discussion and Analysis of Financial Condition and Results of Operations” of this Quarterly Report on Form 10-Q for additional information.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ability to access the Committed Equity Facility is subject to conditions that we may be unable to satisfy, which could limit our access to additional liquidity and our ability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party to a Committed Equity Facility with B. Riley, pursuant to which B. Riley has committed to purchase up to $50.0 million of our common stock over an approximately 36-month period, subject to certain limitations and conditions set forth in the Committed Equity Facility. As of June 30, 2026, the Committed Equity Facility had a remaining available capacity of approximately $15.5 million. However, the Committed Equity Facility is subject to a number of conditions that must be satisfied before we may effect any sale thereunder, including that the market price of our common stock cannot be below $1.00 per share. Our common stock has recently begun trading below $1.00 per share, and as a result, the Committed Equity Facility may not currently represent a readily available source of liquidity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Even if the market price of our common stock were to increase to $1.00 per share or above, the price may not remain at or above that threshold for a sufficient period of time to allow us to access the facility in a meaningful amount, nor can we anticipate that other conditions to drawing on the facility would be satisfied.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inability to access the Committed Equity Facility, whether due to the $1.00 per share minimum price requirement or other conditions under the facility, could materially limit our available liquidity and our ability to fund our ongoing operations. If we are unable to access the Committed Equity Facility and cannot raise capital through other means, our business, financial condition, results of operations, and ability to continue as a going concern could be materially and adversely affected. See Note 2 — </w:t>
      </w:r>
      <w:r>
        <w:rPr>
          <w:rFonts w:ascii="Times New Roman;serif" w:hAnsi="Times New Roman;serif"/>
          <w:b w:val="false"/>
          <w:i/>
          <w:color w:val="000000"/>
          <w:sz w:val="20"/>
        </w:rPr>
        <w:t>Liquidity and Going Concern</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and the section titled “Liquidity and Capital Resources” in Part I, Item 2 “Management’s Discussion and Analysis of Financial Condition and Results of Operations” of this Quarterly Report on Form 10-Q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stockholder rights plan, anti-takeover provisions in our certificate of incorporation and bylaws, provisions of Delaware law, and the change of control premium provisions applicable to the Earnout Shares could delay, deter, or prevent a change in control that our stockholders may consider favorable, reduce the per-share consideration available to our stockholders in any such transaction, or make any such transaction more costly.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2026, we entered into a stockholder rights plan (the “Rights Plan”) and declared a dividend of one right for each outstanding share of our common stock. The rights generally become exercisable if any person or group acquires beneficial ownership of 10% or more of our outstanding common stock without prior board approval. Upon such an event, each right (other than rights held by the acquiring person, which become void) would entitle its holder to purchase shares of our common stock at an effective 50% discount to the then-current market price, or, at the board’s election, to receive shares of common stock in exchange for the rights, in either case resulting in substantial dilution to the acquiring person. Our board may redeem the rights for $0.01 per right at any time before a person or group becomes an acquiring person. The Rights Plan is scheduled to expire on April 21, 2027, unless earlier redeemed, exchanged, or terminated. While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Rights Plan is intended to protect stockholders from coercive or otherwise unfair takeover tactics, it may have the effect of rendering more difficult or discouraging any attempt to acquire us — including a fully financed offer at a premium to the prevailing market price of our common stock — unless our board first approves the transaction or redeems the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certificate of incorporation and bylaws contain provisions that could delay or prevent changes in control of our company or our management without the consent of our board of directors, or that could make it more difficult for a third party to acquire us or to effect a change in the composition of our board, even if doing so would be beneficial to our stockholders. These provisions include, among others: (i) the absence of cumulative voting in the election of directors, which limits the ability of minority stockholders to elect director candidates; (ii) the requirement that directors may be removed only by the affirmative vote of holders of at least 66⅔% of the voting power of our outstanding capital stock; (iii) the provision that special meetings of stockholders may be called only by or at the direction of our board of directors, the chairperson of our board, our Chief Executive Officer, or our President, and the related limitations on stockholder action outside of duly called meetings; (iv) advance notice requirements for stockholder proposals and director nominations; and (v) the authorization of undesignated “blank check” preferred stock and substantial amounts of authorized but unissued common stock, which our board may issue without stockholder approval, including to persons friendly to current management, and with rights and preferences that could impede the success of any attempt to acquire us. We are also subject to anti-takeover provisions of the Delaware General Corporation Law, which may further discourage, delay, or prevent a business combination with an interested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under our merger agreement relating to our January 2025 business combination, we remain obligated to issue up to 15,000,000 Earnout Shares to eligible former securityholders of Legacy Blaize and up to 2,600,000 additional shares to Burkhan upon the achievement of specified share price triggering events during the five-year period following the closing. In the event of a change in control of the Company during this period, all then-remaining Earnout Shares that have not previously been issued would become issuable in full, as if all triggering events had occurred. Accordingly, any acquirer would be required to bear the cost of, and our stockholders would experience the dilution associated with, the issuance of up to approximately 17.6 million additional shares in connection with a change in control. This automatic acceleration increases the effective cost of acquiring us, may reduce the per-share consideration that a potential acquirer would otherwise be willing to pay to our stockholders, and could discourage potential acquirers from pursuing a transaction, even one that our stockholders might otherwise consider to be in their best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of these provisions, individually or in combination, could discourage acquisition proposals including a merger or tender offer that might otherwise be in the best interest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Recent Sales of Unregistered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Use of Proceeds from 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6, 2026, we completed a public offering of 18,918,918 shares of our common stock at a price of $1.85 per share pursuant to our Registration Statement on Form S-3 (File No. 333-292986), which was declared effective by the SEC on February 4, 2026. Northland Securities, Inc. acted as representative of the underwriters. We received initial net proceeds of approximately $32.8 million, after deducting underwriting discounts and commissions and other initial offering expenses. As of June 30, 2026, we have used approximately $16.5 million of the net proceeds for working capital and general corporate purposes, and the remaining approximately $16.3 million is held in cash and cash equivalents pending application for working capital and general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Issuer Repurchases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our repurchases of common stock in each month of the second quarter of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1"/>
        <w:gridCol w:w="362"/>
        <w:gridCol w:w="367"/>
        <w:gridCol w:w="109"/>
        <w:gridCol w:w="109"/>
        <w:gridCol w:w="109"/>
        <w:gridCol w:w="570"/>
        <w:gridCol w:w="488"/>
        <w:gridCol w:w="490"/>
        <w:gridCol w:w="109"/>
        <w:gridCol w:w="109"/>
        <w:gridCol w:w="109"/>
        <w:gridCol w:w="324"/>
        <w:gridCol w:w="786"/>
        <w:gridCol w:w="167"/>
        <w:gridCol w:w="109"/>
        <w:gridCol w:w="109"/>
        <w:gridCol w:w="109"/>
        <w:gridCol w:w="771"/>
        <w:gridCol w:w="771"/>
        <w:gridCol w:w="773"/>
        <w:gridCol w:w="109"/>
        <w:gridCol w:w="109"/>
        <w:gridCol w:w="109"/>
        <w:gridCol w:w="765"/>
        <w:gridCol w:w="765"/>
        <w:gridCol w:w="1087"/>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Average Price Paid per Share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Program</w:t>
            </w:r>
          </w:p>
        </w:tc>
      </w:tr>
      <w:tr>
        <w:trPr/>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26,989 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second quarter of 2026, 26,989 shares of common stock were surrendered by an executive officer of the Company in connection with the vesting of RSUs in order to pay for applicable tax withholding. Under the Blaize Holdings, Inc. 2025 Incentive Award Plan (“Incentive Plan”), participants may surrender shares in satisfaction of applicable tax withholding on the vesting of equity awards. Shares so surrendered by participants in the Incentive Plan may be repurchased pursuant to the terms of the Incentive Plan and not pursuant to publicly announced share repurchase programs. The “average price per share” deemed paid for these shares was based on the closing price of our common stock on the date of vesting of $1.76. These shares of common stock have been cancelled.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of the Exchange Act) adopted or terminated a trading arrangement for the purchase of Company securities for the three months ended June 30, 2026 that is either (i) a contract, instruction, or written plan intended to satisfy the affirmative defense conditions of Rule 10b5-1(c), or a “Rule 10b5-1 trading arrangement” or (ii) a “non-Rule 10b5-1 trading arrangement,” (as defined in Item 408(c)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Departure of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2026, Mr. Juergen Hambrecht notified the Company’s Board of Directors (the “Board”) of his decision to resign from the Board, effective as of August 13, 2026. Mr. Hambrecht’s resignation was not a result of any disagreement with the Company or its Board on any matter relating to the Company’s operations, policies, or practices. The Company and the Board wish to thank Mr. Hambrecht for his service and contributions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Appointment of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10, 2026, the Board appointed Dr. Kurt Lauk, 80, to serve as a director on the Board, to be effective as of August 13, 2026 concurrent with the effectiveness of Mr. Hambrecht’s resignation, with a term expiring at the Company’s next annual meeting of stockholders. Dr. Lauk was recommended for appointment to the Board by the independent directors of the Board, prior to the formation of the Board’s Nominating and Governance Committee. The Board has determined that Dr. Lauk is considered an independent director under Nasdaq rules. Dr. Lauk has been appointed to serve as a member of the Company’s Nominating and Governance Committee. There are no arrangements or understandings between Dr. Lauk and any other person pursuant to which he was selected to serve as a director of the Company. Additionally, there are no related party transactions between Dr. Lauk and the Company that require disclosure under Item 404(a)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Dr. Lauk is the founder of Globe CP GmbH, a private investment and financial advisory firm based in Stuttgart, Germany, and has served as its Chief Executive Officer since 2000. Since 2021, Dr. Lauk has served as Chairman of the board of directors of ADS-TEC Energy plc (Nasdaq: ADSE), a battery-based energy storage and charging technology company. He previously served as a member of the board of directors of Magna International Inc. (NYSE/TSX: MGA), a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automotive supplier, from 2011 to May 2023, as Chairman of the Advisory Board for Germany and Austria of Nomura Investment Bank from 2018 to June 2023, and as a member of the board of directors of Fortemedia, Inc., a semiconductor company, from 2001 until its sale in 2024. He is also Co-Founder and Chairman of the Advisory Board of Agora Strategy Group AG and serves on the advisory boards of CERAFILTEC and Visby Medical. Earlier in his career, Dr. Lauk served as a member of the Board of Management of Daimler-Chrysler AG, where he was Head of the Worldwide Commercial Vehicles Division, as Chief Financial Officer and Chief Controller of VEBA AG (now E.ON AG), and as Deputy Chief Executive Officer and Chief Financial Officer of AUDI AG. From 2004 to 2009, Dr. Lauk served as a Member of the European Parliament, where he sat on the Economic and Monetary Affairs Committee. Dr. Lauk holds an M.B.A. from the Graduate School of Business at Stanford University, a Ph.D. in International Politics from the University of Kiel, and an M.A. from the University of Munich. We believe Dr. Lauk is qualified to serve on our Board of Directors due to his extensive executive leadership experience in the global automotive and technology industries, his experience as a chief executive officer, his financial expertise as a former chief financial officer of major public companies, and his experience serving on the boards of U.S. and international public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our Amended and Restated Director Compensation Program, a copy of which is filed as Exhibit 10.1 to this Quarterly Report on Form 10-Q (the “Director Compensation Policy”), and in connection with his appointment to our Board, as a non-employee director, Dr. Lauk will receive an annual cash retainer pro-rated for the portion of the year on which he serves on our Board, and an initial equity grant of restricted stock units, with the number of RSUs determined by dividing (i) $600,000 by (ii) the average closing trading price of the Company’s common stock over the 20 consecutive trading days ending with the trading day immediately preceding the applicable grant date, rounded down to the nearest whole RSU. This initial equity grant shall be automatically granted on August 13, 2026, and shall vest with respect to one-third of the RSUs subject thereto on each of the first three (3) anniversaries of the applicable grant date, subject to Dr. Lauk’s continued service on the Board through the applicable vesting date(s). We will also enter into an indemnification agreement with Dr. Lauk in the same form as our standard form of indemnification agreement with our other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7"/>
        <w:gridCol w:w="287"/>
        <w:gridCol w:w="288"/>
        <w:gridCol w:w="109"/>
        <w:gridCol w:w="109"/>
        <w:gridCol w:w="109"/>
        <w:gridCol w:w="2619"/>
        <w:gridCol w:w="2619"/>
        <w:gridCol w:w="3738"/>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1-amendedandresta.htm">
              <w:r>
                <w:rPr>
                  <w:rStyle w:val="InternetLink"/>
                  <w:rFonts w:ascii="Times New Roman;serif" w:hAnsi="Times New Roman;serif"/>
                  <w:b w:val="false"/>
                  <w:color w:val="0000FF"/>
                  <w:sz w:val="20"/>
                  <w:u w:val="single"/>
                </w:rPr>
                <w:t>Amended and Restated Director Compensation Program, dated July 7, 2026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Settlement Agreement, by and between Bess Ventures and Advisory LLC and Blaize</w:t>
              </w:r>
            </w:hyperlink>
            <w:hyperlink r:id="rId3">
              <w:r>
                <w:rPr>
                  <w:rStyle w:val="InternetLink"/>
                  <w:rFonts w:ascii="Times New Roman;serif" w:hAnsi="Times New Roman;serif"/>
                  <w:b w:val="false"/>
                  <w:color w:val="000080"/>
                  <w:sz w:val="20"/>
                  <w:u w:val="single"/>
                </w:rPr>
                <w:t>,</w:t>
              </w:r>
            </w:hyperlink>
            <w:hyperlink r:id="rId4">
              <w:r>
                <w:rPr>
                  <w:rStyle w:val="InternetLink"/>
                  <w:rFonts w:ascii="Times New Roman;serif" w:hAnsi="Times New Roman;serif"/>
                  <w:b w:val="false"/>
                  <w:color w:val="000080"/>
                  <w:sz w:val="20"/>
                  <w:u w:val="single"/>
                </w:rPr>
                <w:t xml:space="preserve"> Inc., dated July 7, 2026 (incorporated by reference to Exhibit 10.1 to the Company’s Current Report on Form 8-K filed July 9, 2026)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10xqex311xmunagala.htm">
              <w:r>
                <w:rPr>
                  <w:rStyle w:val="InternetLink"/>
                  <w:rFonts w:ascii="Times New Roman;serif" w:hAnsi="Times New Roman;serif"/>
                  <w:b w:val="false"/>
                  <w:color w:val="0000FF"/>
                  <w:sz w:val="20"/>
                  <w:u w:val="single"/>
                </w:rPr>
                <w:t>Chief Executive Officer Certifications pursuant to Section 302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10xqex312xsehmi.htm">
              <w:r>
                <w:rPr>
                  <w:rStyle w:val="InternetLink"/>
                  <w:rFonts w:ascii="Times New Roman;serif" w:hAnsi="Times New Roman;serif"/>
                  <w:b w:val="false"/>
                  <w:color w:val="0000FF"/>
                  <w:sz w:val="20"/>
                  <w:u w:val="single"/>
                </w:rPr>
                <w:t>Chief Financial Officer Certifications pursuant to Section 302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10xqex321xmunagala.htm">
              <w:r>
                <w:rPr>
                  <w:rStyle w:val="InternetLink"/>
                  <w:rFonts w:ascii="Times New Roman;serif" w:hAnsi="Times New Roman;serif"/>
                  <w:b w:val="false"/>
                  <w:color w:val="0000FF"/>
                  <w:sz w:val="20"/>
                  <w:u w:val="single"/>
                </w:rPr>
                <w:t>Chief Executive Officer Certification pursuant to 18 U.S.C. Section 1350, as adopted pursuant to Section 906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10xqex322xsehmi.htm">
              <w:r>
                <w:rPr>
                  <w:rStyle w:val="InternetLink"/>
                  <w:rFonts w:ascii="Times New Roman;serif" w:hAnsi="Times New Roman;serif"/>
                  <w:b w:val="false"/>
                  <w:color w:val="0000FF"/>
                  <w:sz w:val="20"/>
                  <w:u w:val="single"/>
                </w:rPr>
                <w:t>Chief Financial Officer Certification pursuant to 18 U.S.C. Section 1350, as adopted pursuant to Section 906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Labels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Schema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 the instance document does not appear in the Interactive Data File because its XBRL tags are embedded within the Inline XBRL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This document has been identified as a management contract or compensatory plan or arrangement</w:t>
      </w:r>
    </w:p>
    <w:p>
      <w:pPr>
        <w:pStyle w:val="TextBody"/>
        <w:bidi w:val="0"/>
        <w:spacing w:before="0" w:after="0"/>
        <w:ind w:left="0" w:right="0" w:hanging="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both"/>
        <w:rPr/>
      </w:pPr>
      <w:hyperlink w:anchor="i4e07fbd10bb74936a8ddc40b47fe25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819" w:type="dxa"/>
        <w:jc w:val="left"/>
        <w:tblInd w:w="0" w:type="dxa"/>
        <w:tblLayout w:type="fixed"/>
        <w:tblCellMar>
          <w:top w:w="28" w:type="dxa"/>
          <w:left w:w="28" w:type="dxa"/>
          <w:bottom w:w="28" w:type="dxa"/>
          <w:right w:w="28" w:type="dxa"/>
        </w:tblCellMar>
      </w:tblPr>
      <w:tblGrid>
        <w:gridCol w:w="705"/>
        <w:gridCol w:w="621"/>
        <w:gridCol w:w="624"/>
        <w:gridCol w:w="1131"/>
        <w:gridCol w:w="1131"/>
        <w:gridCol w:w="160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Dinakar Munagala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Harminder Sehmi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BLAIZE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NON-EMPLOYEE DIRECTOR COMPENSATION PROGRAM</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ind w:left="0" w:right="0" w:firstLine="816"/>
        <w:jc w:val="both"/>
        <w:rPr/>
      </w:pPr>
      <w:r>
        <w:rPr>
          <w:rFonts w:ascii="Times New Roman;serif" w:hAnsi="Times New Roman;serif"/>
          <w:b w:val="false"/>
          <w:color w:val="000000"/>
          <w:sz w:val="22"/>
        </w:rPr>
        <w:t>Eligible Directors (as defined below) on the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of Blaize Holdings,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shall be eligible to receive cash and equity compensation as set forth in this Amended and Restated Non-Employee Director Compensation Program (this “</w:t>
      </w:r>
      <w:r>
        <w:rPr>
          <w:rFonts w:ascii="Times New Roman;serif" w:hAnsi="Times New Roman;serif"/>
          <w:b/>
          <w:i/>
          <w:color w:val="000000"/>
          <w:sz w:val="22"/>
        </w:rPr>
        <w:t>Program</w:t>
      </w:r>
      <w:r>
        <w:rPr>
          <w:color w:val="000000"/>
        </w:rPr>
        <w:t>”</w:t>
      </w:r>
      <w:r>
        <w:rPr>
          <w:rFonts w:ascii="Times New Roman;serif" w:hAnsi="Times New Roman;serif"/>
          <w:b w:val="false"/>
          <w:color w:val="000000"/>
          <w:sz w:val="22"/>
        </w:rPr>
        <w:t>). This Program amends and restates in its entirety the Company’s Non-Employee Director Compensation Program, which originally became effective on January 13, 2025, and was amended and restated on March 3, 205. The cash and equity compensation described in this Program shall be paid or made, as applicable, automatically as set forth herein and without further action of the Board, to each member of the Board who is not an employee of the Company or any of its parents or subsidiaries and who is determined by the Board to be eligible to receive compensation under this Program (each, an “</w:t>
      </w:r>
      <w:r>
        <w:rPr>
          <w:rFonts w:ascii="Times New Roman;serif" w:hAnsi="Times New Roman;serif"/>
          <w:b/>
          <w:i/>
          <w:color w:val="000000"/>
          <w:sz w:val="22"/>
        </w:rPr>
        <w:t>Eligible Director</w:t>
      </w:r>
      <w:r>
        <w:rPr>
          <w:color w:val="000000"/>
        </w:rPr>
        <w:t>”</w:t>
      </w:r>
      <w:r>
        <w:rPr>
          <w:rFonts w:ascii="Times New Roman;serif" w:hAnsi="Times New Roman;serif"/>
          <w:b w:val="false"/>
          <w:color w:val="000000"/>
          <w:sz w:val="22"/>
        </w:rPr>
        <w:t xml:space="preserve">), who may be eligible to receive such cash or equity compensation, unless such Eligible Director declines the receipt of such cash or equity compensation by written notice to the Company. </w:t>
      </w:r>
    </w:p>
    <w:p>
      <w:pPr>
        <w:pStyle w:val="TextBody"/>
        <w:bidi w:val="0"/>
        <w:spacing w:lineRule="auto" w:line="288" w:before="0" w:after="240"/>
        <w:ind w:left="0" w:right="0" w:firstLine="816"/>
        <w:jc w:val="both"/>
        <w:rPr/>
      </w:pPr>
      <w:r>
        <w:rPr>
          <w:rFonts w:ascii="Times New Roman;serif" w:hAnsi="Times New Roman;serif"/>
          <w:b w:val="false"/>
          <w:color w:val="000000"/>
          <w:sz w:val="22"/>
        </w:rPr>
        <w:t>This Program shall be effective as of July 7, 2026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xml:space="preserve">)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 </w:t>
      </w:r>
    </w:p>
    <w:p>
      <w:pPr>
        <w:pStyle w:val="TextBody"/>
        <w:bidi w:val="0"/>
        <w:spacing w:lineRule="auto" w:line="28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Cash Compensation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Annual Retainers</w:t>
      </w:r>
      <w:r>
        <w:rPr>
          <w:rFonts w:ascii="Times New Roman;serif" w:hAnsi="Times New Roman;serif"/>
          <w:b w:val="false"/>
          <w:color w:val="000000"/>
          <w:sz w:val="22"/>
        </w:rPr>
        <w:t>. Each Eligible Director shall be eligible to receive an annual cash retainer of $80,000 for service on the Board.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Additional Annual Retainers</w:t>
      </w:r>
      <w:r>
        <w:rPr>
          <w:rFonts w:ascii="Times New Roman;serif" w:hAnsi="Times New Roman;serif"/>
          <w:b w:val="false"/>
          <w:color w:val="000000"/>
          <w:sz w:val="22"/>
        </w:rPr>
        <w:t>. An Eligible Director shall be eligible to receive the following additional annual retainers, as applicable: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Chairperson</w:t>
      </w:r>
      <w:r>
        <w:rPr>
          <w:rFonts w:ascii="Times New Roman;serif" w:hAnsi="Times New Roman;serif"/>
          <w:b w:val="false"/>
          <w:color w:val="000000"/>
          <w:sz w:val="22"/>
        </w:rPr>
        <w:t>. An Eligible Director serving as the Chairperson of the Board (other than an Executive Chairperson) shall be eligible to receive an additional annual retainer of $40,000 for such service.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2"/>
        </w:rPr>
        <w:t>(ii)</w:t>
      </w:r>
      <w:r>
        <w:rPr>
          <w:rFonts w:ascii="Times New Roman;serif" w:hAnsi="Times New Roman;serif"/>
          <w:b w:val="false"/>
          <w:color w:val="000000"/>
          <w:sz w:val="22"/>
          <w:u w:val="single"/>
        </w:rPr>
        <w:t>Audit Committee</w:t>
      </w:r>
      <w:r>
        <w:rPr>
          <w:rFonts w:ascii="Times New Roman;serif" w:hAnsi="Times New Roman;serif"/>
          <w:b w:val="false"/>
          <w:color w:val="000000"/>
          <w:sz w:val="22"/>
        </w:rPr>
        <w:t>. An Eligible Director serving as Chairperson of the Audit Committee shall be eligible to receive an additional annual retainer of $24,000 for such service. An Eligible Director serving as a member of the Audit Committee (other than the Chairperson) shall be eligible to receive an additional annual retainer of $16,000 for such service.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2"/>
        </w:rPr>
        <w:t>(iii)</w:t>
      </w:r>
      <w:r>
        <w:rPr>
          <w:rFonts w:ascii="Times New Roman;serif" w:hAnsi="Times New Roman;serif"/>
          <w:b w:val="false"/>
          <w:color w:val="000000"/>
          <w:sz w:val="22"/>
          <w:u w:val="single"/>
        </w:rPr>
        <w:t>Compensation Committee</w:t>
      </w:r>
      <w:r>
        <w:rPr>
          <w:rFonts w:ascii="Times New Roman;serif" w:hAnsi="Times New Roman;serif"/>
          <w:b w:val="false"/>
          <w:color w:val="000000"/>
          <w:sz w:val="22"/>
        </w:rPr>
        <w:t>. An Eligible Director serving as Chairperson of the Compensation Committee shall be eligible to receive an additional annual retainer of $20,000 for such service. An Eligible Director serving as a member of the Compensation Committee (other than the Chairperson) shall be eligible to receive an additional annual retainer of $14,000 for such service.</w:t>
      </w:r>
    </w:p>
    <w:p>
      <w:pPr>
        <w:pStyle w:val="TextBody"/>
        <w:bidi w:val="0"/>
        <w:spacing w:before="0" w:after="0"/>
        <w:jc w:val="left"/>
        <w:rPr/>
      </w:pPr>
      <w:r>
        <w:rPr/>
      </w:r>
    </w:p>
    <w:p>
      <w:pPr>
        <w:pStyle w:val="TextBody"/>
        <w:bidi w:val="0"/>
        <w:spacing w:lineRule="auto" w:line="288"/>
        <w:ind w:left="0" w:right="0" w:hanging="720"/>
        <w:jc w:val="left"/>
        <w:rPr/>
      </w:pPr>
      <w:r>
        <w:rPr>
          <w:rFonts w:ascii="Times New Roman;serif" w:hAnsi="Times New Roman;serif"/>
          <w:b w:val="false"/>
          <w:color w:val="000000"/>
          <w:sz w:val="22"/>
        </w:rPr>
        <w:t>(iv)</w:t>
      </w:r>
      <w:r>
        <w:rPr>
          <w:rFonts w:ascii="Times New Roman;serif" w:hAnsi="Times New Roman;serif"/>
          <w:b w:val="false"/>
          <w:color w:val="000000"/>
          <w:sz w:val="22"/>
          <w:u w:val="single"/>
        </w:rPr>
        <w:t>Nominating &amp; Governance Committee</w:t>
      </w:r>
      <w:r>
        <w:rPr>
          <w:rFonts w:ascii="Times New Roman;serif" w:hAnsi="Times New Roman;serif"/>
          <w:b w:val="false"/>
          <w:color w:val="000000"/>
          <w:sz w:val="22"/>
        </w:rPr>
        <w:t>. An Eligible Director serving as Chairperson of the Nominating &amp; Governance Committee shall be eligible to receive an additional annual retainer of $20,000 for such service. An Eligible Director serving as a member of the Nominating &amp; Governance Committee (other than the Chairperson) shall be eligible to receive an additional annual retainer of $14,000 for such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Payment of Retainers</w:t>
      </w:r>
      <w:r>
        <w:rPr>
          <w:rFonts w:ascii="Times New Roman;serif" w:hAnsi="Times New Roman;serif"/>
          <w:b w:val="false"/>
          <w:color w:val="000000"/>
          <w:sz w:val="22"/>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Equity Compensation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Eligible Directors shall be granted the Initial Awards and Annual Awards described below (collectively, “</w:t>
      </w:r>
      <w:r>
        <w:rPr>
          <w:rFonts w:ascii="Times New Roman;serif" w:hAnsi="Times New Roman;serif"/>
          <w:b/>
          <w:i/>
          <w:color w:val="000000"/>
          <w:sz w:val="22"/>
        </w:rPr>
        <w:t>Director Awards</w:t>
      </w:r>
      <w:r>
        <w:rPr>
          <w:color w:val="000000"/>
        </w:rPr>
        <w:t>”</w:t>
      </w:r>
      <w:r>
        <w:rPr>
          <w:rFonts w:ascii="Times New Roman;serif" w:hAnsi="Times New Roman;serif"/>
          <w:b w:val="false"/>
          <w:color w:val="000000"/>
          <w:sz w:val="22"/>
        </w:rPr>
        <w:t>). The Director Awards described below shall be granted under and shall be subject to the terms and provisions of the Company’s 2025 Incentive Award Plan (the “</w:t>
      </w:r>
      <w:r>
        <w:rPr>
          <w:rFonts w:ascii="Times New Roman;serif" w:hAnsi="Times New Roman;serif"/>
          <w:b/>
          <w:i/>
          <w:color w:val="000000"/>
          <w:sz w:val="22"/>
        </w:rPr>
        <w:t>2025 Plan</w:t>
      </w:r>
      <w:r>
        <w:rPr>
          <w:color w:val="000000"/>
        </w:rPr>
        <w:t>”</w:t>
      </w:r>
      <w:r>
        <w:rPr>
          <w:rFonts w:ascii="Times New Roman;serif" w:hAnsi="Times New Roman;serif"/>
          <w:b w:val="false"/>
          <w:color w:val="000000"/>
          <w:sz w:val="22"/>
        </w:rPr>
        <w:t>), or any other applicable Company equity incentive plan then-maintained by the Company (the 2025 Plan or such other plan, in any case, as may be amended from time to time, the “</w:t>
      </w:r>
      <w:r>
        <w:rPr>
          <w:rFonts w:ascii="Times New Roman;serif" w:hAnsi="Times New Roman;serif"/>
          <w:b/>
          <w:i/>
          <w:color w:val="000000"/>
          <w:sz w:val="22"/>
        </w:rPr>
        <w:t>Equity Plan</w:t>
      </w:r>
      <w:r>
        <w:rPr>
          <w:color w:val="000000"/>
        </w:rPr>
        <w:t>”</w:t>
      </w:r>
      <w:r>
        <w:rPr>
          <w:rFonts w:ascii="Times New Roman;serif" w:hAnsi="Times New Roman;serif"/>
          <w:b w:val="false"/>
          <w:color w:val="000000"/>
          <w:sz w:val="22"/>
        </w:rPr>
        <w:t>) and may be granted subject to the execution and delivery of award agreements, including any exhibits thereto, in substantially the forms approved by the Board prior to or in connection with such grants. All applicable terms of the Equity Plan apply to this Program as if fully set forth herein, and all grants of Director Awards hereby are subject in all respects to the terms of the Equity Plan.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Initial Awards</w:t>
      </w:r>
      <w:r>
        <w:rPr>
          <w:rFonts w:ascii="Times New Roman;serif" w:hAnsi="Times New Roman;serif"/>
          <w:b w:val="false"/>
          <w:color w:val="000000"/>
          <w:sz w:val="22"/>
        </w:rPr>
        <w:t>. Each Eligible Director who is initially elected or appointed to serve on the Board after the Effective Date shall be granted an award (an “</w:t>
      </w:r>
      <w:r>
        <w:rPr>
          <w:rFonts w:ascii="Times New Roman;serif" w:hAnsi="Times New Roman;serif"/>
          <w:b/>
          <w:i/>
          <w:color w:val="000000"/>
          <w:sz w:val="22"/>
        </w:rPr>
        <w:t>Initial Award</w:t>
      </w:r>
      <w:r>
        <w:rPr>
          <w:color w:val="000000"/>
        </w:rPr>
        <w:t>”</w:t>
      </w:r>
      <w:r>
        <w:rPr>
          <w:rFonts w:ascii="Times New Roman;serif" w:hAnsi="Times New Roman;serif"/>
          <w:b w:val="false"/>
          <w:color w:val="000000"/>
          <w:sz w:val="22"/>
        </w:rPr>
        <w:t>) in the form of restricted stock units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with the number of RSUs subject to each Initial Award determined by dividing (i) $600,000 by (ii) the average closing trading price of the Company’s common stock over the 20 consecutive trading days ending with the trading day immediately preceding the applicable grant date, rounded down to the nearest whole RSU. Each Initial Award shall be automatically granted on the date on which such Eligible Director is appointed or elected to serve on the Board and shall vest with respect to one-third of the RSUs subject thereto on each of the first three (3) anniversaries of the applicable grant date, subject to the Eligible Director’s continued service on the Board through the applicable vesting date.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Annual Awards</w:t>
      </w:r>
      <w:r>
        <w:rPr>
          <w:rFonts w:ascii="Times New Roman;serif" w:hAnsi="Times New Roman;serif"/>
          <w:b w:val="false"/>
          <w:color w:val="000000"/>
          <w:sz w:val="22"/>
        </w:rPr>
        <w:t>. Each Eligible Director who (i) is serving on the Board as of the date of any annual meeting of the Company’s stockholders (the “</w:t>
      </w:r>
      <w:r>
        <w:rPr>
          <w:rFonts w:ascii="Times New Roman;serif" w:hAnsi="Times New Roman;serif"/>
          <w:b/>
          <w:i/>
          <w:color w:val="000000"/>
          <w:sz w:val="22"/>
        </w:rPr>
        <w:t>Annual Meeting</w:t>
      </w:r>
      <w:r>
        <w:rPr>
          <w:color w:val="000000"/>
        </w:rPr>
        <w:t>”</w:t>
      </w:r>
      <w:r>
        <w:rPr>
          <w:rFonts w:ascii="Times New Roman;serif" w:hAnsi="Times New Roman;serif"/>
          <w:b w:val="false"/>
          <w:color w:val="000000"/>
          <w:sz w:val="22"/>
        </w:rPr>
        <w:t>) after the Effective Date and (ii) will continue to serve on the Board immediately following such Annual Meeting, shall be automatically be granted an award (an “</w:t>
      </w:r>
      <w:r>
        <w:rPr>
          <w:rFonts w:ascii="Times New Roman;serif" w:hAnsi="Times New Roman;serif"/>
          <w:b/>
          <w:i/>
          <w:color w:val="000000"/>
          <w:sz w:val="22"/>
        </w:rPr>
        <w:t>Annual Award</w:t>
      </w:r>
      <w:r>
        <w:rPr>
          <w:color w:val="000000"/>
        </w:rPr>
        <w:t>”</w:t>
      </w:r>
      <w:r>
        <w:rPr>
          <w:rFonts w:ascii="Times New Roman;serif" w:hAnsi="Times New Roman;serif"/>
          <w:b w:val="false"/>
          <w:color w:val="000000"/>
          <w:sz w:val="22"/>
        </w:rPr>
        <w:t>) in the form of RSUs, with the number of RSUs subject to each Annual Award determined by dividing (i) $200,000 by (ii) the average closing trading price of the Company’s common stock over the 20 consecutive trading days ending with the trading day immediately preceding the applicable grant date, rounded down to the nearest whole RSU. Each Annual Award shall be automatically granted on the date of such Annual Meeting and shall vest in full on the earlier to occur of (x) the one-year anniversary of the applicable grant date and (y) the date of the next Annual Meeting following the grant date, subject to the Eligible Director’s continued service on the Board through the applicable vesting date.</w:t>
      </w:r>
    </w:p>
    <w:p>
      <w:pPr>
        <w:pStyle w:val="TextBody"/>
        <w:bidi w:val="0"/>
        <w:spacing w:before="0" w:after="0"/>
        <w:jc w:val="left"/>
        <w:rPr/>
      </w:pPr>
      <w:r>
        <w:rPr/>
      </w:r>
    </w:p>
    <w:p>
      <w:pPr>
        <w:pStyle w:val="TextBody"/>
        <w:bidi w:val="0"/>
        <w:spacing w:lineRule="auto" w:line="288"/>
        <w:ind w:left="0" w:right="0" w:hanging="36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Termination of Employment of Employee Directors</w:t>
      </w:r>
      <w:r>
        <w:rPr>
          <w:rFonts w:ascii="Times New Roman;serif" w:hAnsi="Times New Roman;serif"/>
          <w:b w:val="false"/>
          <w:color w:val="000000"/>
          <w:sz w:val="22"/>
        </w:rPr>
        <w:t xml:space="preserve">. Members of the Board who are employees of the Company or any subsidiary of the Company who subsequently terminate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their employment and remain on the Board will not receive Initial Awards or Pro-Rated Annual Awards, but to the extent that they otherwise become entitled to compensation under this Program after such employment terminates, will be eligible to receive, after termination of employment with the Company and any subsidiary of the Company, Annual Awards.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Accelerated Vesting</w:t>
      </w:r>
      <w:r>
        <w:rPr>
          <w:rFonts w:ascii="Times New Roman;serif" w:hAnsi="Times New Roman;serif"/>
          <w:b w:val="false"/>
          <w:color w:val="000000"/>
          <w:sz w:val="22"/>
        </w:rPr>
        <w:t>. Notwithstanding anything herein to the contrary, an Eligible Director’s Director Award(s) shall vest in full immediately prior to the occurrence of a Change in Control (as defined in the 2025 Plan, or any similar or like term as defined in the then applicable Equity Plan), subject to the Eligible Director’s continued service on the Board until immediately prior to such Change in Control, to the extent outstanding at such time, if the Eligible Director will not become, as of immediately following such Change in Control, a member of the Board or the board of directors of the successor to the Company (or any parent thereof).</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Registration Statement</w:t>
      </w:r>
      <w:r>
        <w:rPr>
          <w:rFonts w:ascii="Times New Roman;serif" w:hAnsi="Times New Roman;serif"/>
          <w:b w:val="false"/>
          <w:color w:val="000000"/>
          <w:sz w:val="22"/>
        </w:rPr>
        <w:t>. Notwithstanding anything to the contrary in this Program, if, as of the date on which any Director Award is scheduled to be automatically granted pursuant to this Program, the Company has not yet filed with the Securities and Exchange Commission a Form S-8 Registration Statement covering the shares of Company common stock subject to the Director Award, the Director Award shall instead be automatically granted upon the effectiveness of such Form S-8 Registration Statement (subject to the Eligible Director’s continued service on the Board through the date of such effectiveness).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Compensation Limits</w:t>
      </w:r>
      <w:r>
        <w:rPr>
          <w:rFonts w:ascii="Times New Roman;serif" w:hAnsi="Times New Roman;serif"/>
          <w:b w:val="false"/>
          <w:color w:val="000000"/>
          <w:sz w:val="22"/>
        </w:rPr>
        <w:t>. Notwithstanding anything to the contrary in this Program, all compensation payable under this Program will be subject to any limits on the maximum amount of nonemployee director compensation set forth in the Equity Plan, as in effect from time to time.</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Dinakar Munagala,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of Blaize Holdings, Inc. on Form 10-Q for the period ended June 30, 2026 (the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676" w:type="dxa"/>
        <w:jc w:val="left"/>
        <w:tblInd w:w="0" w:type="dxa"/>
        <w:tblLayout w:type="fixed"/>
        <w:tblCellMar>
          <w:top w:w="28" w:type="dxa"/>
          <w:left w:w="28" w:type="dxa"/>
          <w:bottom w:w="28" w:type="dxa"/>
          <w:right w:w="28" w:type="dxa"/>
        </w:tblCellMar>
      </w:tblPr>
      <w:tblGrid>
        <w:gridCol w:w="179"/>
        <w:gridCol w:w="157"/>
        <w:gridCol w:w="159"/>
        <w:gridCol w:w="434"/>
        <w:gridCol w:w="434"/>
        <w:gridCol w:w="436"/>
        <w:gridCol w:w="109"/>
        <w:gridCol w:w="109"/>
        <w:gridCol w:w="109"/>
        <w:gridCol w:w="120"/>
        <w:gridCol w:w="120"/>
        <w:gridCol w:w="120"/>
        <w:gridCol w:w="639"/>
        <w:gridCol w:w="639"/>
        <w:gridCol w:w="912"/>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Dinakar Munagala</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Dinakar Munagala</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Harminder Sehmi,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of Blaize Holdings, Inc. on Form 10-Q for the period ended June 30, 2026 (the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801" w:type="dxa"/>
        <w:jc w:val="left"/>
        <w:tblInd w:w="0" w:type="dxa"/>
        <w:tblLayout w:type="fixed"/>
        <w:tblCellMar>
          <w:top w:w="28" w:type="dxa"/>
          <w:left w:w="28" w:type="dxa"/>
          <w:bottom w:w="28" w:type="dxa"/>
          <w:right w:w="28" w:type="dxa"/>
        </w:tblCellMar>
      </w:tblPr>
      <w:tblGrid>
        <w:gridCol w:w="179"/>
        <w:gridCol w:w="157"/>
        <w:gridCol w:w="159"/>
        <w:gridCol w:w="434"/>
        <w:gridCol w:w="434"/>
        <w:gridCol w:w="436"/>
        <w:gridCol w:w="109"/>
        <w:gridCol w:w="109"/>
        <w:gridCol w:w="109"/>
        <w:gridCol w:w="120"/>
        <w:gridCol w:w="120"/>
        <w:gridCol w:w="120"/>
        <w:gridCol w:w="970"/>
        <w:gridCol w:w="970"/>
        <w:gridCol w:w="1375"/>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Harminder Sehmi</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Harminder Sehmi</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Dinakar Munagala, certify pursuant to 18 U.S.C. Section 1350, as adopted pursuant to Section 906 of the Sarbanes-Oxley Act of 2002, that: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The Quarterly Report of Blaize Holdings, Inc. on Form 10-Q for the period ended June 30, 2026 (the “Quarterly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The information contained in the Quarterly Report fairly presents, in all material respects, the financial condition and results of operations of Blaize Holdings, Inc. for the periods presented therein.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676" w:type="dxa"/>
        <w:jc w:val="left"/>
        <w:tblInd w:w="0" w:type="dxa"/>
        <w:tblLayout w:type="fixed"/>
        <w:tblCellMar>
          <w:top w:w="28" w:type="dxa"/>
          <w:left w:w="28" w:type="dxa"/>
          <w:bottom w:w="28" w:type="dxa"/>
          <w:right w:w="28" w:type="dxa"/>
        </w:tblCellMar>
      </w:tblPr>
      <w:tblGrid>
        <w:gridCol w:w="179"/>
        <w:gridCol w:w="157"/>
        <w:gridCol w:w="159"/>
        <w:gridCol w:w="434"/>
        <w:gridCol w:w="434"/>
        <w:gridCol w:w="436"/>
        <w:gridCol w:w="109"/>
        <w:gridCol w:w="109"/>
        <w:gridCol w:w="109"/>
        <w:gridCol w:w="120"/>
        <w:gridCol w:w="120"/>
        <w:gridCol w:w="120"/>
        <w:gridCol w:w="639"/>
        <w:gridCol w:w="639"/>
        <w:gridCol w:w="912"/>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Dinakar Munagala</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Dinakar Munagala</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Harminder Sehmi, certify pursuant to 18 U.S.C. Section 1350, as adopted pursuant to Section 906 of the Sarbanes-Oxley Act of 2002, that: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The Quarterly Report of Blaize Holdings, Inc. on Form 10-Q for the period ended June 30, 2026 (the “Quarterly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The information contained in the Quarterly Report fairly presents, in all material respects, the financial condition and results of operations of Blaize Holdings, Inc. for the periods presented therein.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801" w:type="dxa"/>
        <w:jc w:val="left"/>
        <w:tblInd w:w="0" w:type="dxa"/>
        <w:tblLayout w:type="fixed"/>
        <w:tblCellMar>
          <w:top w:w="28" w:type="dxa"/>
          <w:left w:w="28" w:type="dxa"/>
          <w:bottom w:w="28" w:type="dxa"/>
          <w:right w:w="28" w:type="dxa"/>
        </w:tblCellMar>
      </w:tblPr>
      <w:tblGrid>
        <w:gridCol w:w="179"/>
        <w:gridCol w:w="157"/>
        <w:gridCol w:w="159"/>
        <w:gridCol w:w="434"/>
        <w:gridCol w:w="434"/>
        <w:gridCol w:w="436"/>
        <w:gridCol w:w="109"/>
        <w:gridCol w:w="109"/>
        <w:gridCol w:w="109"/>
        <w:gridCol w:w="120"/>
        <w:gridCol w:w="120"/>
        <w:gridCol w:w="120"/>
        <w:gridCol w:w="970"/>
        <w:gridCol w:w="970"/>
        <w:gridCol w:w="1375"/>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Harminder Sehmi</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Harminder Sehmi</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1638/000187163826000037/ex101-blaizexbesssettlemen.htm" TargetMode="External"/><Relationship Id="rId3" Type="http://schemas.openxmlformats.org/officeDocument/2006/relationships/hyperlink" Target="https://www.sec.gov/Archives/edgar/data/1871638/000187163826000037/ex101-blaizexbesssettlemen.htm" TargetMode="External"/><Relationship Id="rId4" Type="http://schemas.openxmlformats.org/officeDocument/2006/relationships/hyperlink" Target="https://www.sec.gov/Archives/edgar/data/1871638/000187163826000037/ex101-blaizexbesssettlemen.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25825</Words>
  <Characters>140507</Characters>
  <CharactersWithSpaces>164590</CharactersWithSpaces>
  <Paragraphs>2917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