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706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7061200"/>
                    </a:xfrm>
                    <a:prstGeom prst="rect">
                      <a:avLst/>
                    </a:prstGeom>
                    <a:noFill/>
                  </pic:spPr>
                </pic:pic>
              </a:graphicData>
            </a:graphic>
          </wp:anchor>
        </w:drawing>
      </w:r>
    </w:p>
    <w:p>
      <w:pPr>
        <w:spacing w:after="0" w:line="1082" w:lineRule="exact"/>
        <w:rPr>
          <w:sz w:val="24"/>
          <w:szCs w:val="24"/>
          <w:color w:val="auto"/>
        </w:rPr>
      </w:pPr>
    </w:p>
    <w:p>
      <w:pPr>
        <w:sectPr>
          <w:pgSz w:w="11900" w:h="16889"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Munagala Dinakar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BLAIZE HOLDINGS,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4659 GOLDEN FOOTHILL PARKWAY, SUITE 206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Blaize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5" w:lineRule="exact"/>
        <w:rPr>
          <w:sz w:val="24"/>
          <w:szCs w:val="24"/>
          <w:color w:val="auto"/>
        </w:rPr>
      </w:pPr>
    </w:p>
    <w:p>
      <w:pPr>
        <w:sectPr>
          <w:pgSz w:w="11900" w:h="16889" w:orient="portrait"/>
          <w:cols w:equalWidth="0" w:num="3">
            <w:col w:w="3600" w:space="300"/>
            <w:col w:w="3117" w:space="720"/>
            <w:col w:w="3343"/>
          </w:cols>
          <w:pgMar w:left="460" w:top="214"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vMerge w:val="continue"/>
          </w:tcPr>
          <w:p>
            <w:pPr>
              <w:spacing w:after="0" w:line="20" w:lineRule="exact"/>
              <w:rPr>
                <w:sz w:val="1"/>
                <w:szCs w:val="1"/>
                <w:color w:val="auto"/>
              </w:rPr>
            </w:pPr>
          </w:p>
        </w:tc>
        <w:tc>
          <w:tcPr>
            <w:tcW w:w="3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560" w:type="dxa"/>
            <w:vAlign w:val="bottom"/>
            <w:vMerge w:val="restart"/>
          </w:tcPr>
          <w:p>
            <w:pPr>
              <w:ind w:left="340"/>
              <w:spacing w:after="0" w:line="143"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2"/>
        </w:trPr>
        <w:tc>
          <w:tcPr>
            <w:tcW w:w="11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0000FF"/>
              </w:rPr>
              <w:t>EL DORADO</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95762</w:t>
            </w:r>
          </w:p>
        </w:tc>
        <w:tc>
          <w:tcPr>
            <w:tcW w:w="66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HILLS</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80" w:type="dxa"/>
            <w:vAlign w:val="bottom"/>
          </w:tcPr>
          <w:p>
            <w:pPr>
              <w:ind w:left="4520"/>
              <w:spacing w:after="0" w:line="138" w:lineRule="exact"/>
              <w:rPr>
                <w:sz w:val="20"/>
                <w:szCs w:val="20"/>
                <w:color w:val="auto"/>
              </w:rPr>
            </w:pPr>
            <w:r>
              <w:rPr>
                <w:rFonts w:ascii="Arial" w:cs="Arial" w:eastAsia="Arial" w:hAnsi="Arial"/>
                <w:sz w:val="13"/>
                <w:szCs w:val="13"/>
                <w:color w:val="auto"/>
                <w:w w:val="94"/>
              </w:rPr>
              <w:t>Form filed by More than One Reporting</w:t>
            </w:r>
          </w:p>
        </w:tc>
        <w:tc>
          <w:tcPr>
            <w:tcW w:w="0" w:type="dxa"/>
            <w:vAlign w:val="bottom"/>
          </w:tcPr>
          <w:p>
            <w:pPr>
              <w:spacing w:after="0"/>
              <w:rPr>
                <w:sz w:val="1"/>
                <w:szCs w:val="1"/>
                <w:color w:val="auto"/>
              </w:rPr>
            </w:pPr>
          </w:p>
        </w:tc>
      </w:tr>
      <w:tr>
        <w:trPr>
          <w:trHeight w:val="130"/>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680" w:type="dxa"/>
            <w:vAlign w:val="bottom"/>
          </w:tcPr>
          <w:p>
            <w:pPr>
              <w:ind w:left="4520"/>
              <w:spacing w:after="0" w:line="105" w:lineRule="exact"/>
              <w:rPr>
                <w:sz w:val="20"/>
                <w:szCs w:val="20"/>
                <w:color w:val="auto"/>
              </w:rPr>
            </w:pPr>
            <w:r>
              <w:rPr>
                <w:rFonts w:ascii="Arial" w:cs="Arial" w:eastAsia="Arial" w:hAnsi="Arial"/>
                <w:sz w:val="11"/>
                <w:szCs w:val="11"/>
                <w:color w:val="auto"/>
              </w:rPr>
              <w:t>Person</w:t>
            </w:r>
          </w:p>
        </w:tc>
        <w:tc>
          <w:tcPr>
            <w:tcW w:w="0" w:type="dxa"/>
            <w:vAlign w:val="bottom"/>
          </w:tcPr>
          <w:p>
            <w:pPr>
              <w:spacing w:after="0"/>
              <w:rPr>
                <w:sz w:val="1"/>
                <w:szCs w:val="1"/>
                <w:color w:val="auto"/>
              </w:rPr>
            </w:pPr>
          </w:p>
        </w:tc>
      </w:tr>
      <w:tr>
        <w:trPr>
          <w:trHeight w:val="290"/>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04/17/2026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0.57</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6"/>
                <w:szCs w:val="16"/>
                <w:color w:val="0000FF"/>
              </w:rPr>
              <w:t>601,422</w:t>
            </w:r>
            <w:r>
              <w:rPr>
                <w:rFonts w:ascii="Times New Roman" w:cs="Times New Roman" w:eastAsia="Times New Roman" w:hAnsi="Times New Roman"/>
                <w:sz w:val="20"/>
                <w:szCs w:val="20"/>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04/17/2026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0"/>
                <w:szCs w:val="20"/>
                <w:color w:val="008000"/>
                <w:vertAlign w:val="superscript"/>
              </w:rPr>
              <w:t>(3)</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2.54</w:t>
            </w:r>
            <w:r>
              <w:rPr>
                <w:rFonts w:ascii="Times New Roman" w:cs="Times New Roman" w:eastAsia="Times New Roman" w:hAnsi="Times New Roman"/>
                <w:sz w:val="20"/>
                <w:szCs w:val="20"/>
                <w:color w:val="008000"/>
                <w:vertAlign w:val="superscript"/>
              </w:rPr>
              <w:t>(4)</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6"/>
                <w:szCs w:val="16"/>
                <w:color w:val="0000FF"/>
              </w:rPr>
              <w:t>551,422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0"/>
                <w:szCs w:val="20"/>
                <w:color w:val="008000"/>
                <w:vertAlign w:val="superscript"/>
              </w:rPr>
              <w:t>(1)</w:t>
            </w: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60" w:type="dxa"/>
            <w:vAlign w:val="bottom"/>
          </w:tcPr>
          <w:p>
            <w:pPr>
              <w:spacing w:after="0"/>
              <w:rPr>
                <w:sz w:val="11"/>
                <w:szCs w:val="11"/>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040" w:type="dxa"/>
            <w:vAlign w:val="bottom"/>
            <w:vMerge w:val="restart"/>
          </w:tcPr>
          <w:p>
            <w:pPr>
              <w:jc w:val="right"/>
              <w:ind w:right="162"/>
              <w:spacing w:after="0" w:line="138" w:lineRule="exact"/>
              <w:rPr>
                <w:sz w:val="20"/>
                <w:szCs w:val="20"/>
                <w:color w:val="auto"/>
              </w:rPr>
            </w:pPr>
            <w:r>
              <w:rPr>
                <w:rFonts w:ascii="Times New Roman" w:cs="Times New Roman" w:eastAsia="Times New Roman" w:hAnsi="Times New Roman"/>
                <w:sz w:val="13"/>
                <w:szCs w:val="13"/>
                <w:color w:val="0000FF"/>
              </w:rPr>
              <w:t>04/17/2026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09/18/2033</w:t>
            </w: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4,100,347</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2,421,971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6"/>
              </w:rPr>
              <w:t>2,421,971</w:t>
            </w: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01/13/2030</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1,371,303</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6"/>
              </w:rPr>
              <w:t>1,371,303</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95"/>
              </w:rPr>
              <w:t>(10)</w:t>
            </w:r>
          </w:p>
        </w:tc>
        <w:tc>
          <w:tcPr>
            <w:tcW w:w="68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5,755,192</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10/23/2034</w:t>
            </w: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6"/>
              </w:rPr>
              <w:t>5,755,192</w:t>
            </w: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95"/>
              </w:rPr>
              <w:t>(11)</w:t>
            </w:r>
          </w:p>
        </w:tc>
        <w:tc>
          <w:tcPr>
            <w:tcW w:w="68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114,650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03/15/2027</w:t>
            </w: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114,650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95"/>
              </w:rPr>
              <w:t>(11)</w:t>
            </w:r>
          </w:p>
        </w:tc>
        <w:tc>
          <w:tcPr>
            <w:tcW w:w="68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176,503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11/12/2028</w:t>
            </w: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176,503</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exercise of 50,000 stock options underlying 50,000 shares of the Issuer's common stock was effected pursuant to a Rule 10b5-1 trading plan adopted by the reporting person on December 12, 2025 (the "10b5-1 trading plan").</w:t>
      </w:r>
    </w:p>
    <w:p>
      <w:pPr>
        <w:spacing w:after="0" w:line="22"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reporting person's prior Form 4 filings, earnout shares and unvested restricted stock units had been reported in Table I. These holdings have been moved to Table II, and there have been no transactions in such holdings since the reporting person's last Form 4 filing.</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the reporting person's Rule 10b5-1 trading plan.</w:t>
      </w:r>
    </w:p>
    <w:p>
      <w:pPr>
        <w:spacing w:after="0" w:line="38"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 to $2.63, inclusive. Upon request by the SEC staff, the Issuer, or any security holder of the Issuer, full information regarding the number of shares sold at each separate price will be provided.</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36 substantially equal monthly installments beginning on October 19, 2023.</w:t>
      </w:r>
    </w:p>
    <w:p>
      <w:pPr>
        <w:spacing w:after="0" w:line="38" w:lineRule="exact"/>
        <w:rPr>
          <w:rFonts w:ascii="Times New Roman" w:cs="Times New Roman" w:eastAsia="Times New Roman" w:hAnsi="Times New Roman"/>
          <w:sz w:val="13"/>
          <w:szCs w:val="13"/>
          <w:color w:val="008000"/>
        </w:rPr>
      </w:pPr>
    </w:p>
    <w:p>
      <w:pPr>
        <w:ind w:left="40" w:right="160" w:hanging="2"/>
        <w:spacing w:after="0" w:line="292"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25% on December 1, 2027, and quarterly thereafter commencing on March 1, 2028.</w:t>
      </w:r>
    </w:p>
    <w:p>
      <w:pPr>
        <w:spacing w:after="0" w:line="38" w:lineRule="exact"/>
        <w:rPr>
          <w:rFonts w:ascii="Times New Roman" w:cs="Times New Roman" w:eastAsia="Times New Roman" w:hAnsi="Times New Roman"/>
          <w:sz w:val="13"/>
          <w:szCs w:val="13"/>
          <w:color w:val="008000"/>
        </w:rPr>
      </w:pPr>
    </w:p>
    <w:p>
      <w:pPr>
        <w:ind w:left="40" w:right="400" w:hanging="2"/>
        <w:spacing w:after="0" w:line="331"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w:t>
      </w:r>
    </w:p>
    <w:p>
      <w:pPr>
        <w:sectPr>
          <w:pgSz w:w="11900" w:h="16889" w:orient="portrait"/>
          <w:cols w:equalWidth="0" w:num="1">
            <w:col w:w="11080"/>
          </w:cols>
          <w:pgMar w:left="460" w:top="214" w:right="359" w:bottom="0" w:gutter="0" w:footer="0" w:header="0"/>
          <w:type w:val="continuous"/>
        </w:sectPr>
      </w:pPr>
    </w:p>
    <w:bookmarkStart w:id="1" w:name="page2"/>
    <w:bookmarkEnd w:id="1"/>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July 1, 2025 and thereafter in 24 equal monthly installments.</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to purchase one share of the Issuer's common stock for each stock option is fully vested and exercisable.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Harminder Sehmi,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998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694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382" w:space="380"/>
            <w:col w:w="1199"/>
          </w:cols>
          <w:pgMar w:left="498" w:top="127" w:right="1440" w:bottom="1440" w:gutter="0" w:footer="0" w:header="0"/>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8309"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2026-04-20T17:38:57Z</dcterms:created>
  <dcterms:modified xsi:type="dcterms:W3CDTF">2026-04-20T17:38:57Z</dcterms:modified>
</cp:coreProperties>
</file>