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December 5, 2024</w:t>
      </w:r>
    </w:p>
    <w:p>
      <w:pPr>
        <w:spacing w:after="0" w:line="13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BURTECH ACQUISITION CORP.</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4"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620" w:type="dxa"/>
            <w:vAlign w:val="bottom"/>
          </w:tcPr>
          <w:p>
            <w:pPr>
              <w:jc w:val="right"/>
              <w:ind w:right="1500"/>
              <w:spacing w:after="0"/>
              <w:rPr>
                <w:sz w:val="20"/>
                <w:szCs w:val="20"/>
                <w:color w:val="auto"/>
              </w:rPr>
            </w:pPr>
            <w:r>
              <w:rPr>
                <w:rFonts w:ascii="Times New Roman" w:cs="Times New Roman" w:eastAsia="Times New Roman" w:hAnsi="Times New Roman"/>
                <w:sz w:val="12"/>
                <w:szCs w:val="12"/>
                <w:b w:val="1"/>
                <w:bCs w:val="1"/>
                <w:color w:val="auto"/>
              </w:rPr>
              <w:t>001-41139</w:t>
            </w:r>
          </w:p>
        </w:tc>
        <w:tc>
          <w:tcPr>
            <w:tcW w:w="10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86-2708752</w:t>
            </w:r>
          </w:p>
        </w:tc>
      </w:tr>
      <w:tr>
        <w:trPr>
          <w:trHeight w:val="131"/>
        </w:trPr>
        <w:tc>
          <w:tcPr>
            <w:tcW w:w="3840" w:type="dxa"/>
            <w:vAlign w:val="bottom"/>
            <w:tcBorders>
              <w:top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w:t>
            </w:r>
            <w:r>
              <w:rPr>
                <w:rFonts w:ascii="Times New Roman" w:cs="Times New Roman" w:eastAsia="Times New Roman" w:hAnsi="Times New Roman"/>
                <w:sz w:val="12"/>
                <w:szCs w:val="12"/>
                <w:color w:val="auto"/>
                <w:w w:val="99"/>
              </w:rPr>
              <w:t>State or other jurisdiction</w:t>
            </w:r>
          </w:p>
        </w:tc>
        <w:tc>
          <w:tcPr>
            <w:tcW w:w="120" w:type="dxa"/>
            <w:vAlign w:val="bottom"/>
          </w:tcPr>
          <w:p>
            <w:pPr>
              <w:spacing w:after="0"/>
              <w:rPr>
                <w:sz w:val="11"/>
                <w:szCs w:val="11"/>
                <w:color w:val="auto"/>
              </w:rPr>
            </w:pPr>
          </w:p>
        </w:tc>
        <w:tc>
          <w:tcPr>
            <w:tcW w:w="3620" w:type="dxa"/>
            <w:vAlign w:val="bottom"/>
            <w:tcBorders>
              <w:top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rPr>
              <w:t>(Commission File Number)</w:t>
            </w:r>
          </w:p>
        </w:tc>
        <w:tc>
          <w:tcPr>
            <w:tcW w:w="100" w:type="dxa"/>
            <w:vAlign w:val="bottom"/>
          </w:tcPr>
          <w:p>
            <w:pPr>
              <w:spacing w:after="0"/>
              <w:rPr>
                <w:sz w:val="11"/>
                <w:szCs w:val="11"/>
                <w:color w:val="auto"/>
              </w:rPr>
            </w:pPr>
          </w:p>
        </w:tc>
        <w:tc>
          <w:tcPr>
            <w:tcW w:w="3620" w:type="dxa"/>
            <w:vAlign w:val="bottom"/>
            <w:tcBorders>
              <w:top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7"/>
              </w:rPr>
              <w:t>of incorporation)</w:t>
            </w:r>
          </w:p>
        </w:tc>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3"/>
        </w:trPr>
        <w:tc>
          <w:tcPr>
            <w:tcW w:w="3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3529 Porter St</w:t>
            </w:r>
          </w:p>
        </w:tc>
        <w:tc>
          <w:tcPr>
            <w:tcW w:w="3620" w:type="dxa"/>
            <w:vAlign w:val="bottom"/>
          </w:tcPr>
          <w:p>
            <w:pPr>
              <w:spacing w:after="0"/>
              <w:rPr>
                <w:sz w:val="23"/>
                <w:szCs w:val="23"/>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Washington, DC 20016</w:t>
            </w:r>
          </w:p>
        </w:tc>
        <w:tc>
          <w:tcPr>
            <w:tcW w:w="3620" w:type="dxa"/>
            <w:vAlign w:val="bottom"/>
          </w:tcPr>
          <w:p>
            <w:pPr>
              <w:spacing w:after="0"/>
              <w:rPr>
                <w:sz w:val="12"/>
                <w:szCs w:val="12"/>
                <w:color w:val="auto"/>
              </w:rPr>
            </w:pPr>
          </w:p>
        </w:tc>
      </w:tr>
      <w:tr>
        <w:trPr>
          <w:trHeight w:val="155"/>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9"/>
              </w:rPr>
              <w:t>(Address of principal executive offices, including zip code)</w:t>
            </w:r>
          </w:p>
        </w:tc>
        <w:tc>
          <w:tcPr>
            <w:tcW w:w="3620" w:type="dxa"/>
            <w:vAlign w:val="bottom"/>
          </w:tcPr>
          <w:p>
            <w:pPr>
              <w:spacing w:after="0"/>
              <w:rPr>
                <w:sz w:val="13"/>
                <w:szCs w:val="13"/>
                <w:color w:val="auto"/>
              </w:rPr>
            </w:pPr>
          </w:p>
        </w:tc>
      </w:tr>
      <w:tr>
        <w:trPr>
          <w:trHeight w:val="277"/>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(202) 600-5757</w:t>
            </w: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55"/>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p>
        </w:tc>
        <w:tc>
          <w:tcPr>
            <w:tcW w:w="3620" w:type="dxa"/>
            <w:vAlign w:val="bottom"/>
          </w:tcPr>
          <w:p>
            <w:pPr>
              <w:spacing w:after="0"/>
              <w:rPr>
                <w:sz w:val="13"/>
                <w:szCs w:val="13"/>
                <w:color w:val="auto"/>
              </w:rPr>
            </w:pPr>
          </w:p>
        </w:tc>
      </w:tr>
      <w:tr>
        <w:trPr>
          <w:trHeight w:val="277"/>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3620" w:type="dxa"/>
            <w:vAlign w:val="bottom"/>
          </w:tcPr>
          <w:p>
            <w:pPr>
              <w:spacing w:after="0"/>
              <w:rPr>
                <w:sz w:val="24"/>
                <w:szCs w:val="24"/>
                <w:color w:val="auto"/>
              </w:rPr>
            </w:pPr>
          </w:p>
        </w:tc>
      </w:tr>
      <w:tr>
        <w:trPr>
          <w:trHeight w:val="155"/>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w w:val="99"/>
              </w:rPr>
              <w:t>(Former name or former address, if changed since last report.)</w:t>
            </w:r>
          </w:p>
        </w:tc>
        <w:tc>
          <w:tcPr>
            <w:tcW w:w="3620" w:type="dxa"/>
            <w:vAlign w:val="bottom"/>
          </w:tcPr>
          <w:p>
            <w:pPr>
              <w:spacing w:after="0"/>
              <w:rPr>
                <w:sz w:val="13"/>
                <w:szCs w:val="13"/>
                <w:color w:val="auto"/>
              </w:rPr>
            </w:pPr>
          </w:p>
        </w:tc>
      </w:tr>
    </w:tbl>
    <w:p>
      <w:pPr>
        <w:spacing w:after="0" w:line="133" w:lineRule="exact"/>
        <w:rPr>
          <w:sz w:val="24"/>
          <w:szCs w:val="24"/>
          <w:color w:val="auto"/>
        </w:rPr>
      </w:pPr>
    </w:p>
    <w:p>
      <w:pPr>
        <w:ind w:left="42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28" w:hanging="228"/>
        <w:spacing w:after="0"/>
        <w:tabs>
          <w:tab w:leader="none" w:pos="22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7700" w:type="dxa"/>
            <w:vAlign w:val="bottom"/>
            <w:gridSpan w:val="5"/>
          </w:tcPr>
          <w:p>
            <w:pPr>
              <w:ind w:left="426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00" w:type="dxa"/>
            <w:vAlign w:val="bottom"/>
          </w:tcPr>
          <w:p>
            <w:pPr>
              <w:spacing w:after="0"/>
              <w:rPr>
                <w:sz w:val="13"/>
                <w:szCs w:val="13"/>
                <w:color w:val="auto"/>
              </w:rPr>
            </w:pPr>
          </w:p>
        </w:tc>
      </w:tr>
      <w:tr>
        <w:trPr>
          <w:trHeight w:val="273"/>
        </w:trPr>
        <w:tc>
          <w:tcPr>
            <w:tcW w:w="4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gridSpan w:val="3"/>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60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w w:val="98"/>
              </w:rPr>
              <w:t>Name of each exchange on</w:t>
            </w:r>
          </w:p>
        </w:tc>
      </w:tr>
      <w:tr>
        <w:trPr>
          <w:trHeight w:val="159"/>
        </w:trPr>
        <w:tc>
          <w:tcPr>
            <w:tcW w:w="4640" w:type="dxa"/>
            <w:vAlign w:val="bottom"/>
            <w:gridSpan w:val="2"/>
          </w:tcPr>
          <w:p>
            <w:pPr>
              <w:ind w:left="18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060" w:type="dxa"/>
            <w:vAlign w:val="bottom"/>
            <w:gridSpan w:val="3"/>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8"/>
              </w:rPr>
              <w:t>Symbol</w:t>
            </w:r>
          </w:p>
        </w:tc>
        <w:tc>
          <w:tcPr>
            <w:tcW w:w="360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which registered</w:t>
            </w:r>
          </w:p>
        </w:tc>
      </w:tr>
      <w:tr>
        <w:trPr>
          <w:trHeight w:val="122"/>
        </w:trPr>
        <w:tc>
          <w:tcPr>
            <w:tcW w:w="45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Units, each consisting of one share of Class A Common Stock and one Redeemable Warrant</w:t>
            </w:r>
          </w:p>
        </w:tc>
        <w:tc>
          <w:tcPr>
            <w:tcW w:w="120" w:type="dxa"/>
            <w:vAlign w:val="bottom"/>
          </w:tcPr>
          <w:p>
            <w:pPr>
              <w:spacing w:after="0"/>
              <w:rPr>
                <w:sz w:val="10"/>
                <w:szCs w:val="10"/>
                <w:color w:val="auto"/>
              </w:rPr>
            </w:pPr>
          </w:p>
        </w:tc>
        <w:tc>
          <w:tcPr>
            <w:tcW w:w="226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BRKHU</w:t>
            </w: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0" w:type="dxa"/>
            <w:vAlign w:val="bottom"/>
            <w:tcBorders>
              <w:top w:val="single" w:sz="8" w:color="auto"/>
            </w:tcBorders>
          </w:tcPr>
          <w:p>
            <w:pPr>
              <w:jc w:val="center"/>
              <w:ind w:right="640"/>
              <w:spacing w:after="0" w:line="122" w:lineRule="exact"/>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3060" w:type="dxa"/>
            <w:vAlign w:val="bottom"/>
            <w:gridSpan w:val="3"/>
          </w:tcPr>
          <w:p>
            <w:pPr>
              <w:jc w:val="center"/>
              <w:ind w:right="800"/>
              <w:spacing w:after="0"/>
              <w:rPr>
                <w:sz w:val="20"/>
                <w:szCs w:val="20"/>
                <w:color w:val="auto"/>
              </w:rPr>
            </w:pPr>
            <w:r>
              <w:rPr>
                <w:rFonts w:ascii="Times New Roman" w:cs="Times New Roman" w:eastAsia="Times New Roman" w:hAnsi="Times New Roman"/>
                <w:sz w:val="12"/>
                <w:szCs w:val="12"/>
                <w:color w:val="auto"/>
              </w:rPr>
              <w:t>BRKH</w:t>
            </w:r>
          </w:p>
        </w:tc>
        <w:tc>
          <w:tcPr>
            <w:tcW w:w="3600" w:type="dxa"/>
            <w:vAlign w:val="bottom"/>
          </w:tcPr>
          <w:p>
            <w:pPr>
              <w:jc w:val="center"/>
              <w:ind w:right="640"/>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55"/>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 each exercisable for one share of Class A Common Stock for $11.50 per share</w:t>
            </w:r>
          </w:p>
        </w:tc>
        <w:tc>
          <w:tcPr>
            <w:tcW w:w="3060" w:type="dxa"/>
            <w:vAlign w:val="bottom"/>
            <w:gridSpan w:val="3"/>
          </w:tcPr>
          <w:p>
            <w:pPr>
              <w:jc w:val="center"/>
              <w:ind w:right="820"/>
              <w:spacing w:after="0"/>
              <w:rPr>
                <w:sz w:val="20"/>
                <w:szCs w:val="20"/>
                <w:color w:val="auto"/>
              </w:rPr>
            </w:pPr>
            <w:r>
              <w:rPr>
                <w:rFonts w:ascii="Times New Roman" w:cs="Times New Roman" w:eastAsia="Times New Roman" w:hAnsi="Times New Roman"/>
                <w:sz w:val="12"/>
                <w:szCs w:val="12"/>
                <w:color w:val="auto"/>
                <w:w w:val="98"/>
              </w:rPr>
              <w:t>BRKHW</w:t>
            </w:r>
          </w:p>
        </w:tc>
        <w:tc>
          <w:tcPr>
            <w:tcW w:w="3600" w:type="dxa"/>
            <w:vAlign w:val="bottom"/>
          </w:tcPr>
          <w:p>
            <w:pPr>
              <w:jc w:val="center"/>
              <w:ind w:right="640"/>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77" w:lineRule="exact"/>
        <w:rPr>
          <w:sz w:val="24"/>
          <w:szCs w:val="24"/>
          <w:color w:val="auto"/>
        </w:rPr>
      </w:pPr>
    </w:p>
    <w:p>
      <w:pPr>
        <w:ind w:left="8" w:right="80" w:firstLine="432"/>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left="8" w:right="100" w:firstLine="432"/>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04" w:right="2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2"/>
          <w:szCs w:val="12"/>
          <w:color w:val="auto"/>
        </w:rPr>
        <w:t>As previously disclosed, on December 22, 2023, BurTech Acquisition Corp. (“</w:t>
      </w:r>
      <w:r>
        <w:rPr>
          <w:rFonts w:ascii="Times New Roman" w:cs="Times New Roman" w:eastAsia="Times New Roman" w:hAnsi="Times New Roman"/>
          <w:sz w:val="12"/>
          <w:szCs w:val="12"/>
          <w:b w:val="1"/>
          <w:bCs w:val="1"/>
          <w:color w:val="auto"/>
        </w:rPr>
        <w:t>BurTech</w:t>
      </w:r>
      <w:r>
        <w:rPr>
          <w:rFonts w:ascii="Times New Roman" w:cs="Times New Roman" w:eastAsia="Times New Roman" w:hAnsi="Times New Roman"/>
          <w:sz w:val="12"/>
          <w:szCs w:val="12"/>
          <w:color w:val="auto"/>
        </w:rPr>
        <w:t>”), BurTech Merger Sub Inc., a Delaware corporation and a direct, wholly owned subsidiary of BurTech (“</w:t>
      </w:r>
      <w:r>
        <w:rPr>
          <w:rFonts w:ascii="Times New Roman" w:cs="Times New Roman" w:eastAsia="Times New Roman" w:hAnsi="Times New Roman"/>
          <w:sz w:val="12"/>
          <w:szCs w:val="12"/>
          <w:b w:val="1"/>
          <w:bCs w:val="1"/>
          <w:color w:val="auto"/>
        </w:rPr>
        <w:t>Merger Sub</w:t>
      </w:r>
      <w:r>
        <w:rPr>
          <w:rFonts w:ascii="Times New Roman" w:cs="Times New Roman" w:eastAsia="Times New Roman" w:hAnsi="Times New Roman"/>
          <w:sz w:val="12"/>
          <w:szCs w:val="12"/>
          <w:color w:val="auto"/>
        </w:rPr>
        <w:t>”), Blaize, Inc., a Delaware corporation (“</w:t>
      </w:r>
      <w:r>
        <w:rPr>
          <w:rFonts w:ascii="Times New Roman" w:cs="Times New Roman" w:eastAsia="Times New Roman" w:hAnsi="Times New Roman"/>
          <w:sz w:val="12"/>
          <w:szCs w:val="12"/>
          <w:b w:val="1"/>
          <w:bCs w:val="1"/>
          <w:color w:val="auto"/>
        </w:rPr>
        <w:t>Blaize</w:t>
      </w:r>
      <w:r>
        <w:rPr>
          <w:rFonts w:ascii="Times New Roman" w:cs="Times New Roman" w:eastAsia="Times New Roman" w:hAnsi="Times New Roman"/>
          <w:sz w:val="12"/>
          <w:szCs w:val="12"/>
          <w:color w:val="auto"/>
        </w:rPr>
        <w:t>”), and for the limited purposes set forth therein, Burkhan Capital LLC, a Delaware limited liability company and affiliate of BurTech (“</w:t>
      </w:r>
      <w:r>
        <w:rPr>
          <w:rFonts w:ascii="Times New Roman" w:cs="Times New Roman" w:eastAsia="Times New Roman" w:hAnsi="Times New Roman"/>
          <w:sz w:val="12"/>
          <w:szCs w:val="12"/>
          <w:b w:val="1"/>
          <w:bCs w:val="1"/>
          <w:color w:val="auto"/>
        </w:rPr>
        <w:t>Burkhan</w:t>
      </w:r>
      <w:r>
        <w:rPr>
          <w:rFonts w:ascii="Times New Roman" w:cs="Times New Roman" w:eastAsia="Times New Roman" w:hAnsi="Times New Roman"/>
          <w:sz w:val="12"/>
          <w:szCs w:val="12"/>
          <w:color w:val="auto"/>
        </w:rPr>
        <w:t>”), entered into an Agreement and Plan of Merger (as amended on April 22, 2024, October 24, 2024 and November 21, 2024, and as may be further amended and/or amended and restated, the “</w:t>
      </w:r>
      <w:r>
        <w:rPr>
          <w:rFonts w:ascii="Times New Roman" w:cs="Times New Roman" w:eastAsia="Times New Roman" w:hAnsi="Times New Roman"/>
          <w:sz w:val="12"/>
          <w:szCs w:val="12"/>
          <w:b w:val="1"/>
          <w:bCs w:val="1"/>
          <w:color w:val="auto"/>
        </w:rPr>
        <w:t>Merger Agreement</w:t>
      </w:r>
      <w:r>
        <w:rPr>
          <w:rFonts w:ascii="Times New Roman" w:cs="Times New Roman" w:eastAsia="Times New Roman" w:hAnsi="Times New Roman"/>
          <w:sz w:val="12"/>
          <w:szCs w:val="12"/>
          <w:color w:val="auto"/>
        </w:rPr>
        <w:t>”), pursuant to which Merger Sub will merge (the “Merger ”) with and into Blaize, whereupon the separate corporate existence of Merger Sub will cease and Blaize will be the surviving company and continue in existence as a wholly owned subsidiary of BurTech, on the terms and subject to the conditions set forth therein (collectively with the other transactions described in the Merger Agreement, the “</w:t>
      </w:r>
      <w:r>
        <w:rPr>
          <w:rFonts w:ascii="Times New Roman" w:cs="Times New Roman" w:eastAsia="Times New Roman" w:hAnsi="Times New Roman"/>
          <w:sz w:val="12"/>
          <w:szCs w:val="12"/>
          <w:b w:val="1"/>
          <w:bCs w:val="1"/>
          <w:color w:val="auto"/>
        </w:rPr>
        <w:t>Business Combination</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Attached hereto as Exhibit 99.l and incorporated into this Item 7.01 by reference is an investor presentation that will be used in making presentations to potential investors into Blaize and the post-combination company with respect to the Business Combination.</w:t>
      </w:r>
    </w:p>
    <w:p>
      <w:pPr>
        <w:spacing w:after="0" w:line="10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color w:val="auto"/>
        </w:rPr>
        <w:t>The information in this Item 7.01 (including Exhibit 99.1) is being furnished and shall not be deemed to be filed for purposes of Section 18 of the Securities and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otherwise be subject to the liabilities of that section, nor shall it be deemed to be incorporated by reference in any filing under the Securities Act of 1933, as amended, or the Exchange Act.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Important Information About the Proposed Business Combination and Where to Find It</w:t>
      </w:r>
    </w:p>
    <w:p>
      <w:pPr>
        <w:spacing w:after="0" w:line="1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In connection with the Business Combination, BurTech has filed with the Securities and Exchange Commission (the “</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a Registration Statement on Form S-4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and the Registration Statement was declared effective on December 2, 2024. BurTech has mailed a definitive proxy statement/prospectus relating to the proposed transaction to its stockholders. This report does not contain all the information that should be considered concerning the proposed transaction and is not intended to form the basis of any investment decision or any other decision in respect of the proposed transaction. BurTech may file other documents regarding the proposed transaction with the SEC, and BurTech’s stockholders and other interested persons are advised to read the definitive proxy statement/prospectus and the other documents filed in connection with the proposed transaction, as these materials contain important information about Blaize, BurTech and the proposed transaction. The definitive proxy statement/prospectus and other relevant materials for the proposed transaction has been mailed to stockholders of BurTech as of the record date established for voting on the proposed transaction and the other matters to be voted upon at a meeting of BurTech’s stockholders to be held to approve the proposed transaction and such other matters. Such stockholders are able to obtain copies of the definitive proxy statement/prospectus and other documents filed with the SEC, without charge,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281940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Participants in Solicitation</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BurTech, Blaize, and their respective directors, executive officers, other members of management, and employees, under SEC rules, may be deemed to be participants in the solicitation of proxies from BurTech’s stockholders in connection with the proposed transaction. Information regarding the persons who may, under SEC rules, be deemed participants in the solicitation of BurTech’s stockholders in connection with the proposed transaction,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transaction may be obtained by reading the Registration Statement regarding the proposed transaction.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This press release is not a proxy statement or solicitation of a proxy, consent or authorization with respect to any securities or in respect of the proposed transaction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80"/>
          </w:cols>
          <w:pgMar w:left="300" w:top="647"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 Looking Statements</w:t>
      </w:r>
    </w:p>
    <w:p>
      <w:pPr>
        <w:spacing w:after="0" w:line="15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2"/>
          <w:szCs w:val="12"/>
          <w:color w:val="auto"/>
        </w:rPr>
        <w:t>This report contains forward-looking statements within the meaning of Section 27A of the U.S. Securities Act of 1933, as amended (the “</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xml:space="preserve">”), and Section 21E of the Exchange Act that are based on beliefs and assumptions and on information currently available to BurTech and Blaize including statements regarding Blaize’s business plans and growth strategies, market opportunities, and financial prospects.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previously disclosed proposed business combination (the “proposed transaction”) may not be completed in a timely manner or at all, which may adversely affect the price of BurTech’s securities; (ii) the risk that the proposed transaction may not be completed by BurTech’s business combination deadline and the potential failure to obtain an extension of the business combination deadline if sought by BurTech; (iii) the failure to satisfy the conditions to the consummation of the proposed transaction, including the approval of the proposed transaction by BurTech’s stockholders, the satisfaction of the minimum aggregate transaction proceeds amount following redemptions by BurTech’s public stockholders and the receipt of certain governmental and regulatory approvals; (iv) the failure to obtain adequate financing to complete the proposed transaction and to support the future working capital needs of Blaize and the combined company; (v) the effect of the pendency of the proposed transaction on Blaize’s business relationships, performance, and business generally; (vi) risks that the proposed transaction disrupts current plans of Blaize and potential difficulties in the retention of Blaize’s employees as a result of the proposed transaction; (vii) the outcome of any legal proceedings that may be instituted against BurTech or Blaize related to the merger agreement and the proposed transaction; (viii) changes to the proposed structure of the proposed transaction that may be required or appropriate as a result of applicable laws or regulations or as a condition to obtaining regulatory approval of the proposed transaction;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proposed transaction,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and (xiv) other risks and uncertainties set forth in the section entitled “Risk Factors” and “Cautionary Note Regarding Forward-Looking Statements” in BurTech’s Annual Reports on Form 10-K, Quarterly Reports on Form 10-Q and Current Reports on Form 8-K that are available on the website of the SEC at </w:t>
      </w:r>
      <w:r>
        <w:rPr>
          <w:rFonts w:ascii="Times New Roman" w:cs="Times New Roman" w:eastAsia="Times New Roman" w:hAnsi="Times New Roman"/>
          <w:sz w:val="12"/>
          <w:szCs w:val="12"/>
          <w:color w:val="467886"/>
        </w:rPr>
        <w:t>www.sec.gov</w:t>
      </w:r>
      <w:r>
        <w:rPr>
          <w:rFonts w:ascii="Times New Roman" w:cs="Times New Roman" w:eastAsia="Times New Roman" w:hAnsi="Times New Roman"/>
          <w:sz w:val="12"/>
          <w:szCs w:val="12"/>
          <w:color w:val="auto"/>
        </w:rPr>
        <w:t xml:space="preserve"> and other documents filed, or to be filed with the SEC by BurTech, including the Registration Statement (defined below).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described in the definitive proxy statement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 Exhibits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exhibits are being filed herewith:</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00" w:type="dxa"/>
            <w:vAlign w:val="bottom"/>
          </w:tcPr>
          <w:p>
            <w:pPr>
              <w:spacing w:after="0"/>
              <w:rPr>
                <w:sz w:val="13"/>
                <w:szCs w:val="13"/>
                <w:color w:val="auto"/>
              </w:rPr>
            </w:pPr>
          </w:p>
        </w:tc>
        <w:tc>
          <w:tcPr>
            <w:tcW w:w="9480" w:type="dxa"/>
            <w:vAlign w:val="bottom"/>
          </w:tcPr>
          <w:p>
            <w:pPr>
              <w:ind w:left="39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58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240" w:type="dxa"/>
            <w:vAlign w:val="bottom"/>
          </w:tcPr>
          <w:p>
            <w:pPr>
              <w:spacing w:after="0"/>
              <w:rPr>
                <w:sz w:val="9"/>
                <w:szCs w:val="9"/>
                <w:color w:val="auto"/>
              </w:rPr>
            </w:pPr>
          </w:p>
        </w:tc>
        <w:tc>
          <w:tcPr>
            <w:tcW w:w="1048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2"/>
                <w:szCs w:val="12"/>
                <w:color w:val="0000EE"/>
              </w:rPr>
              <w:t>Investor Presentation</w:t>
            </w:r>
          </w:p>
        </w:tc>
      </w:tr>
      <w:tr>
        <w:trPr>
          <w:trHeight w:val="20"/>
        </w:trPr>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BURTECH ACQUISITION CORP.</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Shahal Khan</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Shahal Khan</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December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 w:name="page6"/>
    <w:bookmarkEnd w:id="5"/>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114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218680" cy="4114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2024-12-06T05:09:56Z</dcterms:created>
  <dcterms:modified xsi:type="dcterms:W3CDTF">2024-12-06T05:09:56Z</dcterms:modified>
</cp:coreProperties>
</file>