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333-284365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10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February 13,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89,550,141 Shares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898,250 Warrants to Purchase Shares of 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29,698,250 Shares of Common Stock Issuable Upon Exercise of Warrants</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February 13, 2026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information contained in our Quarterly Report on Form 10-Q filed with the SEC on May 14, 2026, which is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May 13, 2026, the closing prices for our Common Stock and Warrants on the Nasdaq Stock Market LLC were $1.68 per share of Common Stock and $0.36 per Warrant.</w:t>
      </w:r>
    </w:p>
    <w:p>
      <w:pPr>
        <w:pStyle w:val="TextBody"/>
        <w:bidi w:val="0"/>
        <w:spacing w:lineRule="auto" w:line="288" w:before="0" w:after="0"/>
        <w:jc w:val="left"/>
        <w:rPr>
          <w:color w:val="000000"/>
        </w:rPr>
      </w:pP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288"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May 14,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14"/>
        <w:gridCol w:w="1800"/>
        <w:gridCol w:w="1824"/>
        <w:gridCol w:w="109"/>
        <w:gridCol w:w="109"/>
        <w:gridCol w:w="109"/>
        <w:gridCol w:w="405"/>
        <w:gridCol w:w="405"/>
        <w:gridCol w:w="407"/>
        <w:gridCol w:w="109"/>
        <w:gridCol w:w="109"/>
        <w:gridCol w:w="109"/>
        <w:gridCol w:w="728"/>
        <w:gridCol w:w="728"/>
        <w:gridCol w:w="1040"/>
      </w:tblGrid>
      <w:tr>
        <w:trPr/>
        <w:tc>
          <w:tcPr>
            <w:tcW w:w="221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Series A Junior Participating Preferred Stock, </w:t>
              <w:br/>
              <w:t>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May 14, 2026, there were 142,299,461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9390" w:type="dxa"/>
        <w:jc w:val="left"/>
        <w:tblInd w:w="0" w:type="dxa"/>
        <w:tblLayout w:type="fixed"/>
        <w:tblCellMar>
          <w:top w:w="28" w:type="dxa"/>
          <w:left w:w="28" w:type="dxa"/>
          <w:bottom w:w="28" w:type="dxa"/>
          <w:right w:w="28" w:type="dxa"/>
        </w:tblCellMar>
      </w:tblPr>
      <w:tblGrid>
        <w:gridCol w:w="3193"/>
        <w:gridCol w:w="2807"/>
        <w:gridCol w:w="2819"/>
        <w:gridCol w:w="167"/>
        <w:gridCol w:w="167"/>
        <w:gridCol w:w="237"/>
      </w:tblGrid>
      <w:tr>
        <w:trPr/>
        <w:tc>
          <w:tcPr>
            <w:tcW w:w="3193"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0">
              <w:r>
                <w:rPr>
                  <w:rStyle w:val="InternetLink"/>
                  <w:rFonts w:ascii="Times New Roman;serif" w:hAnsi="Times New Roman;serif"/>
                  <w:b w:val="false"/>
                  <w:strike w:val="false"/>
                  <w:dstrike w:val="false"/>
                  <w:color w:val="000000"/>
                  <w:sz w:val="20"/>
                  <w:u w:val="none"/>
                  <w:effect w:val="none"/>
                </w:rPr>
                <w:t>ii</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3">
              <w:r>
                <w:rPr>
                  <w:rStyle w:val="InternetLink"/>
                  <w:rFonts w:ascii="Times New Roman;serif" w:hAnsi="Times New Roman;serif"/>
                  <w:b w:val="false"/>
                  <w:strike w:val="false"/>
                  <w:dstrike w:val="false"/>
                  <w:color w:val="000000"/>
                  <w:sz w:val="20"/>
                  <w:u w:val="none"/>
                  <w:effect w:val="none"/>
                </w:rPr>
                <w:t>iii</w:t>
              </w:r>
            </w:hyperlink>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9">
              <w:r>
                <w:rPr>
                  <w:rStyle w:val="InternetLink"/>
                  <w:rFonts w:ascii="Times New Roman;serif" w:hAnsi="Times New Roman;serif"/>
                  <w:b w:val="false"/>
                  <w:strike w:val="false"/>
                  <w:dstrike w:val="false"/>
                  <w:color w:val="000000"/>
                  <w:sz w:val="20"/>
                  <w:u w:val="none"/>
                  <w:effect w:val="non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da47d377389042428988581ea05ea9e5_19">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9">
              <w:r>
                <w:rPr>
                  <w:rStyle w:val="InternetLink"/>
                  <w:rFonts w:ascii="Times New Roman;serif" w:hAnsi="Times New Roman;serif"/>
                  <w:b w:val="false"/>
                  <w:strike w:val="false"/>
                  <w:dstrike w:val="false"/>
                  <w:color w:val="000000"/>
                  <w:sz w:val="20"/>
                  <w:u w:val="none"/>
                  <w:effect w:val="non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22">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22">
              <w:r>
                <w:rPr>
                  <w:rStyle w:val="InternetLink"/>
                  <w:rFonts w:ascii="Times New Roman;serif" w:hAnsi="Times New Roman;serif"/>
                  <w:b w:val="false"/>
                  <w:strike w:val="false"/>
                  <w:dstrike w:val="false"/>
                  <w:color w:val="000000"/>
                  <w:sz w:val="20"/>
                  <w:u w:val="none"/>
                  <w:effect w:val="none"/>
                </w:rPr>
                <w:t>2</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da47d377389042428988581ea05ea9e5_25">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25">
              <w:r>
                <w:rPr>
                  <w:rStyle w:val="InternetLink"/>
                  <w:rFonts w:ascii="Times New Roman;serif" w:hAnsi="Times New Roman;serif"/>
                  <w:b w:val="false"/>
                  <w:strike w:val="false"/>
                  <w:dstrike w:val="false"/>
                  <w:color w:val="000000"/>
                  <w:sz w:val="20"/>
                  <w:u w:val="none"/>
                  <w:effect w:val="none"/>
                </w:rPr>
                <w:t>3</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da47d377389042428988581ea05ea9e5_28">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28">
              <w:r>
                <w:rPr>
                  <w:rStyle w:val="InternetLink"/>
                  <w:rFonts w:ascii="Times New Roman;serif" w:hAnsi="Times New Roman;serif"/>
                  <w:b w:val="false"/>
                  <w:strike w:val="false"/>
                  <w:dstrike w:val="false"/>
                  <w:color w:val="000000"/>
                  <w:sz w:val="20"/>
                  <w:u w:val="none"/>
                  <w:effect w:val="none"/>
                </w:rPr>
                <w:t>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31">
              <w:r>
                <w:rPr>
                  <w:rStyle w:val="InternetLink"/>
                  <w:rFonts w:ascii="Times New Roman;serif" w:hAnsi="Times New Roman;serif"/>
                  <w:b w:val="false"/>
                  <w:strike w:val="false"/>
                  <w:dstrike w:val="false"/>
                  <w:color w:val="000000"/>
                  <w:sz w:val="20"/>
                  <w:u w:val="none"/>
                  <w:effect w:val="none"/>
                </w:rPr>
                <w:t>5</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34">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34">
              <w:r>
                <w:rPr>
                  <w:rStyle w:val="InternetLink"/>
                  <w:rFonts w:ascii="Times New Roman;serif" w:hAnsi="Times New Roman;serif"/>
                  <w:b w:val="false"/>
                  <w:strike w:val="false"/>
                  <w:dstrike w:val="false"/>
                  <w:color w:val="000000"/>
                  <w:sz w:val="20"/>
                  <w:u w:val="none"/>
                  <w:effect w:val="none"/>
                </w:rPr>
                <w:t>5</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37">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37">
              <w:r>
                <w:rPr>
                  <w:rStyle w:val="InternetLink"/>
                  <w:rFonts w:ascii="Times New Roman;serif" w:hAnsi="Times New Roman;serif"/>
                  <w:b w:val="false"/>
                  <w:strike w:val="false"/>
                  <w:dstrike w:val="false"/>
                  <w:color w:val="000000"/>
                  <w:sz w:val="20"/>
                  <w:u w:val="none"/>
                  <w:effect w:val="none"/>
                </w:rPr>
                <w:t>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40">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40">
              <w:r>
                <w:rPr>
                  <w:rStyle w:val="InternetLink"/>
                  <w:rFonts w:ascii="Times New Roman;serif" w:hAnsi="Times New Roman;serif"/>
                  <w:b w:val="false"/>
                  <w:strike w:val="false"/>
                  <w:dstrike w:val="false"/>
                  <w:color w:val="000000"/>
                  <w:sz w:val="20"/>
                  <w:u w:val="none"/>
                  <w:effect w:val="none"/>
                </w:rPr>
                <w:t>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43">
              <w:r>
                <w:rPr>
                  <w:rStyle w:val="InternetLink"/>
                  <w:rFonts w:ascii="Times New Roman;serif" w:hAnsi="Times New Roman;serif"/>
                  <w:b w:val="false"/>
                  <w:strike w:val="false"/>
                  <w:dstrike w:val="false"/>
                  <w:color w:val="000000"/>
                  <w:sz w:val="20"/>
                  <w:u w:val="none"/>
                  <w:effect w:val="none"/>
                </w:rPr>
                <w:t>Note 4 — Fair Value Measurements and Derivative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43">
              <w:r>
                <w:rPr>
                  <w:rStyle w:val="InternetLink"/>
                  <w:rFonts w:ascii="Times New Roman;serif" w:hAnsi="Times New Roman;serif"/>
                  <w:b w:val="false"/>
                  <w:strike w:val="false"/>
                  <w:dstrike w:val="false"/>
                  <w:color w:val="000000"/>
                  <w:sz w:val="20"/>
                  <w:u w:val="none"/>
                  <w:effect w:val="none"/>
                </w:rPr>
                <w:t>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46">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46">
              <w:r>
                <w:rPr>
                  <w:rStyle w:val="InternetLink"/>
                  <w:rFonts w:ascii="Times New Roman;serif" w:hAnsi="Times New Roman;serif"/>
                  <w:b w:val="false"/>
                  <w:strike w:val="false"/>
                  <w:dstrike w:val="false"/>
                  <w:color w:val="000000"/>
                  <w:sz w:val="20"/>
                  <w:u w:val="none"/>
                  <w:effect w:val="none"/>
                </w:rPr>
                <w:t>11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49">
              <w:r>
                <w:rPr>
                  <w:rStyle w:val="InternetLink"/>
                  <w:rFonts w:ascii="Times New Roman;serif" w:hAnsi="Times New Roman;serif"/>
                  <w:b w:val="false"/>
                  <w:strike w:val="false"/>
                  <w:dstrike w:val="false"/>
                  <w:color w:val="000000"/>
                  <w:sz w:val="20"/>
                  <w:u w:val="none"/>
                  <w:effect w:val="none"/>
                </w:rPr>
                <w:t>Note 6 — Common Stock, Currently Outstanding Warrants to Purchase Common Stock, and Earnout Shares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49">
              <w:r>
                <w:rPr>
                  <w:rStyle w:val="InternetLink"/>
                  <w:rFonts w:ascii="Times New Roman;serif" w:hAnsi="Times New Roman;serif"/>
                  <w:b w:val="false"/>
                  <w:strike w:val="false"/>
                  <w:dstrike w:val="false"/>
                  <w:color w:val="000000"/>
                  <w:sz w:val="20"/>
                  <w:u w:val="none"/>
                  <w:effect w:val="none"/>
                </w:rPr>
                <w:t>12</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52">
              <w:r>
                <w:rPr>
                  <w:rStyle w:val="InternetLink"/>
                  <w:rFonts w:ascii="Times New Roman;serif" w:hAnsi="Times New Roman;serif"/>
                  <w:b w:val="false"/>
                  <w:strike w:val="false"/>
                  <w:dstrike w:val="false"/>
                  <w:color w:val="000000"/>
                  <w:sz w:val="20"/>
                  <w:u w:val="none"/>
                  <w:effect w:val="none"/>
                </w:rPr>
                <w:t>Note 7 — Net Loss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52">
              <w:r>
                <w:rPr>
                  <w:rStyle w:val="InternetLink"/>
                  <w:rFonts w:ascii="Times New Roman;serif" w:hAnsi="Times New Roman;serif"/>
                  <w:b w:val="false"/>
                  <w:strike w:val="false"/>
                  <w:dstrike w:val="false"/>
                  <w:color w:val="000000"/>
                  <w:sz w:val="20"/>
                  <w:u w:val="none"/>
                  <w:effect w:val="none"/>
                </w:rPr>
                <w:t>14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55">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55">
              <w:r>
                <w:rPr>
                  <w:rStyle w:val="InternetLink"/>
                  <w:rFonts w:ascii="Times New Roman;serif" w:hAnsi="Times New Roman;serif"/>
                  <w:b w:val="false"/>
                  <w:strike w:val="false"/>
                  <w:dstrike w:val="false"/>
                  <w:color w:val="000000"/>
                  <w:sz w:val="20"/>
                  <w:u w:val="none"/>
                  <w:effect w:val="none"/>
                </w:rPr>
                <w:t>14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61">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61">
              <w:r>
                <w:rPr>
                  <w:rStyle w:val="InternetLink"/>
                  <w:rFonts w:ascii="Times New Roman;serif" w:hAnsi="Times New Roman;serif"/>
                  <w:b w:val="false"/>
                  <w:strike w:val="false"/>
                  <w:dstrike w:val="false"/>
                  <w:color w:val="000000"/>
                  <w:sz w:val="20"/>
                  <w:u w:val="none"/>
                  <w:effect w:val="none"/>
                </w:rPr>
                <w:t>16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a47d377389042428988581ea05ea9e5_67">
              <w:r>
                <w:rPr>
                  <w:rStyle w:val="InternetLink"/>
                  <w:rFonts w:ascii="Times New Roman;serif" w:hAnsi="Times New Roman;serif"/>
                  <w:b w:val="false"/>
                  <w:strike w:val="false"/>
                  <w:dstrike w:val="false"/>
                  <w:color w:val="000000"/>
                  <w:sz w:val="20"/>
                  <w:u w:val="none"/>
                  <w:effect w:val="none"/>
                </w:rPr>
                <w:t>Note 10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67">
              <w:r>
                <w:rPr>
                  <w:rStyle w:val="InternetLink"/>
                  <w:rFonts w:ascii="Times New Roman;serif" w:hAnsi="Times New Roman;serif"/>
                  <w:b w:val="false"/>
                  <w:strike w:val="false"/>
                  <w:dstrike w:val="false"/>
                  <w:color w:val="000000"/>
                  <w:sz w:val="20"/>
                  <w:u w:val="none"/>
                  <w:effect w:val="none"/>
                </w:rPr>
                <w:t>17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70">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70">
              <w:r>
                <w:rPr>
                  <w:rStyle w:val="InternetLink"/>
                  <w:rFonts w:ascii="Times New Roman;serif" w:hAnsi="Times New Roman;serif"/>
                  <w:b w:val="false"/>
                  <w:strike w:val="false"/>
                  <w:dstrike w:val="false"/>
                  <w:color w:val="000000"/>
                  <w:sz w:val="20"/>
                  <w:u w:val="none"/>
                  <w:effect w:val="none"/>
                </w:rPr>
                <w:t>18</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97">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97">
              <w:r>
                <w:rPr>
                  <w:rStyle w:val="InternetLink"/>
                  <w:rFonts w:ascii="Times New Roman;serif" w:hAnsi="Times New Roman;serif"/>
                  <w:b w:val="false"/>
                  <w:strike w:val="false"/>
                  <w:dstrike w:val="false"/>
                  <w:color w:val="000000"/>
                  <w:sz w:val="20"/>
                  <w:u w:val="none"/>
                  <w:effect w:val="none"/>
                </w:rPr>
                <w:t>26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00">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00">
              <w:r>
                <w:rPr>
                  <w:rStyle w:val="InternetLink"/>
                  <w:rFonts w:ascii="Times New Roman;serif" w:hAnsi="Times New Roman;serif"/>
                  <w:b w:val="false"/>
                  <w:strike w:val="false"/>
                  <w:dstrike w:val="false"/>
                  <w:color w:val="000000"/>
                  <w:sz w:val="20"/>
                  <w:u w:val="none"/>
                  <w:effect w:val="none"/>
                </w:rPr>
                <w:t>26</w:t>
              </w:r>
            </w:hyperlink>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03">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03">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06">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06">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09">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09">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12">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12">
              <w:r>
                <w:rPr>
                  <w:rStyle w:val="InternetLink"/>
                  <w:rFonts w:ascii="Times New Roman;serif" w:hAnsi="Times New Roman;serif"/>
                  <w:b w:val="false"/>
                  <w:strike w:val="false"/>
                  <w:dstrike w:val="false"/>
                  <w:color w:val="000000"/>
                  <w:sz w:val="20"/>
                  <w:u w:val="none"/>
                  <w:effect w:val="none"/>
                </w:rPr>
                <w:t>28</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15">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15">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18">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18">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21">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21">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24">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24">
              <w:r>
                <w:rPr>
                  <w:rStyle w:val="InternetLink"/>
                  <w:rFonts w:ascii="Times New Roman;serif" w:hAnsi="Times New Roman;serif"/>
                  <w:b w:val="false"/>
                  <w:strike w:val="false"/>
                  <w:dstrike w:val="false"/>
                  <w:color w:val="000000"/>
                  <w:sz w:val="20"/>
                  <w:u w:val="none"/>
                  <w:effect w:val="none"/>
                </w:rPr>
                <w:t>30</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a47d377389042428988581ea05ea9e5_127">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a47d377389042428988581ea05ea9e5_127">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(the “Annual Report on Form 10-K” or “Form 10-K”) filed with the U.S. Securities and Exchange Commission (“SEC”) on March 24, 2026,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the Form 10-K, as amended by Amendment No. 1 on Form 10-K/A filed with the SEC on April 30, 2026,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strike w:val="false"/>
            <w:dstrike w:val="false"/>
            <w:color w:val="0000FF"/>
            <w:sz w:val="20"/>
            <w:u w:val="none"/>
            <w:effect w:val="non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56"/>
        <w:gridCol w:w="2212"/>
        <w:gridCol w:w="2147"/>
        <w:gridCol w:w="109"/>
        <w:gridCol w:w="109"/>
        <w:gridCol w:w="109"/>
        <w:gridCol w:w="223"/>
        <w:gridCol w:w="781"/>
        <w:gridCol w:w="115"/>
        <w:gridCol w:w="109"/>
        <w:gridCol w:w="109"/>
        <w:gridCol w:w="109"/>
        <w:gridCol w:w="229"/>
        <w:gridCol w:w="916"/>
        <w:gridCol w:w="172"/>
      </w:tblGrid>
      <w:tr>
        <w:trPr/>
        <w:tc>
          <w:tcPr>
            <w:tcW w:w="275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allowance for credit losses of $2,430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70,752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102,211</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loan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45,307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63,211</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600,000,000 and 600,000,000 shares authorized as of March 31, 2026 and December 31, 2025, respectively, and 122,746,757 and 122,043,966 shares issued and outstanding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675,143</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25,445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39,000</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70,752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102,211</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9580"/>
                <wp:effectExtent l="0" t="0" r="0" b="0"/>
                <wp:wrapNone/>
                <wp:docPr id="7" name="Frame6"/>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9378" w:type="dxa"/>
        <w:jc w:val="left"/>
        <w:tblInd w:w="0" w:type="dxa"/>
        <w:tblLayout w:type="fixed"/>
        <w:tblCellMar>
          <w:top w:w="28" w:type="dxa"/>
          <w:left w:w="28" w:type="dxa"/>
          <w:bottom w:w="28" w:type="dxa"/>
          <w:right w:w="28" w:type="dxa"/>
        </w:tblCellMar>
      </w:tblPr>
      <w:tblGrid>
        <w:gridCol w:w="2063"/>
        <w:gridCol w:w="1820"/>
        <w:gridCol w:w="1832"/>
        <w:gridCol w:w="109"/>
        <w:gridCol w:w="109"/>
        <w:gridCol w:w="109"/>
        <w:gridCol w:w="450"/>
        <w:gridCol w:w="396"/>
        <w:gridCol w:w="399"/>
        <w:gridCol w:w="232"/>
        <w:gridCol w:w="232"/>
        <w:gridCol w:w="232"/>
        <w:gridCol w:w="450"/>
        <w:gridCol w:w="502"/>
        <w:gridCol w:w="443"/>
      </w:tblGrid>
      <w:tr>
        <w:trPr/>
        <w:tc>
          <w:tcPr>
            <w:tcW w:w="2063"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consulting services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327</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1,576</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680</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13,118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13,108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12,043</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38,701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(23,388)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(38,021)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116,518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(109,578)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(22,554)</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(147,599)</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(22,653)</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(147,761)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(22,528)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(147,761)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122,382,195</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91,747,685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9580"/>
                <wp:effectExtent l="0" t="0" r="0" b="0"/>
                <wp:wrapNone/>
                <wp:docPr id="8"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tbl>
      <w:tblPr>
        <w:tblW w:w="11758" w:type="dxa"/>
        <w:jc w:val="left"/>
        <w:tblInd w:w="0" w:type="dxa"/>
        <w:tblLayout w:type="fixed"/>
        <w:tblCellMar>
          <w:top w:w="28" w:type="dxa"/>
          <w:left w:w="28" w:type="dxa"/>
          <w:bottom w:w="28" w:type="dxa"/>
          <w:right w:w="28" w:type="dxa"/>
        </w:tblCellMar>
      </w:tblPr>
      <w:tblGrid>
        <w:gridCol w:w="814"/>
        <w:gridCol w:w="268"/>
        <w:gridCol w:w="269"/>
        <w:gridCol w:w="298"/>
        <w:gridCol w:w="224"/>
        <w:gridCol w:w="109"/>
        <w:gridCol w:w="109"/>
        <w:gridCol w:w="109"/>
        <w:gridCol w:w="109"/>
        <w:gridCol w:w="236"/>
        <w:gridCol w:w="406"/>
        <w:gridCol w:w="109"/>
        <w:gridCol w:w="109"/>
        <w:gridCol w:w="109"/>
        <w:gridCol w:w="109"/>
        <w:gridCol w:w="379"/>
        <w:gridCol w:w="379"/>
        <w:gridCol w:w="383"/>
        <w:gridCol w:w="109"/>
        <w:gridCol w:w="109"/>
        <w:gridCol w:w="109"/>
        <w:gridCol w:w="227"/>
        <w:gridCol w:w="405"/>
        <w:gridCol w:w="11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33"/>
        <w:gridCol w:w="812"/>
        <w:gridCol w:w="171"/>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122,043,966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122,746,757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684,116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(658,808)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25,445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158" w:type="dxa"/>
        <w:jc w:val="left"/>
        <w:tblInd w:w="0" w:type="dxa"/>
        <w:tblLayout w:type="fixed"/>
        <w:tblCellMar>
          <w:top w:w="28" w:type="dxa"/>
          <w:left w:w="28" w:type="dxa"/>
          <w:bottom w:w="28" w:type="dxa"/>
          <w:right w:w="28" w:type="dxa"/>
        </w:tblCellMar>
      </w:tblPr>
      <w:tblGrid>
        <w:gridCol w:w="724"/>
        <w:gridCol w:w="268"/>
        <w:gridCol w:w="269"/>
        <w:gridCol w:w="355"/>
        <w:gridCol w:w="355"/>
        <w:gridCol w:w="221"/>
        <w:gridCol w:w="109"/>
        <w:gridCol w:w="109"/>
        <w:gridCol w:w="109"/>
        <w:gridCol w:w="211"/>
        <w:gridCol w:w="736"/>
        <w:gridCol w:w="109"/>
        <w:gridCol w:w="109"/>
        <w:gridCol w:w="109"/>
        <w:gridCol w:w="109"/>
        <w:gridCol w:w="344"/>
        <w:gridCol w:w="344"/>
        <w:gridCol w:w="348"/>
        <w:gridCol w:w="109"/>
        <w:gridCol w:w="109"/>
        <w:gridCol w:w="109"/>
        <w:gridCol w:w="227"/>
        <w:gridCol w:w="405"/>
        <w:gridCol w:w="119"/>
        <w:gridCol w:w="109"/>
        <w:gridCol w:w="109"/>
        <w:gridCol w:w="109"/>
        <w:gridCol w:w="211"/>
        <w:gridCol w:w="841"/>
        <w:gridCol w:w="109"/>
        <w:gridCol w:w="109"/>
        <w:gridCol w:w="109"/>
        <w:gridCol w:w="109"/>
        <w:gridCol w:w="379"/>
        <w:gridCol w:w="730"/>
        <w:gridCol w:w="197"/>
        <w:gridCol w:w="109"/>
        <w:gridCol w:w="109"/>
        <w:gridCol w:w="109"/>
        <w:gridCol w:w="211"/>
        <w:gridCol w:w="841"/>
        <w:gridCol w:w="109"/>
        <w:gridCol w:w="109"/>
        <w:gridCol w:w="109"/>
        <w:gridCol w:w="109"/>
        <w:gridCol w:w="211"/>
        <w:gridCol w:w="84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(Deficit)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Stockholders’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(110,463)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on shareholder note receivable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advisors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warrants to advisor</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98,818,874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593,712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9580"/>
                <wp:effectExtent l="0" t="0" r="0" b="0"/>
                <wp:wrapNone/>
                <wp:docPr id="9"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9275" w:type="dxa"/>
        <w:jc w:val="left"/>
        <w:tblInd w:w="0" w:type="dxa"/>
        <w:tblLayout w:type="fixed"/>
        <w:tblCellMar>
          <w:top w:w="28" w:type="dxa"/>
          <w:left w:w="28" w:type="dxa"/>
          <w:bottom w:w="28" w:type="dxa"/>
          <w:right w:w="28" w:type="dxa"/>
        </w:tblCellMar>
      </w:tblPr>
      <w:tblGrid>
        <w:gridCol w:w="2288"/>
        <w:gridCol w:w="2013"/>
        <w:gridCol w:w="2028"/>
        <w:gridCol w:w="109"/>
        <w:gridCol w:w="109"/>
        <w:gridCol w:w="109"/>
        <w:gridCol w:w="212"/>
        <w:gridCol w:w="802"/>
        <w:gridCol w:w="109"/>
        <w:gridCol w:w="109"/>
        <w:gridCol w:w="109"/>
        <w:gridCol w:w="109"/>
        <w:gridCol w:w="212"/>
        <w:gridCol w:w="802"/>
        <w:gridCol w:w="155"/>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(15,944)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in 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9580"/>
                <wp:effectExtent l="0" t="0" r="0" b="0"/>
                <wp:wrapNone/>
                <wp:docPr id="10" name="Frame9"/>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disclosed in Note 3 — “Summary of Significant Accounting Policies” of the Notes to the Consolidated Financial Statements included in the Annual Report on Form 10-K. The Company did not adopt any new accounting standards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the applicability and impact of all Accounting Standards Updates (“ASUs”) issued by the Financial Accounting Standards Board (“FASB”). Previously identified ASUs that are also currently applicable or material </w:t>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Company’s future consolidated financial statements are discussed in Note 3 of the Company’s consolidated financial statements included in the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cash and cash equivalents on hand of $33.2 million and accounts receivable less allowance for credit losses of $16.7 million, while accounts payable, accrued expenses and other current liabilities (excluding amounts due to related parties), and accrued trade payables totaled $21.4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Cash provided by financing activities was not significant for the period ended March 31, 2026 and was unrelated to any capital raising activities. Cash provided by financing activities was $11.3 million for the three months ended March 31, 2025, and was generated by capital raising activities. Cash used in operations for the three months ended March 31, 2026 and 2025 was $12.6 million and $15.9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historically incurred recurring operating losses, including a loss from operations of $23.4 million and $38.0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based on the method of revenue recognition for the three months ended March 31, 2026 and 2025:</w:t>
      </w:r>
    </w:p>
    <w:p>
      <w:pPr>
        <w:pStyle w:val="TextBody"/>
        <w:bidi w:val="0"/>
        <w:spacing w:before="0" w:after="0"/>
        <w:jc w:val="left"/>
        <w:rPr/>
      </w:pPr>
      <w:r>
        <w:rPr/>
      </w:r>
    </w:p>
    <w:tbl>
      <w:tblPr>
        <w:tblW w:w="6157" w:type="dxa"/>
        <w:jc w:val="left"/>
        <w:tblInd w:w="0" w:type="dxa"/>
        <w:tblLayout w:type="fixed"/>
        <w:tblCellMar>
          <w:top w:w="28" w:type="dxa"/>
          <w:left w:w="28" w:type="dxa"/>
          <w:bottom w:w="28" w:type="dxa"/>
          <w:right w:w="28" w:type="dxa"/>
        </w:tblCellMar>
      </w:tblPr>
      <w:tblGrid>
        <w:gridCol w:w="1163"/>
        <w:gridCol w:w="1019"/>
        <w:gridCol w:w="1028"/>
        <w:gridCol w:w="109"/>
        <w:gridCol w:w="109"/>
        <w:gridCol w:w="109"/>
        <w:gridCol w:w="246"/>
        <w:gridCol w:w="720"/>
        <w:gridCol w:w="127"/>
        <w:gridCol w:w="127"/>
        <w:gridCol w:w="127"/>
        <w:gridCol w:w="127"/>
        <w:gridCol w:w="246"/>
        <w:gridCol w:w="720"/>
        <w:gridCol w:w="180"/>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months ended March 31,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(unbilled receivables) and no material contract liabilities (deferred revenue) as of March 31, 2026 and December 31, 2025. The Company did not have any outstanding or unsatisfied performance obligations as of March 31, 2026 and December 31, 2025. The Company did not have material costs related to obtaining a contract, or fulfilling a contract that are not addressed by other accounting standards, with amortization periods greater than one year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a customer sale that occurred in the fourth quarter of 2025 included credit terms up to 90 days. As of March 31, 2026, the Company’s accounts receivable were 47% current, 0% over 60 days past due, and 53% over 90 days past due under the credit terms of the applicable customer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March 31, 2026.</w:t>
      </w:r>
    </w:p>
    <w:p>
      <w:pPr>
        <w:pStyle w:val="TextBody"/>
        <w:bidi w:val="0"/>
        <w:spacing w:before="0" w:after="283"/>
        <w:jc w:val="left"/>
        <w:rPr/>
      </w:pPr>
      <w:r>
        <w:rPr/>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three months ended March 31, 2026 and as of and for the year ended December 31, 2025 are set forth as follows:</w:t>
      </w:r>
    </w:p>
    <w:p>
      <w:pPr>
        <w:pStyle w:val="TextBody"/>
        <w:bidi w:val="0"/>
        <w:spacing w:before="0" w:after="0"/>
        <w:jc w:val="left"/>
        <w:rPr/>
      </w:pPr>
      <w:r>
        <w:rPr/>
      </w:r>
    </w:p>
    <w:tbl>
      <w:tblPr>
        <w:tblW w:w="5808" w:type="dxa"/>
        <w:jc w:val="left"/>
        <w:tblInd w:w="0" w:type="dxa"/>
        <w:tblLayout w:type="fixed"/>
        <w:tblCellMar>
          <w:top w:w="28" w:type="dxa"/>
          <w:left w:w="28" w:type="dxa"/>
          <w:bottom w:w="28" w:type="dxa"/>
          <w:right w:w="28" w:type="dxa"/>
        </w:tblCellMar>
      </w:tblPr>
      <w:tblGrid>
        <w:gridCol w:w="1630"/>
        <w:gridCol w:w="1430"/>
        <w:gridCol w:w="1440"/>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March 31,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March 31, 2026.</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87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11"/>
        <w:gridCol w:w="721"/>
        <w:gridCol w:w="109"/>
        <w:gridCol w:w="109"/>
        <w:gridCol w:w="109"/>
        <w:gridCol w:w="109"/>
        <w:gridCol w:w="255"/>
        <w:gridCol w:w="256"/>
        <w:gridCol w:w="27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May 14, 2026, the Company had received payments of $16.9 million from this customer.</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March 31, 2026 and December 31, 2025:</w:t>
      </w:r>
    </w:p>
    <w:p>
      <w:pPr>
        <w:pStyle w:val="TextBody"/>
        <w:bidi w:val="0"/>
        <w:spacing w:before="0" w:after="0"/>
        <w:jc w:val="left"/>
        <w:rPr/>
      </w:pPr>
      <w:r>
        <w:rPr/>
      </w:r>
    </w:p>
    <w:tbl>
      <w:tblPr>
        <w:tblW w:w="8336"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$2.0 million in earnout shares - related party.</w:t>
      </w:r>
    </w:p>
    <w:p>
      <w:pPr>
        <w:pStyle w:val="TextBody"/>
        <w:bidi w:val="0"/>
        <w:ind w:left="0" w:right="0" w:firstLine="180"/>
        <w:jc w:val="left"/>
        <w:rPr/>
      </w:pPr>
      <w:r>
        <w:rPr/>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months ended March 31, 2026 or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for the prior year and three months ended March 31, 2026 about the Company’s Level 3 liabilities measured at fair value on a recurring basis:</w:t>
      </w:r>
    </w:p>
    <w:p>
      <w:pPr>
        <w:pStyle w:val="TextBody"/>
        <w:bidi w:val="0"/>
        <w:spacing w:before="0" w:after="0"/>
        <w:jc w:val="left"/>
        <w:rPr/>
      </w:pPr>
      <w:r>
        <w:rPr/>
      </w:r>
    </w:p>
    <w:tbl>
      <w:tblPr>
        <w:tblW w:w="8658" w:type="dxa"/>
        <w:jc w:val="left"/>
        <w:tblInd w:w="0" w:type="dxa"/>
        <w:tblLayout w:type="fixed"/>
        <w:tblCellMar>
          <w:top w:w="28" w:type="dxa"/>
          <w:left w:w="28" w:type="dxa"/>
          <w:bottom w:w="28" w:type="dxa"/>
          <w:right w:w="28" w:type="dxa"/>
        </w:tblCellMar>
      </w:tblPr>
      <w:tblGrid>
        <w:gridCol w:w="2586"/>
        <w:gridCol w:w="2267"/>
        <w:gridCol w:w="2287"/>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 during the quarter.</w:t>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March 31,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2"/>
        <w:gridCol w:w="793"/>
        <w:gridCol w:w="798"/>
        <w:gridCol w:w="109"/>
        <w:gridCol w:w="109"/>
        <w:gridCol w:w="109"/>
        <w:gridCol w:w="626"/>
        <w:gridCol w:w="618"/>
        <w:gridCol w:w="552"/>
        <w:gridCol w:w="109"/>
        <w:gridCol w:w="109"/>
        <w:gridCol w:w="109"/>
        <w:gridCol w:w="698"/>
        <w:gridCol w:w="672"/>
        <w:gridCol w:w="596"/>
        <w:gridCol w:w="109"/>
        <w:gridCol w:w="109"/>
        <w:gridCol w:w="109"/>
        <w:gridCol w:w="257"/>
        <w:gridCol w:w="624"/>
        <w:gridCol w:w="331"/>
        <w:gridCol w:w="109"/>
        <w:gridCol w:w="109"/>
        <w:gridCol w:w="109"/>
        <w:gridCol w:w="289"/>
        <w:gridCol w:w="700"/>
        <w:gridCol w:w="441"/>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4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4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three months ended March 31, 2026, the Company’s derivatives were comprised 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Earnout Shares, representing a freestanding structured forward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March 31,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6204" w:type="dxa"/>
        <w:jc w:val="left"/>
        <w:tblInd w:w="0" w:type="dxa"/>
        <w:tblLayout w:type="fixed"/>
        <w:tblCellMar>
          <w:top w:w="28" w:type="dxa"/>
          <w:left w:w="28" w:type="dxa"/>
          <w:bottom w:w="28" w:type="dxa"/>
          <w:right w:w="28" w:type="dxa"/>
        </w:tblCellMar>
      </w:tblPr>
      <w:tblGrid>
        <w:gridCol w:w="968"/>
        <w:gridCol w:w="847"/>
        <w:gridCol w:w="855"/>
        <w:gridCol w:w="109"/>
        <w:gridCol w:w="109"/>
        <w:gridCol w:w="109"/>
        <w:gridCol w:w="291"/>
        <w:gridCol w:w="849"/>
        <w:gridCol w:w="150"/>
        <w:gridCol w:w="109"/>
        <w:gridCol w:w="109"/>
        <w:gridCol w:w="109"/>
        <w:gridCol w:w="309"/>
        <w:gridCol w:w="1056"/>
        <w:gridCol w:w="225"/>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Company is a contract manufacturer, all of its inventories are manufactured by a third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purchases of finished goods for resale during the three months ended March 31, 2026 or 2025.</w:t>
      </w:r>
    </w:p>
    <w:p>
      <w:pPr>
        <w:pStyle w:val="TextBody"/>
        <w:bidi w:val="0"/>
        <w:jc w:val="both"/>
        <w:rPr/>
      </w:pPr>
      <w:r>
        <w:rPr/>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details of “prepaid expenses and other current assets” are set forth in the table, below:</w:t>
      </w:r>
    </w:p>
    <w:p>
      <w:pPr>
        <w:pStyle w:val="TextBody"/>
        <w:bidi w:val="0"/>
        <w:spacing w:before="0" w:after="0"/>
        <w:jc w:val="both"/>
        <w:rPr/>
      </w:pPr>
      <w:r>
        <w:rPr/>
      </w:r>
    </w:p>
    <w:tbl>
      <w:tblPr>
        <w:tblW w:w="7463" w:type="dxa"/>
        <w:jc w:val="left"/>
        <w:tblInd w:w="0" w:type="dxa"/>
        <w:tblLayout w:type="fixed"/>
        <w:tblCellMar>
          <w:top w:w="28" w:type="dxa"/>
          <w:left w:w="28" w:type="dxa"/>
          <w:bottom w:w="28" w:type="dxa"/>
          <w:right w:w="28" w:type="dxa"/>
        </w:tblCellMar>
      </w:tblPr>
      <w:tblGrid>
        <w:gridCol w:w="1423"/>
        <w:gridCol w:w="1248"/>
        <w:gridCol w:w="1258"/>
        <w:gridCol w:w="109"/>
        <w:gridCol w:w="109"/>
        <w:gridCol w:w="109"/>
        <w:gridCol w:w="291"/>
        <w:gridCol w:w="849"/>
        <w:gridCol w:w="150"/>
        <w:gridCol w:w="109"/>
        <w:gridCol w:w="109"/>
        <w:gridCol w:w="109"/>
        <w:gridCol w:w="342"/>
        <w:gridCol w:w="999"/>
        <w:gridCol w:w="249"/>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licenses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Tax assets” includes corporate income taxes receivable, sale taxes receivable and withholding taxes related to employee compensation.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detail of accrued expenses and other current liabilities is set forth in the table, below:</w:t>
      </w:r>
    </w:p>
    <w:p>
      <w:pPr>
        <w:pStyle w:val="TextBody"/>
        <w:bidi w:val="0"/>
        <w:spacing w:before="0" w:after="0"/>
        <w:jc w:val="both"/>
        <w:rPr/>
      </w:pPr>
      <w:r>
        <w:rPr/>
      </w:r>
    </w:p>
    <w:tbl>
      <w:tblPr>
        <w:tblW w:w="7794" w:type="dxa"/>
        <w:jc w:val="left"/>
        <w:tblInd w:w="0" w:type="dxa"/>
        <w:tblLayout w:type="fixed"/>
        <w:tblCellMar>
          <w:top w:w="28" w:type="dxa"/>
          <w:left w:w="28" w:type="dxa"/>
          <w:bottom w:w="28" w:type="dxa"/>
          <w:right w:w="28" w:type="dxa"/>
        </w:tblCellMar>
      </w:tblPr>
      <w:tblGrid>
        <w:gridCol w:w="1544"/>
        <w:gridCol w:w="1352"/>
        <w:gridCol w:w="1364"/>
        <w:gridCol w:w="109"/>
        <w:gridCol w:w="109"/>
        <w:gridCol w:w="109"/>
        <w:gridCol w:w="291"/>
        <w:gridCol w:w="849"/>
        <w:gridCol w:w="150"/>
        <w:gridCol w:w="109"/>
        <w:gridCol w:w="109"/>
        <w:gridCol w:w="109"/>
        <w:gridCol w:w="342"/>
        <w:gridCol w:w="999"/>
        <w:gridCol w:w="249"/>
      </w:tblGrid>
      <w:tr>
        <w:trPr/>
        <w:tc>
          <w:tcPr>
            <w:tcW w:w="15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technology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current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on 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the balance of “other current liabilities” as presented above was substantially comprised of a short-term loan for directors and officers’ insurance.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Currently Outstanding Warrants to Purchase Common Stock, and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March 31, 2026:</w:t>
      </w:r>
    </w:p>
    <w:p>
      <w:pPr>
        <w:pStyle w:val="TextBody"/>
        <w:bidi w:val="0"/>
        <w:spacing w:before="0" w:after="0"/>
        <w:jc w:val="left"/>
        <w:rPr/>
      </w:pPr>
      <w:r>
        <w:rPr/>
      </w:r>
    </w:p>
    <w:tbl>
      <w:tblPr>
        <w:tblW w:w="6076"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122,746,757 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the Company issued 18,918,918 shares of common stock in an underwritten stock offering and granted a 30-day option pursuant to which the Company may issue up to 2,837,837 additional shares of common stock. See Note 10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ended March 31, 2026, there were no changes to the Company’s outstanding warrants or any of the terms of its outstanding warrants as described in its Annual Report on Form 10-K. Subsequent to March 31, 2026, the Company amended the outstanding Polar warrants to adjust the exercise price from $5.00 per share to $3.00 per share. See Note 10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recorded $3.9 million and $3.5 million, respectively, in stock-based compensation expense related to the Employee Earnout Shares. As of March 31, 2026, there was $62.8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months ended March 31, 2026 and 2025, as the effect of any potentially dilutive security would have been anti-dilutive due to the net losses in those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7864" w:type="dxa"/>
        <w:jc w:val="left"/>
        <w:tblInd w:w="0" w:type="dxa"/>
        <w:tblLayout w:type="fixed"/>
        <w:tblCellMar>
          <w:top w:w="28" w:type="dxa"/>
          <w:left w:w="28" w:type="dxa"/>
          <w:bottom w:w="28" w:type="dxa"/>
          <w:right w:w="28" w:type="dxa"/>
        </w:tblCellMar>
      </w:tblPr>
      <w:tblGrid>
        <w:gridCol w:w="1682"/>
        <w:gridCol w:w="1481"/>
        <w:gridCol w:w="1486"/>
        <w:gridCol w:w="109"/>
        <w:gridCol w:w="109"/>
        <w:gridCol w:w="109"/>
        <w:gridCol w:w="264"/>
        <w:gridCol w:w="922"/>
        <w:gridCol w:w="109"/>
        <w:gridCol w:w="109"/>
        <w:gridCol w:w="109"/>
        <w:gridCol w:w="109"/>
        <w:gridCol w:w="211"/>
        <w:gridCol w:w="901"/>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91,747,685 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46"/>
        <w:gridCol w:w="146"/>
        <w:gridCol w:w="146"/>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28,697,076 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28,042,235 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97,777,494 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79,538,878 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w:t>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“Fair Value Measurements and Derivative Instruments” for details regarding the Company’s cash equivalents. See Note 3 — “Revenue and Accounts Receivable” for details regarding the Company’s total revenue disaggregated by customer geographical location and the major customer concentrations of the Company’s total revenue and accounts receivable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6500"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7175"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$2.6 million in revenue from the Referral Agreement, inclusive of sales commissions of $0.3 million, which was reported as a reduction of revenue, and paid fully in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portion of the “other earnout shares” were issued to an affiliate of the Sponsor at the time of the Merger. See Note 6 — “Common Stock, Currently Outstanding Warrants to Purchase Common Stock, and Earnout Shares”. The fair value of these other earnout shares as of March 31, 2026 and December 31, 2025 was $2.0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Working capital loan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Company issued an unsecured promissory note to the Sponsor, pursuant to which it borrowed $1.5 million for general corporate purposes. On the date of the Merger, this loan was recorded on the Company’s condensed consolidated balance sheets, and was outstanding as of March 31, 2026 and December 31, 2025. Repayment has been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Advances from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provided the Company with certain working capital advances, which are non-interest bearing and payable on demand, in the amount of $2.9 million. These amounts are reflected on the condensed consolidated balance sheets as of March 31, 2026 and December 31, 2025 as “advances from related party”. Repayment has been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owed management fees in the amount of $0.2 million to the Sponsor as of March 31, 2026 and December 31, 2025. These amounts are reflected on the condensed consolidated balance sheets as “accounts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Shareholder note receivable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March 31, 2026 and December 31, 2025, the outstanding principal of the shareholder note receivable was $8.6 million, the amount of which has been deducted from additional paid-in capital on the Company’s condensed consolidated balance sheets as of that date.</w:t>
      </w:r>
    </w:p>
    <w:p>
      <w:pPr>
        <w:pStyle w:val="TextBody"/>
        <w:bidi w:val="0"/>
        <w:spacing w:lineRule="auto" w:line="288" w:before="0" w:after="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Non-Redemption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advisory and marketing services, and a related party employed by the Company are set forth in the table below:</w:t>
      </w:r>
    </w:p>
    <w:tbl>
      <w:tblPr>
        <w:tblW w:w="10205" w:type="dxa"/>
        <w:jc w:val="left"/>
        <w:tblInd w:w="0" w:type="dxa"/>
        <w:tblLayout w:type="fixed"/>
        <w:tblCellMar>
          <w:top w:w="28" w:type="dxa"/>
          <w:left w:w="28" w:type="dxa"/>
          <w:bottom w:w="28" w:type="dxa"/>
          <w:right w:w="28" w:type="dxa"/>
        </w:tblCellMar>
      </w:tblPr>
      <w:tblGrid>
        <w:gridCol w:w="2824"/>
        <w:gridCol w:w="2339"/>
        <w:gridCol w:w="2357"/>
        <w:gridCol w:w="109"/>
        <w:gridCol w:w="109"/>
        <w:gridCol w:w="109"/>
        <w:gridCol w:w="264"/>
        <w:gridCol w:w="507"/>
        <w:gridCol w:w="135"/>
        <w:gridCol w:w="135"/>
        <w:gridCol w:w="135"/>
        <w:gridCol w:w="135"/>
        <w:gridCol w:w="264"/>
        <w:gridCol w:w="583"/>
        <w:gridCol w:w="200"/>
      </w:tblGrid>
      <w:tr>
        <w:trPr/>
        <w:tc>
          <w:tcPr>
            <w:tcW w:w="282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other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compensation received by related party employee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to other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Included in “selling, general and administrative - related party” on the Company’s condensed consolidated statements of operations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Marketing expenses were incurred with a company owned by a direct family member of a minority stockholder and member of the Company’s Board of Directors.</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 relative of one of the Company’s named executive officers is employed by the Company. Compensation received is presented in “included in selling, general and administrative - related party” for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of issuance of these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Amendment No. 1 to Common Stock Purchase Warrants with the holders of the Polar warrants, amending the outstanding Polar warrants to adjust the exercise price from $5.00 per share to $3.00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Annual Report on Form 10-K for the year ended December 31, 2025 (the “Annual Report on Form 10-K”) and unaudited interim condensed consolidated financial statements as of and for the three months ended March 31,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be5f1b5d8eaf464a9881daa9e454705b_1757"/>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Amendment No. 1 to Common Stock Purchase Warrants with the holders of the Polar warrants, amending the outstanding Polar warrants to adjust the exercise price from $5.00 per share to $3.00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d9ab2055545242528049ed062507dd42_1842"/>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Pipeline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 </w:t>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Proof of Concept Stage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March 31, 2026, 25 POCs were initiated or in progress with a potential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March 31, 2026, we had a total of 30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Design Wins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March 31, 2026, 20 Design Wins had been confirmed with a Partner or customer.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40f691d7a3c8405e8b060bd34c7cc44f_1418"/>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for the three months ended March 31, 2026 and 2025:</w:t>
      </w:r>
    </w:p>
    <w:p>
      <w:pPr>
        <w:pStyle w:val="TextBody"/>
        <w:bidi w:val="0"/>
        <w:spacing w:before="0" w:after="0"/>
        <w:jc w:val="left"/>
        <w:rPr/>
      </w:pPr>
      <w:r>
        <w:rPr/>
      </w:r>
    </w:p>
    <w:tbl>
      <w:tblPr>
        <w:tblW w:w="8606" w:type="dxa"/>
        <w:jc w:val="left"/>
        <w:tblInd w:w="0" w:type="dxa"/>
        <w:tblLayout w:type="fixed"/>
        <w:tblCellMar>
          <w:top w:w="28" w:type="dxa"/>
          <w:left w:w="28" w:type="dxa"/>
          <w:bottom w:w="28" w:type="dxa"/>
          <w:right w:w="28" w:type="dxa"/>
        </w:tblCellMar>
      </w:tblPr>
      <w:tblGrid>
        <w:gridCol w:w="1269"/>
        <w:gridCol w:w="1118"/>
        <w:gridCol w:w="1122"/>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308"/>
        <w:gridCol w:w="308"/>
        <w:gridCol w:w="316"/>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revenue increased to $2.7 million compared to $1.0 million for the three months ended March 31, 2025. The increase was primarily due to hardware sales under the Sales Partner Referral Agreement (the “Referral Agreement”) with a related party, inclusive of sales commissions of $0.3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months ended March 31, 2026 and 2025:</w:t>
      </w:r>
    </w:p>
    <w:p>
      <w:pPr>
        <w:pStyle w:val="TextBody"/>
        <w:bidi w:val="0"/>
        <w:spacing w:before="0" w:after="0"/>
        <w:jc w:val="left"/>
        <w:rPr/>
      </w:pPr>
      <w:r>
        <w:rPr/>
      </w:r>
    </w:p>
    <w:tbl>
      <w:tblPr>
        <w:tblW w:w="8046" w:type="dxa"/>
        <w:jc w:val="left"/>
        <w:tblInd w:w="0" w:type="dxa"/>
        <w:tblLayout w:type="fixed"/>
        <w:tblCellMar>
          <w:top w:w="28" w:type="dxa"/>
          <w:left w:w="28" w:type="dxa"/>
          <w:bottom w:w="28" w:type="dxa"/>
          <w:right w:w="28" w:type="dxa"/>
        </w:tblCellMar>
      </w:tblPr>
      <w:tblGrid>
        <w:gridCol w:w="1269"/>
        <w:gridCol w:w="1118"/>
        <w:gridCol w:w="1122"/>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months ended March 31, 2026 and 2025:</w:t>
      </w:r>
    </w:p>
    <w:p>
      <w:pPr>
        <w:pStyle w:val="TextBody"/>
        <w:bidi w:val="0"/>
        <w:spacing w:before="0" w:after="0"/>
        <w:jc w:val="left"/>
        <w:rPr/>
      </w:pPr>
      <w:r>
        <w:rPr/>
      </w:r>
    </w:p>
    <w:tbl>
      <w:tblPr>
        <w:tblW w:w="9191" w:type="dxa"/>
        <w:jc w:val="left"/>
        <w:tblInd w:w="0" w:type="dxa"/>
        <w:tblLayout w:type="fixed"/>
        <w:tblCellMar>
          <w:top w:w="28" w:type="dxa"/>
          <w:left w:w="28" w:type="dxa"/>
          <w:bottom w:w="28" w:type="dxa"/>
          <w:right w:w="28" w:type="dxa"/>
        </w:tblCellMar>
      </w:tblPr>
      <w:tblGrid>
        <w:gridCol w:w="1492"/>
        <w:gridCol w:w="1314"/>
        <w:gridCol w:w="1319"/>
        <w:gridCol w:w="226"/>
        <w:gridCol w:w="772"/>
        <w:gridCol w:w="116"/>
        <w:gridCol w:w="116"/>
        <w:gridCol w:w="116"/>
        <w:gridCol w:w="116"/>
        <w:gridCol w:w="226"/>
        <w:gridCol w:w="772"/>
        <w:gridCol w:w="116"/>
        <w:gridCol w:w="109"/>
        <w:gridCol w:w="109"/>
        <w:gridCol w:w="109"/>
        <w:gridCol w:w="247"/>
        <w:gridCol w:w="548"/>
        <w:gridCol w:w="109"/>
        <w:gridCol w:w="109"/>
        <w:gridCol w:w="109"/>
        <w:gridCol w:w="109"/>
        <w:gridCol w:w="308"/>
        <w:gridCol w:w="308"/>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cost of revenue increased by $0.8 million to $1.2 million, compared to $0.3 million for the three months ended March 31, 2025. The increase in cost of revenue is commensurate with the increase in sales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research and development expense decreased by $3.4 million, or 26.2%, to $9.7 million, compared to $13.1 million for the three months ended March 31, 2025. The decrease was primarily due to a $2.1 million decrease in stock-based compensation expense allocated to employees within this department, as well as a general reduction in development activities related to our next generation chip.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selling, general and administrative expense increased by $2.0 million, or 15.0%, to $15.1 million, compared to $13.1 million for the three months ended March 31, 2025. The increase was primarily due to an increase in our provision for expected credit losses during the three months ended March 31, 2026.</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months ended March 31, 2026 were comprised solely of payroll expenses for an individual related to one of our executive officers. During the three months ended March 31, 2025, selling, general and administrative - related party expenses included payroll expenses for the individual as well as advertising expenses incurred with a company owned by a relative of a shareholder and member of the Company’s Board of Directors.</w:t>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months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6"/>
        <w:gridCol w:w="1572"/>
        <w:gridCol w:w="1577"/>
        <w:gridCol w:w="229"/>
        <w:gridCol w:w="506"/>
        <w:gridCol w:w="118"/>
        <w:gridCol w:w="118"/>
        <w:gridCol w:w="118"/>
        <w:gridCol w:w="118"/>
        <w:gridCol w:w="229"/>
        <w:gridCol w:w="970"/>
        <w:gridCol w:w="118"/>
        <w:gridCol w:w="109"/>
        <w:gridCol w:w="109"/>
        <w:gridCol w:w="109"/>
        <w:gridCol w:w="211"/>
        <w:gridCol w:w="826"/>
        <w:gridCol w:w="109"/>
        <w:gridCol w:w="109"/>
        <w:gridCol w:w="109"/>
        <w:gridCol w:w="109"/>
        <w:gridCol w:w="308"/>
        <w:gridCol w:w="308"/>
        <w:gridCol w:w="320"/>
      </w:tblGrid>
      <w:tr>
        <w:trPr/>
        <w:tc>
          <w:tcPr>
            <w:tcW w:w="179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earnout shares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94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“total other expense, net” for the three months ended March 31, 2026 compared to the three months ended March 31, 2025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not outstanding in 2026. “Other,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bookmarkStart w:id="3" w:name="i3ac4ba03b840431ebf7e72d42e92baf8_6997"/>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to EBITDA and Adjusted EBITDA for the three months ended March 31, 2026 and 2025:</w:t>
      </w:r>
    </w:p>
    <w:p>
      <w:pPr>
        <w:pStyle w:val="TextBody"/>
        <w:bidi w:val="0"/>
        <w:spacing w:before="0" w:after="0"/>
        <w:jc w:val="left"/>
        <w:rPr/>
      </w:pPr>
      <w:r>
        <w:rPr/>
      </w:r>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9ae9280aceb644838003951781eff992_8181"/>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May 14, 2026:</w:t>
      </w:r>
    </w:p>
    <w:p>
      <w:pPr>
        <w:pStyle w:val="TextBody"/>
        <w:bidi w:val="0"/>
        <w:spacing w:before="0" w:after="0"/>
        <w:jc w:val="left"/>
        <w:rPr/>
      </w:pPr>
      <w:r>
        <w:rPr/>
      </w:r>
    </w:p>
    <w:tbl>
      <w:tblPr>
        <w:tblW w:w="6076"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122,746,757 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on May 5, 2026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142,299,461 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May 5, 2026, pursuant to the Underwriting Agreement, we sold and issued 18,918,918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May 14, 2026:</w:t>
      </w:r>
    </w:p>
    <w:p>
      <w:pPr>
        <w:pStyle w:val="TextBody"/>
        <w:bidi w:val="0"/>
        <w:spacing w:before="0" w:after="0"/>
        <w:jc w:val="left"/>
        <w:rPr/>
      </w:pPr>
      <w:r>
        <w:rPr/>
      </w:r>
    </w:p>
    <w:tbl>
      <w:tblPr>
        <w:tblW w:w="7381"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92"/>
        <w:gridCol w:w="594"/>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color w:val="000000"/>
                <w:sz w:val="20"/>
              </w:rPr>
              <w:t xml:space="preserve">Greenshoe” option shares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2,837,837</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100,615,331 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we had commitments to issue 28,697,076 shares of common stock to employees and others under stock option awards, and an additional</w:t>
      </w:r>
      <w:r>
        <w:rPr>
          <w:color w:val="EE2724"/>
        </w:rPr>
        <w:t xml:space="preserve"> </w:t>
      </w:r>
      <w:r>
        <w:rPr>
          <w:rFonts w:ascii="Times New Roman;serif" w:hAnsi="Times New Roman;serif"/>
          <w:b w:val="false"/>
          <w:color w:val="000000"/>
          <w:sz w:val="20"/>
        </w:rPr>
        <w:t>9,359,499 shares of our common stock under employee and other RSU awards. These commitments did not differ materially as of May 14, 2026, as we did not issue additional such awards during the time period between March 31, 2026 and May 14,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w:t>
      </w:r>
    </w:p>
    <w:p>
      <w:pPr>
        <w:pStyle w:val="TextBody"/>
        <w:bidi w:val="0"/>
        <w:spacing w:before="0" w:after="283"/>
        <w:jc w:val="left"/>
        <w:rPr/>
      </w:pPr>
      <w:r>
        <w:rPr/>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On May 5, 2026, pursuant to the Underwriting Agreement, as part of our offering of common stock on that date, we granted the Underwriters a 30-day option to purchase up to 2,837,837 additional shares of common stock, commonly referred to as a “greenshoe” option. The greenshoe option expires on June 5,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We have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During the three months ended March 31, 2026, we made additional sales under this agreement, and also received payment in full (in respect of all sales made under this agreement during 2025 and through March 31, 2026) from the Sales Partner and then paid the sales commission in cash, although future sales commissions may be partially payable in shares of our common stock at our discretion.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The remaining number of shares that we may sell under the Committed Equity Facility varies in relation to our stock price.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Three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$12.6 million for the three months ended March 31, 2026, compared to $15.9 million for the three months ended March 31, 2025. The decrease in cash used in operating activities was primarily due to a decrease of $125.1 million in net loss, which included a decrease in adjustments to reconcile net loss to net cash used in operating expenses of $111.0 million resulting from less volatility in fair value measurements during the current period, and an increase in changes in operating assets and liabilities of $10.8 million largely arising from payment of accrued trade payables.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used $0.1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financing activities was $0.1 million, which consisted of proceeds from the exercise of stock options. During the three months ended March 31, 2025, net cash provided by financing activities consisted of $15.9 million of proceeds from the Merger and PIPE financing, partially offset by the $4.5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Material Cash Requirements, Cash Collections, and Cash Availability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as of March 31, 2026 included normal course of business near-term general corporate expenses accrued in accounts payable and accrued expenses, such as consulting fees and employee payroll.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sold certain hardware in the amount of $23.8 million, and at the same time, purchased hardware from a third-party vendor in order to fulfill that sales contract, recording the trade account payable with the remaining balance as of March 31, 2026 referred to, above. Through May 14, 2026, we have received payments of $16.9 million from our customer, and we paid our vendor in full. The remaining receivable of $6.8 million is due from our customer as of May 14, 2026.</w:t>
      </w:r>
    </w:p>
    <w:p>
      <w:pPr>
        <w:pStyle w:val="TextBody"/>
        <w:bidi w:val="0"/>
        <w:spacing w:before="0" w:after="283"/>
        <w:jc w:val="left"/>
        <w:rPr/>
      </w:pPr>
      <w:r>
        <w:rPr/>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on hand of $33.2 million. Additionally,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“Emerging Growth Company and Smaller Reporting Company Status” of our Annual Report on Form 10-K for the year ended December 31, 2025. There have been no material changes to our Emerging Growth Company and Smaller Reporting Company Statuses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0b64cb59fe2f491fb4bdc78cdcf61599_269"/>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283"/>
        <w:jc w:val="left"/>
        <w:rPr/>
      </w:pPr>
      <w:r>
        <w:rPr/>
      </w: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March 31,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1"/>
        <w:gridCol w:w="125"/>
        <w:gridCol w:w="125"/>
        <w:gridCol w:w="125"/>
        <w:gridCol w:w="2679"/>
        <w:gridCol w:w="2607"/>
        <w:gridCol w:w="3727"/>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Blaize Holdings, Inc. (incorporated by reference to Exhibit 3.1 to the Company’s Current Report on Form 8-K filed January 17,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 xml:space="preserve">Certificate of Designations of Series A Junior Participating Preferred Stock of Blaize Holdings, Inc., filed with the Secretary of State of the State of Delaware on April 22, 2026 </w:t>
              </w:r>
            </w:hyperlink>
            <w:r>
              <w:rPr>
                <w:rFonts w:ascii="Times New Roman;serif" w:hAnsi="Times New Roman;serif"/>
                <w:b w:val="false"/>
                <w:color w:val="0000FF"/>
                <w:sz w:val="20"/>
                <w:u w:val="single"/>
              </w:rPr>
              <w:t>(incorporated by reference to Exhibit 3.1 to the Company’s Current Report on Form 8-K filed on April 22, 2026)</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Rights Agreement, dated as of April 22, 2026, between Blaize Holdings, Inc. and Continental Stock Transfer &amp; Trust Company, which includes the Form of Certificate of Designations of Series A Junior Participating Preferred Stock as Exhibit A, the Form of Right Certificate as Exhibit B and the Summary of Rights to Purchase Preferred Stock as Exhibit C (incorporated by reference to Exhibit 4.1 to the Company’s Current Report on Form 8-K filed on April 22,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Form of Lock-Up Agreement </w:t>
            </w:r>
            <w:hyperlink r:id="rId6">
              <w:r>
                <w:rPr>
                  <w:rStyle w:val="InternetLink"/>
                  <w:rFonts w:ascii="Times New Roman;serif" w:hAnsi="Times New Roman;serif"/>
                  <w:b w:val="false"/>
                  <w:color w:val="000080"/>
                  <w:sz w:val="20"/>
                  <w:u w:val="single"/>
                </w:rPr>
                <w:t>(incorporated by reference to Exhibit 10.1 to the Company’s Current Report on Form 8-K filed on May 6,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Amendment No. 1 to Common Stock Purchase Warrants, by and among Blaize Holdings, Inc., Polar Long/Short Master Fund, and Polar Multi-Strategy Master Fund, dated May 5, 2026 (incorporated by reference to Exhibit 10.2 to the Company’s Current Report on Form 8-K filed on May 6,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Offer Letter, by and between Blaize Holdings, Inc. and Kim Peterson Evans, dated May 9,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Offer Letter, by and between Blaize Holdings, Inc. and Stephen P. Patak, dated December 9,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Portions of this exhibit are redacted pursuant to Item 601(b)(10)(iv)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da47d377389042428988581ea05ea9e5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629"/>
        <w:gridCol w:w="554"/>
        <w:gridCol w:w="557"/>
        <w:gridCol w:w="1131"/>
        <w:gridCol w:w="1131"/>
        <w:gridCol w:w="160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71638/000119312525008517/d903961dex31.htm" TargetMode="External"/><Relationship Id="rId4" Type="http://schemas.openxmlformats.org/officeDocument/2006/relationships/hyperlink" Target="https://www.sec.gov/Archives/edgar/data/1871638/000187163826000025/exhibit31-certificateofdes.htm" TargetMode="External"/><Relationship Id="rId5" Type="http://schemas.openxmlformats.org/officeDocument/2006/relationships/hyperlink" Target="https://www.sec.gov/Archives/edgar/data/1871638/000187163826000025/exhibit41-rightsplan.htm" TargetMode="External"/><Relationship Id="rId6" Type="http://schemas.openxmlformats.org/officeDocument/2006/relationships/hyperlink" Target="https://www.sec.gov/Archives/edgar/data/1871638/000187163826000029/ex101-formoflockxupagreeme.htm" TargetMode="External"/><Relationship Id="rId7" Type="http://schemas.openxmlformats.org/officeDocument/2006/relationships/hyperlink" Target="https://www.sec.gov/Archives/edgar/data/1871638/000187163826000029/exhibit102-bzaixpolarwarra.htm" TargetMode="External"/><Relationship Id="rId8" Type="http://schemas.openxmlformats.org/officeDocument/2006/relationships/hyperlink" Target="https://www.sec.gov/Archives/edgar/data/1871638/000187163826000031/exhibit103-kimpetersonevan.htm" TargetMode="External"/><Relationship Id="rId9" Type="http://schemas.openxmlformats.org/officeDocument/2006/relationships/hyperlink" Target="https://www.sec.gov/Archives/edgar/data/1871638/000187163826000031/exhibit104-stephenpatakxof.htm" TargetMode="External"/><Relationship Id="rId10" Type="http://schemas.openxmlformats.org/officeDocument/2006/relationships/hyperlink" Target="https://www.sec.gov/Archives/edgar/data/1871638/000187163826000031/a2026-q110xqex311xmunagala.htm" TargetMode="External"/><Relationship Id="rId11" Type="http://schemas.openxmlformats.org/officeDocument/2006/relationships/hyperlink" Target="https://www.sec.gov/Archives/edgar/data/1871638/000187163826000031/a2026-q110xqex312xsehmi.htm" TargetMode="External"/><Relationship Id="rId12" Type="http://schemas.openxmlformats.org/officeDocument/2006/relationships/hyperlink" Target="https://www.sec.gov/Archives/edgar/data/1871638/000187163826000031/a2026-q110xqex321xmunagala.htm" TargetMode="External"/><Relationship Id="rId13" Type="http://schemas.openxmlformats.org/officeDocument/2006/relationships/hyperlink" Target="https://www.sec.gov/Archives/edgar/data/1871638/000187163826000031/a2026-q110xqex322xsehmi.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15121</Words>
  <Characters>83465</Characters>
  <CharactersWithSpaces>97437</CharactersWithSpaces>
  <Paragraphs>1969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