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color w:val="auto"/>
        </w:rPr>
        <w:t>—————————————————————————————————————————————</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line="236" w:lineRule="auto"/>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10-Q/A</w:t>
      </w:r>
    </w:p>
    <w:p>
      <w:pPr>
        <w:jc w:val="center"/>
        <w:spacing w:after="0" w:line="201" w:lineRule="auto"/>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1" w:lineRule="exact"/>
        <w:rPr>
          <w:sz w:val="24"/>
          <w:szCs w:val="24"/>
          <w:color w:val="auto"/>
        </w:rPr>
      </w:pPr>
    </w:p>
    <w:p>
      <w:pPr>
        <w:ind w:left="520" w:hanging="358"/>
        <w:spacing w:after="0"/>
        <w:tabs>
          <w:tab w:leader="none" w:pos="52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11" w:lineRule="exact"/>
        <w:rPr>
          <w:sz w:val="24"/>
          <w:szCs w:val="24"/>
          <w:color w:val="auto"/>
        </w:rPr>
      </w:pPr>
    </w:p>
    <w:p>
      <w:pPr>
        <w:ind w:left="520" w:hanging="342"/>
        <w:spacing w:after="0"/>
        <w:tabs>
          <w:tab w:leader="none" w:pos="52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 to ______</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001-41139</w:t>
      </w:r>
    </w:p>
    <w:p>
      <w:pPr>
        <w:jc w:val="cente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Blaize Holdings, Inc.</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jc w:val="cente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6" w:lineRule="exact"/>
        <w:rPr>
          <w:sz w:val="24"/>
          <w:szCs w:val="24"/>
          <w:color w:val="auto"/>
        </w:rPr>
      </w:pPr>
    </w:p>
    <w:tbl>
      <w:tblPr>
        <w:tblLayout w:type="fixed"/>
        <w:tblInd w:w="1100" w:type="dxa"/>
        <w:tblCellMar>
          <w:top w:w="0" w:type="dxa"/>
          <w:left w:w="0" w:type="dxa"/>
          <w:bottom w:w="0" w:type="dxa"/>
          <w:right w:w="0" w:type="dxa"/>
        </w:tblCellMar>
      </w:tblPr>
      <w:tr>
        <w:trPr>
          <w:trHeight w:val="238"/>
        </w:trPr>
        <w:tc>
          <w:tcPr>
            <w:tcW w:w="6140" w:type="dxa"/>
            <w:vAlign w:val="bottom"/>
          </w:tcPr>
          <w:p>
            <w:pPr>
              <w:jc w:val="center"/>
              <w:ind w:right="261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206"/>
        </w:trPr>
        <w:tc>
          <w:tcPr>
            <w:tcW w:w="6140" w:type="dxa"/>
            <w:vAlign w:val="bottom"/>
          </w:tcPr>
          <w:p>
            <w:pPr>
              <w:jc w:val="center"/>
              <w:ind w:right="261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240" w:type="dxa"/>
            <w:vAlign w:val="bottom"/>
          </w:tcPr>
          <w:p>
            <w:pPr>
              <w:jc w:val="center"/>
              <w:ind w:left="5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87"/>
        </w:trPr>
        <w:tc>
          <w:tcPr>
            <w:tcW w:w="6140" w:type="dxa"/>
            <w:vAlign w:val="bottom"/>
          </w:tcPr>
          <w:p>
            <w:pPr>
              <w:jc w:val="center"/>
              <w:ind w:right="2618"/>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2240" w:type="dxa"/>
            <w:vAlign w:val="bottom"/>
          </w:tcPr>
          <w:p>
            <w:pPr>
              <w:spacing w:after="0"/>
              <w:rPr>
                <w:sz w:val="24"/>
                <w:szCs w:val="24"/>
                <w:color w:val="auto"/>
              </w:rPr>
            </w:pPr>
          </w:p>
        </w:tc>
      </w:tr>
      <w:tr>
        <w:trPr>
          <w:trHeight w:val="238"/>
        </w:trPr>
        <w:tc>
          <w:tcPr>
            <w:tcW w:w="6140" w:type="dxa"/>
            <w:vAlign w:val="bottom"/>
          </w:tcPr>
          <w:p>
            <w:pPr>
              <w:jc w:val="center"/>
              <w:ind w:right="2618"/>
              <w:spacing w:after="0"/>
              <w:rPr>
                <w:sz w:val="20"/>
                <w:szCs w:val="20"/>
                <w:color w:val="auto"/>
              </w:rPr>
            </w:pPr>
            <w:r>
              <w:rPr>
                <w:rFonts w:ascii="Times New Roman" w:cs="Times New Roman" w:eastAsia="Times New Roman" w:hAnsi="Times New Roman"/>
                <w:sz w:val="18"/>
                <w:szCs w:val="18"/>
                <w:b w:val="1"/>
                <w:bCs w:val="1"/>
                <w:color w:val="auto"/>
              </w:rPr>
              <w:t>El Dorado Hills, CA</w:t>
            </w:r>
          </w:p>
        </w:tc>
        <w:tc>
          <w:tcPr>
            <w:tcW w:w="224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95762</w:t>
            </w:r>
          </w:p>
        </w:tc>
      </w:tr>
      <w:tr>
        <w:trPr>
          <w:trHeight w:val="206"/>
        </w:trPr>
        <w:tc>
          <w:tcPr>
            <w:tcW w:w="6140" w:type="dxa"/>
            <w:vAlign w:val="bottom"/>
          </w:tcPr>
          <w:p>
            <w:pPr>
              <w:jc w:val="center"/>
              <w:ind w:right="263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240" w:type="dxa"/>
            <w:vAlign w:val="bottom"/>
          </w:tcPr>
          <w:p>
            <w:pPr>
              <w:jc w:val="center"/>
              <w:ind w:left="59"/>
              <w:spacing w:after="0"/>
              <w:rPr>
                <w:sz w:val="20"/>
                <w:szCs w:val="20"/>
                <w:color w:val="auto"/>
              </w:rPr>
            </w:pPr>
            <w:r>
              <w:rPr>
                <w:rFonts w:ascii="Times New Roman" w:cs="Times New Roman" w:eastAsia="Times New Roman" w:hAnsi="Times New Roman"/>
                <w:sz w:val="14"/>
                <w:szCs w:val="14"/>
                <w:color w:val="auto"/>
              </w:rPr>
              <w:t>(Zip Code)</w:t>
            </w:r>
          </w:p>
        </w:tc>
      </w:tr>
      <w:tr>
        <w:trPr>
          <w:trHeight w:val="311"/>
        </w:trPr>
        <w:tc>
          <w:tcPr>
            <w:tcW w:w="6140" w:type="dxa"/>
            <w:vAlign w:val="bottom"/>
          </w:tcPr>
          <w:p>
            <w:pPr>
              <w:jc w:val="right"/>
              <w:ind w:right="978"/>
              <w:spacing w:after="0"/>
              <w:rPr>
                <w:sz w:val="20"/>
                <w:szCs w:val="20"/>
                <w:color w:val="auto"/>
              </w:rPr>
            </w:pPr>
            <w:r>
              <w:rPr>
                <w:rFonts w:ascii="Times New Roman" w:cs="Times New Roman" w:eastAsia="Times New Roman" w:hAnsi="Times New Roman"/>
                <w:sz w:val="18"/>
                <w:szCs w:val="18"/>
                <w:b w:val="1"/>
                <w:bCs w:val="1"/>
                <w:color w:val="auto"/>
              </w:rPr>
              <w:t>(916) 347-0050</w:t>
            </w:r>
          </w:p>
        </w:tc>
        <w:tc>
          <w:tcPr>
            <w:tcW w:w="2240" w:type="dxa"/>
            <w:vAlign w:val="bottom"/>
          </w:tcPr>
          <w:p>
            <w:pPr>
              <w:spacing w:after="0"/>
              <w:rPr>
                <w:sz w:val="24"/>
                <w:szCs w:val="24"/>
                <w:color w:val="auto"/>
              </w:rPr>
            </w:pPr>
          </w:p>
        </w:tc>
      </w:tr>
      <w:tr>
        <w:trPr>
          <w:trHeight w:val="188"/>
        </w:trPr>
        <w:tc>
          <w:tcPr>
            <w:tcW w:w="6140" w:type="dxa"/>
            <w:vAlign w:val="bottom"/>
          </w:tcPr>
          <w:p>
            <w:pPr>
              <w:jc w:val="center"/>
              <w:ind w:left="281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240" w:type="dxa"/>
            <w:vAlign w:val="bottom"/>
          </w:tcPr>
          <w:p>
            <w:pPr>
              <w:spacing w:after="0"/>
              <w:rPr>
                <w:sz w:val="16"/>
                <w:szCs w:val="16"/>
                <w:color w:val="auto"/>
              </w:rPr>
            </w:pPr>
          </w:p>
        </w:tc>
      </w:tr>
    </w:tbl>
    <w:p>
      <w:pPr>
        <w:spacing w:after="0" w:line="86" w:lineRule="exact"/>
        <w:rPr>
          <w:sz w:val="24"/>
          <w:szCs w:val="24"/>
          <w:color w:val="auto"/>
        </w:rPr>
      </w:pPr>
    </w:p>
    <w:p>
      <w:pPr>
        <w:sectPr>
          <w:pgSz w:w="11900" w:h="16838" w:orient="portrait"/>
          <w:cols w:equalWidth="0" w:num="1">
            <w:col w:w="11240"/>
          </w:cols>
          <w:pgMar w:left="320" w:top="721" w:right="3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31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p>
      <w:pPr>
        <w:spacing w:after="0" w:line="59" w:lineRule="exact"/>
        <w:rPr>
          <w:sz w:val="24"/>
          <w:szCs w:val="24"/>
          <w:color w:val="auto"/>
        </w:rPr>
      </w:pPr>
    </w:p>
    <w:p>
      <w:pPr>
        <w:jc w:val="center"/>
        <w:spacing w:after="0" w:line="290" w:lineRule="auto"/>
        <w:rPr>
          <w:sz w:val="20"/>
          <w:szCs w:val="20"/>
          <w:color w:val="auto"/>
        </w:rPr>
      </w:pPr>
      <w:r>
        <w:rPr>
          <w:rFonts w:ascii="Times New Roman" w:cs="Times New Roman" w:eastAsia="Times New Roman" w:hAnsi="Times New Roman"/>
          <w:sz w:val="16"/>
          <w:szCs w:val="16"/>
          <w:color w:val="auto"/>
        </w:rPr>
        <w:t>Warrants, each whole warrant exercisable for one share of common stock at an exercise price of $11.50 per share</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160" w:type="dxa"/>
            <w:vAlign w:val="bottom"/>
          </w:tcPr>
          <w:p>
            <w:pPr>
              <w:spacing w:after="0"/>
              <w:rPr>
                <w:sz w:val="18"/>
                <w:szCs w:val="18"/>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0"/>
        </w:trPr>
        <w:tc>
          <w:tcPr>
            <w:tcW w:w="18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BZAI</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w:t>
            </w:r>
          </w:p>
        </w:tc>
      </w:tr>
      <w:tr>
        <w:trPr>
          <w:trHeight w:val="338"/>
        </w:trPr>
        <w:tc>
          <w:tcPr>
            <w:tcW w:w="18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BZAIW</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w:t>
            </w:r>
          </w:p>
        </w:tc>
      </w:tr>
    </w:tbl>
    <w:p>
      <w:pPr>
        <w:spacing w:after="0" w:line="140" w:lineRule="exact"/>
        <w:rPr>
          <w:sz w:val="24"/>
          <w:szCs w:val="24"/>
          <w:color w:val="auto"/>
        </w:rPr>
      </w:pPr>
    </w:p>
    <w:p>
      <w:pPr>
        <w:sectPr>
          <w:pgSz w:w="11900" w:h="16838" w:orient="portrait"/>
          <w:cols w:equalWidth="0" w:num="2">
            <w:col w:w="4160" w:space="160"/>
            <w:col w:w="6920"/>
          </w:cols>
          <w:pgMar w:left="320" w:top="721" w:right="339" w:bottom="1440" w:gutter="0" w:footer="0" w:header="0"/>
          <w:type w:val="continuous"/>
        </w:sectPr>
      </w:pPr>
    </w:p>
    <w:tbl>
      <w:tblPr>
        <w:tblLayout w:type="fixed"/>
        <w:tblInd w:w="580" w:type="dxa"/>
        <w:tblCellMar>
          <w:top w:w="0" w:type="dxa"/>
          <w:left w:w="0" w:type="dxa"/>
          <w:bottom w:w="0" w:type="dxa"/>
          <w:right w:w="0" w:type="dxa"/>
        </w:tblCellMar>
      </w:tblPr>
      <w:tr>
        <w:trPr>
          <w:trHeight w:val="203"/>
        </w:trPr>
        <w:tc>
          <w:tcPr>
            <w:tcW w:w="4720" w:type="dxa"/>
            <w:vAlign w:val="bottom"/>
          </w:tcPr>
          <w:p>
            <w:pPr>
              <w:jc w:val="center"/>
              <w:ind w:right="1679"/>
              <w:spacing w:after="0"/>
              <w:rPr>
                <w:sz w:val="20"/>
                <w:szCs w:val="20"/>
                <w:color w:val="auto"/>
              </w:rPr>
            </w:pPr>
            <w:r>
              <w:rPr>
                <w:rFonts w:ascii="Times New Roman" w:cs="Times New Roman" w:eastAsia="Times New Roman" w:hAnsi="Times New Roman"/>
                <w:sz w:val="16"/>
                <w:szCs w:val="16"/>
                <w:color w:val="auto"/>
              </w:rPr>
              <w:t>Series A Junior Participating Preferred Stock,</w:t>
            </w:r>
          </w:p>
        </w:tc>
        <w:tc>
          <w:tcPr>
            <w:tcW w:w="3480" w:type="dxa"/>
            <w:vAlign w:val="bottom"/>
            <w:vMerge w:val="restart"/>
          </w:tcPr>
          <w:p>
            <w:pPr>
              <w:ind w:left="1780"/>
              <w:spacing w:after="0"/>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r>
        <w:trPr>
          <w:trHeight w:val="102"/>
        </w:trPr>
        <w:tc>
          <w:tcPr>
            <w:tcW w:w="4720" w:type="dxa"/>
            <w:vAlign w:val="bottom"/>
            <w:vMerge w:val="restart"/>
          </w:tcPr>
          <w:p>
            <w:pPr>
              <w:jc w:val="center"/>
              <w:ind w:right="1639"/>
              <w:spacing w:after="0"/>
              <w:rPr>
                <w:sz w:val="20"/>
                <w:szCs w:val="20"/>
                <w:color w:val="auto"/>
              </w:rPr>
            </w:pPr>
            <w:r>
              <w:rPr>
                <w:rFonts w:ascii="Times New Roman" w:cs="Times New Roman" w:eastAsia="Times New Roman" w:hAnsi="Times New Roman"/>
                <w:sz w:val="16"/>
                <w:szCs w:val="16"/>
                <w:color w:val="auto"/>
              </w:rPr>
              <w:t>par value $0.0001 per share</w:t>
            </w:r>
          </w:p>
        </w:tc>
        <w:tc>
          <w:tcPr>
            <w:tcW w:w="3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720" w:type="dxa"/>
            <w:vAlign w:val="bottom"/>
            <w:vMerge w:val="continue"/>
          </w:tcPr>
          <w:p>
            <w:pPr>
              <w:spacing w:after="0"/>
              <w:rPr>
                <w:sz w:val="9"/>
                <w:szCs w:val="9"/>
                <w:color w:val="auto"/>
              </w:rPr>
            </w:pPr>
          </w:p>
        </w:tc>
        <w:tc>
          <w:tcPr>
            <w:tcW w:w="34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4"/>
          <w:szCs w:val="24"/>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tabs>
          <w:tab w:leader="none" w:pos="1980" w:val="left"/>
          <w:tab w:leader="none" w:pos="2600" w:val="left"/>
        </w:tabs>
        <w:rPr>
          <w:sz w:val="20"/>
          <w:szCs w:val="20"/>
          <w:color w:val="auto"/>
        </w:rPr>
      </w:pPr>
      <w:r>
        <w:rPr>
          <w:rFonts w:ascii="Times New Roman" w:cs="Times New Roman" w:eastAsia="Times New Roman" w:hAnsi="Times New Roman"/>
          <w:sz w:val="16"/>
          <w:szCs w:val="16"/>
          <w:color w:val="auto"/>
        </w:rPr>
        <w:t>days.</w:t>
      </w:r>
      <w:r>
        <w:rPr>
          <w:sz w:val="20"/>
          <w:szCs w:val="20"/>
          <w:color w:val="auto"/>
        </w:rPr>
        <w:tab/>
      </w: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o</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w:t>
      </w:r>
    </w:p>
    <w:p>
      <w:pPr>
        <w:spacing w:after="0" w:line="26" w:lineRule="exact"/>
        <w:rPr>
          <w:sz w:val="24"/>
          <w:szCs w:val="24"/>
          <w:color w:val="auto"/>
        </w:rPr>
      </w:pPr>
    </w:p>
    <w:p>
      <w:pPr>
        <w:spacing w:after="0"/>
        <w:tabs>
          <w:tab w:leader="none" w:pos="10800" w:val="left"/>
        </w:tabs>
        <w:rPr>
          <w:sz w:val="20"/>
          <w:szCs w:val="20"/>
          <w:color w:val="auto"/>
        </w:rPr>
      </w:pPr>
      <w:r>
        <w:rPr>
          <w:rFonts w:ascii="Times New Roman" w:cs="Times New Roman" w:eastAsia="Times New Roman" w:hAnsi="Times New Roman"/>
          <w:sz w:val="16"/>
          <w:szCs w:val="16"/>
          <w:color w:val="auto"/>
        </w:rPr>
        <w:t>232.405 of this chapter) 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5"/>
          <w:szCs w:val="15"/>
          <w:color w:val="auto"/>
        </w:rPr>
        <w:t>Yes</w:t>
      </w:r>
    </w:p>
    <w:p>
      <w:pPr>
        <w:spacing w:after="0" w:line="14" w:lineRule="exact"/>
        <w:rPr>
          <w:sz w:val="24"/>
          <w:szCs w:val="24"/>
          <w:color w:val="auto"/>
        </w:rPr>
      </w:pPr>
    </w:p>
    <w:p>
      <w:pPr>
        <w:ind w:left="340" w:hanging="332"/>
        <w:spacing w:after="0"/>
        <w:tabs>
          <w:tab w:leader="none" w:pos="340" w:val="left"/>
        </w:tabs>
        <w:numPr>
          <w:ilvl w:val="0"/>
          <w:numId w:val="3"/>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 xml:space="preserve">No </w:t>
      </w:r>
      <w:r>
        <w:rPr>
          <w:rFonts w:ascii="Wingdings" w:cs="Wingdings" w:eastAsia="Wingdings" w:hAnsi="Wingdings"/>
          <w:sz w:val="16"/>
          <w:szCs w:val="16"/>
          <w:b w:val="1"/>
          <w:bCs w:val="1"/>
          <w:color w:val="auto"/>
        </w:rPr>
        <w:t>o</w:t>
      </w:r>
    </w:p>
    <w:p>
      <w:pPr>
        <w:spacing w:after="0" w:line="96"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1880" w:type="dxa"/>
        <w:tblCellMar>
          <w:top w:w="0" w:type="dxa"/>
          <w:left w:w="0" w:type="dxa"/>
          <w:bottom w:w="0" w:type="dxa"/>
          <w:right w:w="0" w:type="dxa"/>
        </w:tblCellMar>
      </w:tblPr>
      <w:tr>
        <w:trPr>
          <w:trHeight w:val="291"/>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800" w:type="dxa"/>
            <w:vAlign w:val="bottom"/>
          </w:tcPr>
          <w:p>
            <w:pPr>
              <w:ind w:left="540"/>
              <w:spacing w:after="0"/>
              <w:rPr>
                <w:sz w:val="20"/>
                <w:szCs w:val="20"/>
                <w:color w:val="auto"/>
              </w:rPr>
            </w:pPr>
            <w:r>
              <w:rPr>
                <w:rFonts w:ascii="Wingdings" w:cs="Wingdings" w:eastAsia="Wingdings" w:hAnsi="Wingdings"/>
                <w:sz w:val="16"/>
                <w:szCs w:val="16"/>
                <w:b w:val="1"/>
                <w:bCs w:val="1"/>
                <w:color w:val="181717"/>
              </w:rPr>
              <w:t>o</w:t>
            </w:r>
          </w:p>
        </w:tc>
        <w:tc>
          <w:tcPr>
            <w:tcW w:w="2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Accelerated filer</w:t>
            </w:r>
          </w:p>
        </w:tc>
        <w:tc>
          <w:tcPr>
            <w:tcW w:w="560" w:type="dxa"/>
            <w:vAlign w:val="bottom"/>
          </w:tcPr>
          <w:p>
            <w:pPr>
              <w:ind w:left="420"/>
              <w:spacing w:after="0"/>
              <w:rPr>
                <w:sz w:val="20"/>
                <w:szCs w:val="20"/>
                <w:color w:val="auto"/>
              </w:rPr>
            </w:pPr>
            <w:r>
              <w:rPr>
                <w:rFonts w:ascii="Wingdings" w:cs="Wingdings" w:eastAsia="Wingdings" w:hAnsi="Wingdings"/>
                <w:sz w:val="16"/>
                <w:szCs w:val="16"/>
                <w:b w:val="1"/>
                <w:bCs w:val="1"/>
                <w:color w:val="181717"/>
                <w:w w:val="83"/>
              </w:rPr>
              <w:t>o</w:t>
            </w:r>
          </w:p>
        </w:tc>
        <w:tc>
          <w:tcPr>
            <w:tcW w:w="0" w:type="dxa"/>
            <w:vAlign w:val="bottom"/>
          </w:tcPr>
          <w:p>
            <w:pPr>
              <w:spacing w:after="0"/>
              <w:rPr>
                <w:sz w:val="1"/>
                <w:szCs w:val="1"/>
                <w:color w:val="auto"/>
              </w:rPr>
            </w:pPr>
          </w:p>
        </w:tc>
      </w:tr>
      <w:tr>
        <w:trPr>
          <w:trHeight w:val="485"/>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8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2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325"/>
        </w:trPr>
        <w:tc>
          <w:tcPr>
            <w:tcW w:w="2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60" w:type="dxa"/>
            <w:vAlign w:val="bottom"/>
            <w:vMerge w:val="restart"/>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21"/>
        </w:trPr>
        <w:tc>
          <w:tcPr>
            <w:tcW w:w="20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p>
      <w:pPr>
        <w:spacing w:after="0" w:line="26" w:lineRule="exact"/>
        <w:rPr>
          <w:sz w:val="24"/>
          <w:szCs w:val="24"/>
          <w:color w:val="auto"/>
        </w:rPr>
      </w:pPr>
    </w:p>
    <w:p>
      <w:pPr>
        <w:spacing w:after="0"/>
        <w:tabs>
          <w:tab w:leader="none" w:pos="6340" w:val="left"/>
        </w:tabs>
        <w:rPr>
          <w:sz w:val="20"/>
          <w:szCs w:val="20"/>
          <w:color w:val="auto"/>
        </w:rPr>
      </w:pPr>
      <w:r>
        <w:rPr>
          <w:rFonts w:ascii="Times New Roman" w:cs="Times New Roman" w:eastAsia="Times New Roman" w:hAnsi="Times New Roman"/>
          <w:sz w:val="16"/>
          <w:szCs w:val="16"/>
          <w:color w:val="auto"/>
        </w:rPr>
        <w:t>financial accounting standards provided pursuant to Section 13(a) of the Exchange Act.</w:t>
      </w:r>
      <w:r>
        <w:rPr>
          <w:sz w:val="20"/>
          <w:szCs w:val="20"/>
          <w:color w:val="auto"/>
        </w:rPr>
        <w:tab/>
      </w:r>
      <w:r>
        <w:rPr>
          <w:rFonts w:ascii="Wingdings" w:cs="Wingdings" w:eastAsia="Wingdings" w:hAnsi="Wingdings"/>
          <w:sz w:val="15"/>
          <w:szCs w:val="15"/>
          <w:b w:val="1"/>
          <w:bCs w:val="1"/>
          <w:color w:val="auto"/>
        </w:rPr>
        <w:t>o</w:t>
      </w:r>
    </w:p>
    <w:p>
      <w:pPr>
        <w:spacing w:after="0" w:line="60" w:lineRule="exact"/>
        <w:rPr>
          <w:sz w:val="24"/>
          <w:szCs w:val="24"/>
          <w:color w:val="auto"/>
        </w:rPr>
      </w:pPr>
    </w:p>
    <w:p>
      <w:pPr>
        <w:spacing w:after="0" w:line="184" w:lineRule="exact"/>
        <w:tabs>
          <w:tab w:leader="none" w:pos="7200" w:val="left"/>
          <w:tab w:leader="none" w:pos="77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o</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6"/>
          <w:szCs w:val="16"/>
          <w:color w:val="auto"/>
        </w:rPr>
        <w:t>☒</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May 14, 2026, there were 142,299,461 shares of the registrant’s common stock, par value $0.0001 per share, outstanding.</w:t>
      </w:r>
    </w:p>
    <w:p>
      <w:pPr>
        <w:jc w:val="center"/>
        <w:ind w:right="-19"/>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1"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Amendment No. 1 on Form 10-Q/A (this “Amendment”) of Blaize Holdings, Inc. (the “Company”) amends the Company’s Quarterly Report on Form 10-Q for the quarterly period ended March 31, 2026 filed with the Securities and Exchange Commission on May 14, 2026 (the “Initial Form 10-Q”) to correct errors appearing in each of the certifications filed as Exhibits 31.1, 31.2, 32.1 and 32.2 thereto.</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Because the Company is refiling the corrected certifications as Exhibit 31.1, 31.2, 32.1 and 32.2 to this Amendment, it is required to refile a complete Form 10-Q for the quarterly period ended March 31, 2026.</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Other than the corrections to Exhibits 31.1, 31.2, 32.1 and 32.2, updating the dates on the signature page and the certifications filed as Exhibits 31.1, 31.2. 32.1 and 32.2, the inclusion on the cover page that this Amendment is Amendment No. 1 on Form 10-Q/A and the inclusion of this Explanatory Note, the information set forth in this Amendment is identical to that included in the Initial Form 10-Q. This Amendment does not otherwise change or update the disclosures set forth in the Initial Form 10-Q as originally filed and does not otherwise reflect events occurring after the original filing of the Initial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320" w:type="dxa"/>
            <w:vAlign w:val="bottom"/>
          </w:tcPr>
          <w:p>
            <w:pPr>
              <w:ind w:left="4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99"/>
        </w:trPr>
        <w:tc>
          <w:tcPr>
            <w:tcW w:w="1032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93"/>
        </w:trPr>
        <w:tc>
          <w:tcPr>
            <w:tcW w:w="103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Cautionary Note Regarding Forward-Looking Statements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r>
      <w:tr>
        <w:trPr>
          <w:trHeight w:val="270"/>
        </w:trPr>
        <w:tc>
          <w:tcPr>
            <w:tcW w:w="103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Important Information Regarding Our Disclosure to Investors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iii</w:t>
            </w:r>
          </w:p>
        </w:tc>
      </w:tr>
      <w:tr>
        <w:trPr>
          <w:trHeight w:val="513"/>
        </w:trPr>
        <w:tc>
          <w:tcPr>
            <w:tcW w:w="10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900" w:type="dxa"/>
            <w:vAlign w:val="bottom"/>
          </w:tcPr>
          <w:p>
            <w:pPr>
              <w:spacing w:after="0"/>
              <w:rPr>
                <w:sz w:val="24"/>
                <w:szCs w:val="24"/>
                <w:color w:val="auto"/>
              </w:rPr>
            </w:pPr>
          </w:p>
        </w:tc>
      </w:tr>
      <w:tr>
        <w:trPr>
          <w:trHeight w:val="243"/>
        </w:trPr>
        <w:tc>
          <w:tcPr>
            <w:tcW w:w="10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1. Financial Statements (Unaudited)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10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10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10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10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10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97"/>
        </w:trPr>
        <w:tc>
          <w:tcPr>
            <w:tcW w:w="10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Note 1 — Organization and Description of Business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10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Note 2 — Liquidity and Going Concern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10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Note 3 — Revenue and Accounts Receivable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10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Note 4 — Fair Value Measurements and Derivative Instruments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10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Note 5 — Financial Statement Details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70"/>
        </w:trPr>
        <w:tc>
          <w:tcPr>
            <w:tcW w:w="10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Note 6 — Common Stock, Currently Outstanding Warrants to Purchase Common Stock, and Earnout Shares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70"/>
        </w:trPr>
        <w:tc>
          <w:tcPr>
            <w:tcW w:w="10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Note 7 — Net Loss Per Share of Common Stock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70"/>
        </w:trPr>
        <w:tc>
          <w:tcPr>
            <w:tcW w:w="10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Note 8 — Segment Reporting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70"/>
        </w:trPr>
        <w:tc>
          <w:tcPr>
            <w:tcW w:w="10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Note 9 — Related Party Transactions and Balances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70"/>
        </w:trPr>
        <w:tc>
          <w:tcPr>
            <w:tcW w:w="10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Note 10 — Subsequent Events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43"/>
        </w:trPr>
        <w:tc>
          <w:tcPr>
            <w:tcW w:w="10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70"/>
        </w:trPr>
        <w:tc>
          <w:tcPr>
            <w:tcW w:w="10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70"/>
        </w:trPr>
        <w:tc>
          <w:tcPr>
            <w:tcW w:w="10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365"/>
        </w:trPr>
        <w:tc>
          <w:tcPr>
            <w:tcW w:w="10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70"/>
        </w:trPr>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 Legal Proceedings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70"/>
        </w:trPr>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1A. 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70"/>
        </w:trPr>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70"/>
        </w:trPr>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70"/>
        </w:trPr>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70"/>
        </w:trPr>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5. Other Information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70"/>
        </w:trPr>
        <w:tc>
          <w:tcPr>
            <w:tcW w:w="10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6. Exhibits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70"/>
        </w:trPr>
        <w:tc>
          <w:tcPr>
            <w:tcW w:w="10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4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of Blaize Holdings, Inc. (the “Company,” “we,” “our,” or “us”) contains forward-looking statements within the meaning of Section 27A of the U.S. Securities Act of 1933, as amended (the “Securities Act”), and Section 21E of the U.S. Securities Exchange Act of 1934, as amended (the “Exchange Act”).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Quarterly Report on Form 10-Q, including but not limited to, changes in domestic and foreign business, market, financial, political and legal conditions; risks related to the Business Combination, as defined in the Glossary of our Annual Report on Form 10-K for the fiscal year ended December 31, 2025 (the “Annual Report on Form 10-K” or “Form 10-K”) filed with the U.S. Securities and Exchange Commission (“SEC”) on March 24, 2026, including that the expected benefits of the Business Combination are not obtained, whether due to competition, the ability of the combined company to grow and manage growth profitably, maintain relationships with customers and suppliers and retain its management and key employees, among other things, and that the Business Combination disrupts current plans and operations of the Company; the ability to meet the applicable stock exchange listing standards from time to time; changes in applicable law or regulations; changes in global and U.S. economic conditions, including impacts from geopolitical conflicts, recession, inflation, changes in trade policies (including tariffs and other trade measures) of the United States and other countries, interest rate fluctuations, and financial market conditions; prolonged or recurring U.S. federal government shutdowns; the outcome of any legal proceedings that may be instituted against the Company or may involve the Company; the effects of competition on the Company’s future business; the ability of the combined company to issue equity or equity-linked securities or obtain debt financing on favorable terms or at all; the enforceability of our intellectual property rights, including our copyrights, patents, trademarks and trade secrets, and the potential infringement on the intellectual property rights of others; risks related to human capital; risks related to cybersecurity and data privacy; the outcome of any government and regulatory proceedings, investigations and inquiries; and those factors discussed in Part I, Item 1A. “Risk Factors” the Form 10-K, as amended by Amendment No. 1 on Form 10-K/A filed with the SEC on April 30, 2026, Part II, Item 1A. “Risk Factors” herein,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and the Company assumes no obligation to update or revise these forward-looking statements, whether as a result of new information, future events, or otherwise, except as required by law, including the securities laws of the United States and the rules and regulations of the SEC. Readers are cautioned not to put undue reliance on forward-looking statements. The Company does not give any assurance that it will achieve its expectations.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4" w:name="page5"/>
    <w:bookmarkEnd w:id="4"/>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IMPORTANT INFORMATION REGARDING OUR DISCLOSURE TO INVESTORS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use our website (www.blaize.com) to communicate with our investors and disclose company information. The information disclosed through our website may be considered material. Investors should monitor our website in addition to press releases, SEC filings and public conference calls and webcasts. The contents of our website referenced herein are not incorporated by reference into this Quarterly Report on Form 10-Q.</w:t>
      </w:r>
    </w:p>
    <w:p>
      <w:pPr>
        <w:spacing w:after="0" w:line="200" w:lineRule="exact"/>
        <w:rPr>
          <w:sz w:val="20"/>
          <w:szCs w:val="20"/>
          <w:color w:val="auto"/>
        </w:rPr>
      </w:pPr>
    </w:p>
    <w:p>
      <w:pPr>
        <w:spacing w:after="0" w:line="3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43"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 except shares and per share amounts, or unless otherwise noted)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80" w:type="dxa"/>
            <w:vAlign w:val="bottom"/>
          </w:tcPr>
          <w:p>
            <w:pPr>
              <w:spacing w:after="0"/>
              <w:rPr>
                <w:sz w:val="20"/>
                <w:szCs w:val="20"/>
                <w:color w:val="auto"/>
              </w:rPr>
            </w:pPr>
          </w:p>
        </w:tc>
        <w:tc>
          <w:tcPr>
            <w:tcW w:w="1780" w:type="dxa"/>
            <w:vAlign w:val="bottom"/>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45,781</w:t>
            </w:r>
          </w:p>
        </w:tc>
        <w:tc>
          <w:tcPr>
            <w:tcW w:w="0" w:type="dxa"/>
            <w:vAlign w:val="bottom"/>
          </w:tcPr>
          <w:p>
            <w:pPr>
              <w:spacing w:after="0"/>
              <w:rPr>
                <w:sz w:val="1"/>
                <w:szCs w:val="1"/>
                <w:color w:val="auto"/>
              </w:rPr>
            </w:pP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$2,430 and $523, respectively</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33,363</w:t>
            </w:r>
          </w:p>
        </w:tc>
        <w:tc>
          <w:tcPr>
            <w:tcW w:w="0" w:type="dxa"/>
            <w:vAlign w:val="bottom"/>
          </w:tcPr>
          <w:p>
            <w:pPr>
              <w:spacing w:after="0"/>
              <w:rPr>
                <w:sz w:val="1"/>
                <w:szCs w:val="1"/>
                <w:color w:val="auto"/>
              </w:rPr>
            </w:pPr>
          </w:p>
        </w:tc>
      </w:tr>
      <w:tr>
        <w:trPr>
          <w:trHeight w:val="175"/>
        </w:trPr>
        <w:tc>
          <w:tcPr>
            <w:tcW w:w="70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Accounts receivable - related party, net of allowance for credit losses of $— and $34,</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0" w:type="dxa"/>
            <w:vAlign w:val="bottom"/>
          </w:tcPr>
          <w:p>
            <w:pPr>
              <w:spacing w:after="0"/>
              <w:rPr>
                <w:sz w:val="1"/>
                <w:szCs w:val="1"/>
                <w:color w:val="auto"/>
              </w:rPr>
            </w:pPr>
          </w:p>
        </w:tc>
      </w:tr>
      <w:tr>
        <w:trPr>
          <w:trHeight w:val="229"/>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 net</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0" w:type="dxa"/>
            <w:vAlign w:val="bottom"/>
          </w:tcPr>
          <w:p>
            <w:pPr>
              <w:spacing w:after="0"/>
              <w:rPr>
                <w:sz w:val="1"/>
                <w:szCs w:val="1"/>
                <w:color w:val="auto"/>
              </w:rPr>
            </w:pPr>
          </w:p>
        </w:tc>
      </w:tr>
      <w:tr>
        <w:trPr>
          <w:trHeight w:val="223"/>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96,607</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8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70,752</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102,211</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12,583</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trade payables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22,838</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0" w:type="dxa"/>
            <w:vAlign w:val="bottom"/>
          </w:tcPr>
          <w:p>
            <w:pPr>
              <w:spacing w:after="0"/>
              <w:rPr>
                <w:sz w:val="1"/>
                <w:szCs w:val="1"/>
                <w:color w:val="auto"/>
              </w:rPr>
            </w:pP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 related party</w:t>
            </w:r>
          </w:p>
        </w:tc>
        <w:tc>
          <w:tcPr>
            <w:tcW w:w="30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Working capital loan - related party</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0" w:type="dxa"/>
            <w:vAlign w:val="bottom"/>
          </w:tcPr>
          <w:p>
            <w:pPr>
              <w:spacing w:after="0"/>
              <w:rPr>
                <w:sz w:val="1"/>
                <w:szCs w:val="1"/>
                <w:color w:val="auto"/>
              </w:rPr>
            </w:pPr>
          </w:p>
        </w:tc>
      </w:tr>
      <w:tr>
        <w:trPr>
          <w:trHeight w:val="223"/>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43,389</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7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earnout shares</w:t>
            </w:r>
          </w:p>
        </w:tc>
        <w:tc>
          <w:tcPr>
            <w:tcW w:w="3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earnout shares - related party</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0" w:type="dxa"/>
            <w:vAlign w:val="bottom"/>
          </w:tcPr>
          <w:p>
            <w:pPr>
              <w:spacing w:after="0"/>
              <w:rPr>
                <w:sz w:val="1"/>
                <w:szCs w:val="1"/>
                <w:color w:val="auto"/>
              </w:rPr>
            </w:pPr>
          </w:p>
        </w:tc>
      </w:tr>
      <w:tr>
        <w:trPr>
          <w:trHeight w:val="229"/>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Polar warrants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45,307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63,211</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0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 $0.0001 par value; 600,000,000 and 600,000,000 shares authorized as of</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March 31, 2026 and December 31, 2025, respectively, and 122,746,757 and 122,043,966</w:t>
            </w:r>
          </w:p>
        </w:tc>
        <w:tc>
          <w:tcPr>
            <w:tcW w:w="3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shares issued and outstanding as of March 31, 2026 and December 31, 2025, respectively</w:t>
            </w:r>
          </w:p>
        </w:tc>
        <w:tc>
          <w:tcPr>
            <w:tcW w:w="3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675,143</w:t>
            </w:r>
          </w:p>
        </w:tc>
        <w:tc>
          <w:tcPr>
            <w:tcW w:w="0" w:type="dxa"/>
            <w:vAlign w:val="bottom"/>
          </w:tcPr>
          <w:p>
            <w:pPr>
              <w:spacing w:after="0"/>
              <w:rPr>
                <w:sz w:val="1"/>
                <w:szCs w:val="1"/>
                <w:color w:val="auto"/>
              </w:rPr>
            </w:pPr>
          </w:p>
        </w:tc>
      </w:tr>
      <w:tr>
        <w:trPr>
          <w:trHeight w:val="270"/>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(658,808)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(636,155)</w:t>
            </w:r>
          </w:p>
        </w:tc>
        <w:tc>
          <w:tcPr>
            <w:tcW w:w="0" w:type="dxa"/>
            <w:vAlign w:val="bottom"/>
          </w:tcPr>
          <w:p>
            <w:pPr>
              <w:spacing w:after="0"/>
              <w:rPr>
                <w:sz w:val="1"/>
                <w:szCs w:val="1"/>
                <w:color w:val="auto"/>
              </w:rPr>
            </w:pPr>
          </w:p>
        </w:tc>
      </w:tr>
      <w:tr>
        <w:trPr>
          <w:trHeight w:val="264"/>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25,445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39,000</w:t>
            </w:r>
          </w:p>
        </w:tc>
        <w:tc>
          <w:tcPr>
            <w:tcW w:w="0" w:type="dxa"/>
            <w:vAlign w:val="bottom"/>
          </w:tcPr>
          <w:p>
            <w:pPr>
              <w:spacing w:after="0"/>
              <w:rPr>
                <w:sz w:val="1"/>
                <w:szCs w:val="1"/>
                <w:color w:val="auto"/>
              </w:rPr>
            </w:pPr>
          </w:p>
        </w:tc>
      </w:tr>
      <w:tr>
        <w:trPr>
          <w:trHeight w:val="26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70,752</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102,211</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 except shares and per share amounts)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0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2"/>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50"/>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Hardware revenue - related party</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Hardware revenue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7"/>
        </w:trPr>
        <w:tc>
          <w:tcPr>
            <w:tcW w:w="7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Software revenue - related party</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Strategic consulting services revenue - related party</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6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1,576</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680</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w:t>
            </w: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w:t>
            </w: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 related party</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9"/>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 costs</w:t>
            </w:r>
          </w:p>
        </w:tc>
        <w:tc>
          <w:tcPr>
            <w:tcW w:w="48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r>
      <w:tr>
        <w:trPr>
          <w:trHeight w:val="223"/>
        </w:trPr>
        <w:tc>
          <w:tcPr>
            <w:tcW w:w="70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24,964</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38,701</w:t>
            </w:r>
          </w:p>
        </w:tc>
      </w:tr>
      <w:tr>
        <w:trPr>
          <w:trHeight w:val="26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(23,388)</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(38,021)</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7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Legacy Blaize convertible notes and warrants</w:t>
            </w:r>
          </w:p>
        </w:tc>
        <w:tc>
          <w:tcPr>
            <w:tcW w:w="480" w:type="dxa"/>
            <w:vAlign w:val="bottom"/>
          </w:tcPr>
          <w:p>
            <w:pPr>
              <w:spacing w:after="0"/>
              <w:rPr>
                <w:sz w:val="23"/>
                <w:szCs w:val="23"/>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(226,048)</w:t>
            </w: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116,518</w:t>
            </w:r>
          </w:p>
        </w:tc>
      </w:tr>
      <w:tr>
        <w:trPr>
          <w:trHeight w:val="27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Polar warrants</w:t>
            </w:r>
          </w:p>
        </w:tc>
        <w:tc>
          <w:tcPr>
            <w:tcW w:w="4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64"/>
        </w:trPr>
        <w:tc>
          <w:tcPr>
            <w:tcW w:w="7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(109,578)</w:t>
            </w:r>
          </w:p>
        </w:tc>
      </w:tr>
      <w:tr>
        <w:trPr>
          <w:trHeight w:val="26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(22,554)</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(147,599)</w:t>
            </w:r>
          </w:p>
        </w:tc>
      </w:tr>
      <w:tr>
        <w:trPr>
          <w:trHeight w:val="230"/>
        </w:trPr>
        <w:tc>
          <w:tcPr>
            <w:tcW w:w="7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6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8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(22,653)</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(147,761)</w:t>
            </w:r>
          </w:p>
        </w:tc>
      </w:tr>
      <w:tr>
        <w:trPr>
          <w:trHeight w:val="24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 adjustments, net</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3"/>
        </w:trPr>
        <w:tc>
          <w:tcPr>
            <w:tcW w:w="7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(22,528)</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(147,761)</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7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7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23"/>
                <w:szCs w:val="23"/>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4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122,382,195</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91,747,685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 except shares)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gridSpan w:val="9"/>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Common Stock Subject</w:t>
            </w: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9"/>
          </w:tcPr>
          <w:p>
            <w:pPr>
              <w:ind w:left="58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60" w:type="dxa"/>
            <w:vAlign w:val="bottom"/>
            <w:gridSpan w:val="9"/>
            <w:vMerge w:val="continue"/>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50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780" w:type="dxa"/>
            <w:vAlign w:val="bottom"/>
            <w:gridSpan w:val="7"/>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to Possible Redemption</w:t>
            </w:r>
          </w:p>
        </w:tc>
        <w:tc>
          <w:tcPr>
            <w:tcW w:w="80" w:type="dxa"/>
            <w:vAlign w:val="bottom"/>
            <w:gridSpan w:val="2"/>
            <w:vMerge w:val="restart"/>
          </w:tcPr>
          <w:p>
            <w:pPr>
              <w:spacing w:after="0"/>
              <w:rPr>
                <w:sz w:val="4"/>
                <w:szCs w:val="4"/>
                <w:color w:val="auto"/>
              </w:rPr>
            </w:pPr>
          </w:p>
        </w:tc>
        <w:tc>
          <w:tcPr>
            <w:tcW w:w="1940" w:type="dxa"/>
            <w:vAlign w:val="bottom"/>
            <w:gridSpan w:val="7"/>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gridSpan w:val="2"/>
            <w:vMerge w:val="restart"/>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780" w:type="dxa"/>
            <w:vAlign w:val="bottom"/>
            <w:gridSpan w:val="7"/>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1940" w:type="dxa"/>
            <w:vAlign w:val="bottom"/>
            <w:gridSpan w:val="7"/>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80" w:type="dxa"/>
            <w:vAlign w:val="bottom"/>
            <w:tcBorders>
              <w:bottom w:val="single" w:sz="8" w:color="auto"/>
            </w:tcBorders>
            <w:gridSpan w:val="7"/>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1940" w:type="dxa"/>
            <w:vAlign w:val="bottom"/>
            <w:tcBorders>
              <w:bottom w:val="single" w:sz="8" w:color="auto"/>
            </w:tcBorders>
            <w:gridSpan w:val="7"/>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4"/>
          </w:tcPr>
          <w:p>
            <w:pPr>
              <w:jc w:val="center"/>
              <w:ind w:right="200"/>
              <w:spacing w:after="0" w:line="135" w:lineRule="exact"/>
              <w:rPr>
                <w:sz w:val="20"/>
                <w:szCs w:val="20"/>
                <w:color w:val="auto"/>
              </w:rPr>
            </w:pPr>
            <w:r>
              <w:rPr>
                <w:rFonts w:ascii="Times New Roman" w:cs="Times New Roman" w:eastAsia="Times New Roman" w:hAnsi="Times New Roman"/>
                <w:sz w:val="15"/>
                <w:szCs w:val="15"/>
                <w:b w:val="1"/>
                <w:bCs w:val="1"/>
                <w:color w:val="auto"/>
              </w:rPr>
              <w:t>Paid-in</w:t>
            </w:r>
          </w:p>
        </w:tc>
        <w:tc>
          <w:tcPr>
            <w:tcW w:w="140" w:type="dxa"/>
            <w:vAlign w:val="bottom"/>
          </w:tcPr>
          <w:p>
            <w:pPr>
              <w:spacing w:after="0"/>
              <w:rPr>
                <w:sz w:val="11"/>
                <w:szCs w:val="11"/>
                <w:color w:val="auto"/>
              </w:rPr>
            </w:pPr>
          </w:p>
        </w:tc>
        <w:tc>
          <w:tcPr>
            <w:tcW w:w="1360" w:type="dxa"/>
            <w:vAlign w:val="bottom"/>
            <w:gridSpan w:val="4"/>
            <w:vMerge w:val="continue"/>
          </w:tcPr>
          <w:p>
            <w:pPr>
              <w:spacing w:after="0"/>
              <w:rPr>
                <w:sz w:val="11"/>
                <w:szCs w:val="11"/>
                <w:color w:val="auto"/>
              </w:rPr>
            </w:pPr>
          </w:p>
        </w:tc>
        <w:tc>
          <w:tcPr>
            <w:tcW w:w="1080" w:type="dxa"/>
            <w:vAlign w:val="bottom"/>
            <w:gridSpan w:val="5"/>
          </w:tcPr>
          <w:p>
            <w:pPr>
              <w:ind w:left="40"/>
              <w:spacing w:after="0" w:line="135"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00" w:type="dxa"/>
            <w:vAlign w:val="bottom"/>
          </w:tcPr>
          <w:p>
            <w:pPr>
              <w:spacing w:after="0"/>
              <w:rPr>
                <w:sz w:val="11"/>
                <w:szCs w:val="11"/>
                <w:color w:val="auto"/>
              </w:rPr>
            </w:pPr>
          </w:p>
        </w:tc>
        <w:tc>
          <w:tcPr>
            <w:tcW w:w="11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21"/>
        </w:trPr>
        <w:tc>
          <w:tcPr>
            <w:tcW w:w="24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gridSpan w:val="2"/>
          </w:tcPr>
          <w:p>
            <w:pPr>
              <w:spacing w:after="0"/>
              <w:rPr>
                <w:sz w:val="19"/>
                <w:szCs w:val="19"/>
                <w:color w:val="auto"/>
              </w:rPr>
            </w:pPr>
          </w:p>
        </w:tc>
        <w:tc>
          <w:tcPr>
            <w:tcW w:w="9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80" w:type="dxa"/>
            <w:vAlign w:val="bottom"/>
            <w:tcBorders>
              <w:bottom w:val="single" w:sz="8" w:color="CCEEFF"/>
            </w:tcBorders>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65"/>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2026</w:t>
            </w:r>
          </w:p>
        </w:tc>
        <w:tc>
          <w:tcPr>
            <w:tcW w:w="920" w:type="dxa"/>
            <w:vAlign w:val="bottom"/>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122,043,966</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675,143</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(636,155)</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39,000</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0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920" w:type="dxa"/>
            <w:vAlign w:val="bottom"/>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653,589</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3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90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0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gridSpan w:val="2"/>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gridSpan w:val="2"/>
          </w:tcPr>
          <w:p>
            <w:pPr>
              <w:spacing w:after="0"/>
              <w:rPr>
                <w:sz w:val="23"/>
                <w:szCs w:val="23"/>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gridSpan w:val="2"/>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gridSpan w:val="2"/>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gridSpan w:val="2"/>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gridSpan w:val="2"/>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840" w:type="dxa"/>
            <w:vAlign w:val="bottom"/>
            <w:tcBorders>
              <w:bottom w:val="single" w:sz="8" w:color="auto"/>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tcBorders>
              <w:bottom w:val="single" w:sz="8" w:color="CCEEFF"/>
            </w:tcBorders>
            <w:gridSpan w:val="2"/>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gridSpan w:val="2"/>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122,746,757</w:t>
            </w:r>
          </w:p>
        </w:tc>
        <w:tc>
          <w:tcPr>
            <w:tcW w:w="2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684,116</w:t>
            </w:r>
          </w:p>
        </w:tc>
        <w:tc>
          <w:tcPr>
            <w:tcW w:w="2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2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(658,808)</w:t>
            </w:r>
          </w:p>
        </w:tc>
        <w:tc>
          <w:tcPr>
            <w:tcW w:w="2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25,445</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9"/>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Stockholders’ (Deficit) Equity</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gridSpan w:val="9"/>
          </w:tcPr>
          <w:p>
            <w:pPr>
              <w:ind w:left="40"/>
              <w:spacing w:after="0" w:line="172" w:lineRule="exact"/>
              <w:rPr>
                <w:sz w:val="20"/>
                <w:szCs w:val="20"/>
                <w:color w:val="auto"/>
              </w:rPr>
            </w:pPr>
            <w:r>
              <w:rPr>
                <w:rFonts w:ascii="Times New Roman" w:cs="Times New Roman" w:eastAsia="Times New Roman" w:hAnsi="Times New Roman"/>
                <w:sz w:val="16"/>
                <w:szCs w:val="16"/>
                <w:b w:val="1"/>
                <w:bCs w:val="1"/>
                <w:color w:val="auto"/>
              </w:rPr>
              <w:t>Common Stock Subject</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00" w:type="dxa"/>
            <w:vAlign w:val="bottom"/>
            <w:gridSpan w:val="5"/>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76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to Possible Redemption</w:t>
            </w:r>
          </w:p>
        </w:tc>
        <w:tc>
          <w:tcPr>
            <w:tcW w:w="80" w:type="dxa"/>
            <w:vAlign w:val="bottom"/>
            <w:gridSpan w:val="2"/>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1920" w:type="dxa"/>
            <w:vAlign w:val="bottom"/>
            <w:gridSpan w:val="6"/>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gridSpan w:val="3"/>
            <w:vMerge w:val="restart"/>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6"/>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1920" w:type="dxa"/>
            <w:vAlign w:val="bottom"/>
            <w:tcBorders>
              <w:bottom w:val="single" w:sz="8" w:color="auto"/>
            </w:tcBorders>
            <w:gridSpan w:val="6"/>
            <w:vMerge w:val="continue"/>
          </w:tcPr>
          <w:p>
            <w:pPr>
              <w:spacing w:after="0"/>
              <w:rPr>
                <w:sz w:val="11"/>
                <w:szCs w:val="11"/>
                <w:color w:val="auto"/>
              </w:rPr>
            </w:pPr>
          </w:p>
        </w:tc>
        <w:tc>
          <w:tcPr>
            <w:tcW w:w="1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4"/>
          </w:tcPr>
          <w:p>
            <w:pPr>
              <w:jc w:val="center"/>
              <w:ind w:right="220"/>
              <w:spacing w:after="0" w:line="135" w:lineRule="exact"/>
              <w:rPr>
                <w:sz w:val="20"/>
                <w:szCs w:val="20"/>
                <w:color w:val="auto"/>
              </w:rPr>
            </w:pPr>
            <w:r>
              <w:rPr>
                <w:rFonts w:ascii="Times New Roman" w:cs="Times New Roman" w:eastAsia="Times New Roman" w:hAnsi="Times New Roman"/>
                <w:sz w:val="15"/>
                <w:szCs w:val="15"/>
                <w:b w:val="1"/>
                <w:bCs w:val="1"/>
                <w:color w:val="auto"/>
              </w:rPr>
              <w:t>Paid-in</w:t>
            </w:r>
          </w:p>
        </w:tc>
        <w:tc>
          <w:tcPr>
            <w:tcW w:w="140" w:type="dxa"/>
            <w:vAlign w:val="bottom"/>
          </w:tcPr>
          <w:p>
            <w:pPr>
              <w:spacing w:after="0"/>
              <w:rPr>
                <w:sz w:val="11"/>
                <w:szCs w:val="11"/>
                <w:color w:val="auto"/>
              </w:rPr>
            </w:pPr>
          </w:p>
        </w:tc>
        <w:tc>
          <w:tcPr>
            <w:tcW w:w="1360" w:type="dxa"/>
            <w:vAlign w:val="bottom"/>
            <w:gridSpan w:val="4"/>
            <w:vMerge w:val="continue"/>
          </w:tcPr>
          <w:p>
            <w:pPr>
              <w:spacing w:after="0"/>
              <w:rPr>
                <w:sz w:val="11"/>
                <w:szCs w:val="11"/>
                <w:color w:val="auto"/>
              </w:rPr>
            </w:pPr>
          </w:p>
        </w:tc>
        <w:tc>
          <w:tcPr>
            <w:tcW w:w="1080" w:type="dxa"/>
            <w:vAlign w:val="bottom"/>
            <w:gridSpan w:val="5"/>
          </w:tcPr>
          <w:p>
            <w:pPr>
              <w:ind w:left="20"/>
              <w:spacing w:after="0" w:line="135"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00" w:type="dxa"/>
            <w:vAlign w:val="bottom"/>
          </w:tcPr>
          <w:p>
            <w:pPr>
              <w:spacing w:after="0"/>
              <w:rPr>
                <w:sz w:val="11"/>
                <w:szCs w:val="11"/>
                <w:color w:val="auto"/>
              </w:rPr>
            </w:pPr>
          </w:p>
        </w:tc>
        <w:tc>
          <w:tcPr>
            <w:tcW w:w="11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21"/>
        </w:trPr>
        <w:tc>
          <w:tcPr>
            <w:tcW w:w="24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 Equity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48,376,052</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318,783</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(429,251)</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(110,463)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4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Conversion of Legacy Blaize</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convertible notes</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31,433,259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314,331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4"/>
            <w:vMerge w:val="continue"/>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6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exercise of Legacy Blaize</w:t>
            </w: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warrants</w:t>
            </w: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7,505,657</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4"/>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Merger and PIPE financing</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2,854,242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11,408,957</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(126,165)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(126,164)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46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Payment on shareholder note</w:t>
            </w: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w:t>
            </w: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4"/>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to</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advisors</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4"/>
            <w:vMerge w:val="continue"/>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6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warrants to advisor</w:t>
            </w: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4"/>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8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(147,761)</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2,854,242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33,061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98,818,874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593,712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(577,012)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20" w:type="dxa"/>
            <w:vAlign w:val="bottom"/>
          </w:tcPr>
          <w:p>
            <w:pPr>
              <w:spacing w:after="0"/>
              <w:rPr>
                <w:sz w:val="19"/>
                <w:szCs w:val="19"/>
                <w:color w:val="auto"/>
              </w:rPr>
            </w:pPr>
          </w:p>
        </w:tc>
        <w:tc>
          <w:tcPr>
            <w:tcW w:w="3360" w:type="dxa"/>
            <w:vAlign w:val="bottom"/>
            <w:tcBorders>
              <w:bottom w:val="single" w:sz="8" w:color="auto"/>
            </w:tcBorders>
            <w:gridSpan w:val="4"/>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80" w:type="dxa"/>
            <w:vAlign w:val="bottom"/>
            <w:tcBorders>
              <w:bottom w:val="single" w:sz="8" w:color="CCEEFF"/>
            </w:tcBorders>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(12,630)</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(15,944)</w:t>
            </w:r>
          </w:p>
        </w:tc>
        <w:tc>
          <w:tcPr>
            <w:tcW w:w="0" w:type="dxa"/>
            <w:vAlign w:val="bottom"/>
          </w:tcPr>
          <w:p>
            <w:pPr>
              <w:spacing w:after="0"/>
              <w:rPr>
                <w:sz w:val="1"/>
                <w:szCs w:val="1"/>
                <w:color w:val="auto"/>
              </w:rPr>
            </w:pPr>
          </w:p>
        </w:tc>
      </w:tr>
      <w:tr>
        <w:trPr>
          <w:trHeight w:val="270"/>
        </w:trPr>
        <w:tc>
          <w:tcPr>
            <w:tcW w:w="7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43"/>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w:t>
            </w:r>
          </w:p>
        </w:tc>
        <w:tc>
          <w:tcPr>
            <w:tcW w:w="0" w:type="dxa"/>
            <w:vAlign w:val="bottom"/>
          </w:tcPr>
          <w:p>
            <w:pPr>
              <w:spacing w:after="0"/>
              <w:rPr>
                <w:sz w:val="1"/>
                <w:szCs w:val="1"/>
                <w:color w:val="auto"/>
              </w:rPr>
            </w:pPr>
          </w:p>
        </w:tc>
      </w:tr>
      <w:tr>
        <w:trPr>
          <w:trHeight w:val="270"/>
        </w:trPr>
        <w:tc>
          <w:tcPr>
            <w:tcW w:w="7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and PIPE financing, net of transaction costs</w:t>
            </w:r>
          </w:p>
        </w:tc>
        <w:tc>
          <w:tcPr>
            <w:tcW w:w="12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11,343</w:t>
            </w:r>
          </w:p>
        </w:tc>
        <w:tc>
          <w:tcPr>
            <w:tcW w:w="0" w:type="dxa"/>
            <w:vAlign w:val="bottom"/>
          </w:tcPr>
          <w:p>
            <w:pPr>
              <w:spacing w:after="0"/>
              <w:rPr>
                <w:sz w:val="1"/>
                <w:szCs w:val="1"/>
                <w:color w:val="auto"/>
              </w:rPr>
            </w:pPr>
          </w:p>
        </w:tc>
      </w:tr>
      <w:tr>
        <w:trPr>
          <w:trHeight w:val="24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1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(12,567)</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(5,262)</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46,050</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50,488</w:t>
            </w:r>
          </w:p>
        </w:tc>
        <w:tc>
          <w:tcPr>
            <w:tcW w:w="0" w:type="dxa"/>
            <w:vAlign w:val="bottom"/>
          </w:tcPr>
          <w:p>
            <w:pPr>
              <w:spacing w:after="0"/>
              <w:rPr>
                <w:sz w:val="1"/>
                <w:szCs w:val="1"/>
                <w:color w:val="auto"/>
              </w:rPr>
            </w:pPr>
          </w:p>
        </w:tc>
      </w:tr>
      <w:tr>
        <w:trPr>
          <w:trHeight w:val="261"/>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280" w:type="dxa"/>
            <w:vAlign w:val="bottom"/>
            <w:tcBorders>
              <w:bottom w:val="single" w:sz="8" w:color="auto"/>
            </w:tcBorders>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33,483</w:t>
            </w:r>
          </w:p>
        </w:tc>
        <w:tc>
          <w:tcPr>
            <w:tcW w:w="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45,226</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12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33,219</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44,967</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Restricted cash (included within other assets)</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88"/>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1280" w:type="dxa"/>
            <w:vAlign w:val="bottom"/>
            <w:tcBorders>
              <w:bottom w:val="single" w:sz="8" w:color="auto"/>
            </w:tcBorders>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33,483</w:t>
            </w:r>
          </w:p>
        </w:tc>
        <w:tc>
          <w:tcPr>
            <w:tcW w:w="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45,226</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disclosures:</w:t>
            </w:r>
          </w:p>
        </w:tc>
        <w:tc>
          <w:tcPr>
            <w:tcW w:w="1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acquired in accounts payable and accrued expenses</w:t>
            </w:r>
          </w:p>
        </w:tc>
        <w:tc>
          <w:tcPr>
            <w:tcW w:w="1280" w:type="dxa"/>
            <w:vAlign w:val="bottom"/>
          </w:tcPr>
          <w:p>
            <w:pPr>
              <w:jc w:val="right"/>
              <w:ind w:right="10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19"/>
                <w:szCs w:val="19"/>
                <w:color w:val="auto"/>
              </w:rPr>
            </w:pPr>
          </w:p>
        </w:tc>
        <w:tc>
          <w:tcPr>
            <w:tcW w:w="1260" w:type="dxa"/>
            <w:vAlign w:val="bottom"/>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Conversion of Legacy Blaize convertible notes to common stock</w:t>
            </w:r>
          </w:p>
        </w:tc>
        <w:tc>
          <w:tcPr>
            <w:tcW w:w="1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314,334</w:t>
            </w:r>
          </w:p>
        </w:tc>
        <w:tc>
          <w:tcPr>
            <w:tcW w:w="0" w:type="dxa"/>
            <w:vAlign w:val="bottom"/>
          </w:tcPr>
          <w:p>
            <w:pPr>
              <w:spacing w:after="0"/>
              <w:rPr>
                <w:sz w:val="1"/>
                <w:szCs w:val="1"/>
                <w:color w:val="auto"/>
              </w:rPr>
            </w:pPr>
          </w:p>
        </w:tc>
      </w:tr>
      <w:tr>
        <w:trPr>
          <w:trHeight w:val="229"/>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exercise of Legacy Blaize warrants for common stock</w:t>
            </w:r>
          </w:p>
        </w:tc>
        <w:tc>
          <w:tcPr>
            <w:tcW w:w="12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75,056</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warrants for professional services</w:t>
            </w:r>
          </w:p>
        </w:tc>
        <w:tc>
          <w:tcPr>
            <w:tcW w:w="1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4"/>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for shareholder note receivable</w:t>
            </w:r>
          </w:p>
        </w:tc>
        <w:tc>
          <w:tcPr>
            <w:tcW w:w="12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0" w:type="dxa"/>
            <w:vAlign w:val="bottom"/>
          </w:tcPr>
          <w:p>
            <w:pPr>
              <w:spacing w:after="0"/>
              <w:rPr>
                <w:sz w:val="1"/>
                <w:szCs w:val="1"/>
                <w:color w:val="auto"/>
              </w:rPr>
            </w:pPr>
          </w:p>
        </w:tc>
      </w:tr>
    </w:tbl>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Description of Business</w:t>
      </w:r>
    </w:p>
    <w:p>
      <w:pPr>
        <w:spacing w:after="0" w:line="25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Blaize Holdings, Inc. (together with its subsidiaries, “Blaize,” or the “Company”) is headquartered in El Dorado Hills, California. The condensed consolidated financial statements of the Company include the accounts of the Company and its wholly owned subsidiaries.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provides purpose-built, transformative artificial intelligence (“AI”)-enabled edge computing solutions comprised of both its proprietary hardware and software, and complementary third-party hardware solutions, as further described below.</w:t>
      </w:r>
    </w:p>
    <w:p>
      <w:pPr>
        <w:spacing w:after="0" w:line="189"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8"/>
          <w:szCs w:val="18"/>
          <w:color w:val="auto"/>
        </w:rPr>
        <w:t>In addition to its internally developed products, the Company also delivers third-party hardware solutions that complement and enhance its core offerings. These third-party hardware solutions typically are substantially comprised of servers, which are selected to ensure optimal compatibility and performance with the Company’s products and AI-enabled platforms.</w:t>
      </w:r>
    </w:p>
    <w:p>
      <w:pPr>
        <w:spacing w:after="0" w:line="1" w:lineRule="exact"/>
        <w:rPr>
          <w:sz w:val="20"/>
          <w:szCs w:val="20"/>
          <w:color w:val="auto"/>
        </w:rPr>
      </w:pPr>
    </w:p>
    <w:p>
      <w:pPr>
        <w:jc w:val="both"/>
        <w:ind w:right="440"/>
        <w:spacing w:after="0" w:line="253" w:lineRule="auto"/>
        <w:rPr>
          <w:sz w:val="20"/>
          <w:szCs w:val="20"/>
          <w:color w:val="auto"/>
        </w:rPr>
      </w:pPr>
      <w:r>
        <w:rPr>
          <w:rFonts w:ascii="Times New Roman" w:cs="Times New Roman" w:eastAsia="Times New Roman" w:hAnsi="Times New Roman"/>
          <w:sz w:val="18"/>
          <w:szCs w:val="18"/>
          <w:color w:val="auto"/>
        </w:rPr>
        <w:t>The Company’s portfolio includes highly efficient programmable AI processors in a broad range of form factors, deployable across several verticals, including smart city, defense, retail and enterprise markets. The Company’s accelerated AI computing platforms enable applications such as computer vision, advanced video analytics, and AI inference, and the Company’s software tools allow non-expert practitioners to deploy existing and novel AI applications on the Company’s hardware without the need for customers to learn or use source code.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Reverse Recapitalization and Accounting for the Merger</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and reverse recapitalization, the accounting for the transaction, and the defined terms used herein are described in Note 1 — “Organization and Description of Business” of the Notes to the Consolidated Financial Statements included in the Company’s Annual Report on Form 10-K for the year ended December 31, 2025 (the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Statements</w:t>
      </w:r>
    </w:p>
    <w:p>
      <w:pPr>
        <w:spacing w:after="0" w:line="2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were prepared in accordance with accounting principles generally accepted in the U.S. (“GAAP”) for interim financial information and with the instructions to Form 10-Q and Article 10 of Securities and Exchange Commission (“SEC”), Regulation S-X. In the opinion of management, all adjustments, consisting only of normal recurring adjustments considered necessary for a fair presentation of results of operations and financial position, have been included. The results for the interim periods presented are not necessarily indicative of the results expected for any future period. The following information should be read in conjunction with the audited consolidated financial statements and notes thereto included in the Annual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based on assumptions about current and, for some estimates, future economic and market conditions, which affect reported amounts and related disclosures in the Company’s condensed consolidated financial statements. Although current estimates contemplate current and expected future conditions, as applicable, it is reasonably possible that actual conditions could differ from management’s expectations, which could materially affect the Company’s results of operations and financial position.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56"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disclosed in Note 3 — “Summary of Significant Accounting Policies” of the Notes to the Consolidated Financial Statements included in the Annual Report on Form 10-K. The Company did not adopt any new accounting standards during the three months ended March 31,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(“ASUs”) issued by the Financial Accounting Standards Board (“FASB”). Previously identified ASUs that are also currently applicable or material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2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to the Company’s future consolidated financial statements are discussed in Note 3 of the Company’s consolidated financial statements included in the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Liquidity and Going Concern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had cash and cash equivalents on hand of $33.2 million and accounts receivable less allowance for credit losses of</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$16.7 million, while accounts payable, accrued expenses and other current liabilities (excluding amounts due to related parties), and accrued trade payables totaled $21.4 million.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Historically, the Company has funded its operations by using cash generated from financing activities and at the same time, has incurred negative cash flows from operations. Cash provided by financing activities was not significant for the period ended March 31, 2026 and was unrelated to any capital raising activities. Cash provided by financing activities was $11.3 million for the three months ended March 31, 2025, and was generated by capital raising activities. Cash used in operations for the three months ended March 31, 2026 and 2025 was $12.6 million and $15.9 million, respectively.</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has historically incurred recurring operating losses, including a loss from operations of $23.4 million and $38.0 million for the three months ended March 31, 2026 and 2025, respectively.</w:t>
      </w:r>
    </w:p>
    <w:p>
      <w:pPr>
        <w:spacing w:after="0" w:line="18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its revenue growth rate, cash collections of its accounts receivable, and the timing and extent of spending to support further sales and marketing and research and development efforts. In order to continue its operations, the Company, as currently structured, will need to raise additional financing, if such financing is available at all.</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a result of the above, in connection with its assessment of going concern considerations in accordance with FASB Accounting Standards Codification (“ASC”) 205-40-50 — “Going Concern — Disclosure,” management has determined that the Company’s liquidity condition raises substantial doubt about its ability to continue as a going concern through one year from the date that these condensed consolidated financial statements have been issued.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and Accounts Receivable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revenue disaggregated by geographical location, determined by reference to the customer’s shipping location for the three months ended March 31, 2026 and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14"/>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520" w:type="dxa"/>
            <w:vAlign w:val="bottom"/>
          </w:tcPr>
          <w:p>
            <w:pPr>
              <w:spacing w:after="0"/>
              <w:rPr>
                <w:sz w:val="18"/>
                <w:szCs w:val="18"/>
                <w:color w:val="auto"/>
              </w:rPr>
            </w:pPr>
          </w:p>
        </w:tc>
        <w:tc>
          <w:tcPr>
            <w:tcW w:w="1680" w:type="dxa"/>
            <w:vAlign w:val="bottom"/>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40" w:type="dxa"/>
            <w:vAlign w:val="bottom"/>
            <w:gridSpan w:val="2"/>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5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Pr>
          <w:p>
            <w:pPr>
              <w:spacing w:after="0"/>
              <w:rPr>
                <w:sz w:val="18"/>
                <w:szCs w:val="18"/>
                <w:color w:val="auto"/>
              </w:rPr>
            </w:pPr>
          </w:p>
        </w:tc>
        <w:tc>
          <w:tcPr>
            <w:tcW w:w="1060" w:type="dxa"/>
            <w:vAlign w:val="bottom"/>
            <w:gridSpan w:val="2"/>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94.9%</w:t>
            </w:r>
          </w:p>
        </w:tc>
        <w:tc>
          <w:tcPr>
            <w:tcW w:w="1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13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95.3%</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Borders>
              <w:bottom w:val="single" w:sz="8" w:color="auto"/>
            </w:tcBorders>
          </w:tcPr>
          <w:p>
            <w:pPr>
              <w:jc w:val="right"/>
              <w:ind w:right="13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
        </w:trPr>
        <w:tc>
          <w:tcPr>
            <w:tcW w:w="45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898"/>
        </w:trPr>
        <w:tc>
          <w:tcPr>
            <w:tcW w:w="4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revenue disaggregated based on the method of revenue recognition for the three months ended March 31, 2026 and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4"/>
          </w:tcPr>
          <w:p>
            <w:pPr>
              <w:jc w:val="right"/>
              <w:ind w:right="111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concentrations in 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Company’s revenue concentration by customer for the three months ended March 31, 2026 and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1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520" w:type="dxa"/>
            <w:vAlign w:val="bottom"/>
          </w:tcPr>
          <w:p>
            <w:pPr>
              <w:spacing w:after="0"/>
              <w:rPr>
                <w:sz w:val="18"/>
                <w:szCs w:val="18"/>
                <w:color w:val="auto"/>
              </w:rPr>
            </w:pPr>
          </w:p>
        </w:tc>
        <w:tc>
          <w:tcPr>
            <w:tcW w:w="1680" w:type="dxa"/>
            <w:vAlign w:val="bottom"/>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60" w:type="dxa"/>
            <w:vAlign w:val="bottom"/>
            <w:gridSpan w:val="2"/>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5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Pr>
          <w:p>
            <w:pPr>
              <w:spacing w:after="0"/>
              <w:rPr>
                <w:sz w:val="18"/>
                <w:szCs w:val="18"/>
                <w:color w:val="auto"/>
              </w:rPr>
            </w:pPr>
          </w:p>
        </w:tc>
        <w:tc>
          <w:tcPr>
            <w:tcW w:w="1020" w:type="dxa"/>
            <w:vAlign w:val="bottom"/>
            <w:gridSpan w:val="2"/>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60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Customer A </w:t>
            </w:r>
            <w:r>
              <w:rPr>
                <w:rFonts w:ascii="Times New Roman" w:cs="Times New Roman" w:eastAsia="Times New Roman" w:hAnsi="Times New Roman"/>
                <w:sz w:val="23"/>
                <w:szCs w:val="23"/>
                <w:color w:val="auto"/>
                <w:vertAlign w:val="superscript"/>
              </w:rPr>
              <w:t>(1)</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94.9%</w:t>
            </w:r>
          </w:p>
        </w:tc>
        <w:tc>
          <w:tcPr>
            <w:tcW w:w="1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13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95.3%</w:t>
            </w:r>
          </w:p>
        </w:tc>
      </w:tr>
      <w:tr>
        <w:trPr>
          <w:trHeight w:val="229"/>
        </w:trPr>
        <w:tc>
          <w:tcPr>
            <w:tcW w:w="4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Others </w:t>
            </w:r>
            <w:r>
              <w:rPr>
                <w:rFonts w:ascii="Times New Roman" w:cs="Times New Roman" w:eastAsia="Times New Roman" w:hAnsi="Times New Roman"/>
                <w:sz w:val="23"/>
                <w:szCs w:val="23"/>
                <w:color w:val="auto"/>
                <w:vertAlign w:val="superscript"/>
              </w:rPr>
              <w:t>(2)</w:t>
            </w:r>
          </w:p>
        </w:tc>
        <w:tc>
          <w:tcPr>
            <w:tcW w:w="5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Borders>
              <w:bottom w:val="single" w:sz="8" w:color="auto"/>
            </w:tcBorders>
          </w:tcPr>
          <w:p>
            <w:pPr>
              <w:jc w:val="right"/>
              <w:ind w:right="13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Customer A is a related party.</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of the customers within “Others” comprised less than 10% of revenue each.</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Constrained revenue and variable consideration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each of the three months ended March 31, 2026 and 2025, the Company had no revenue that was subject to constraint or variable consideration.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revenue-related matters</w:t>
      </w:r>
    </w:p>
    <w:p>
      <w:pPr>
        <w:spacing w:after="0" w:line="254"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There were no contract assets (unbilled receivables) and no material contract liabilities (deferred revenue) as of March 31, 2026 and December 31, 2025. The Company did not have any outstanding or unsatisfied performance obligations as of March 31, 2026 and December 31, 2025. The Company did not have material costs related to obtaining a contract, or fulfilling a contract that are not addressed by other accounting standards, with amortization periods greater than one year as of March 31, 2026 and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Normal credit terms for the Company’s accounts receivable are generally up to net 30 days, although credit terms for a customer sale that occurred in the fourth quarter of 2025 included credit terms up to 90 days. As of March 31, 2026, the Company’s accounts receivable were 47% current, 0% over 60 days past due, and 53% over 90 days past due under the credit terms of the applicable customer receivable.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accounts receivable due from related parties as of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2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balances and activity within the Company’s provision for credit losses as of and for the three months ended March 31, 2026 and as of and for the year ended December 31, 2025 are set forth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2"/>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2025</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provision for credit losses</w:t>
            </w:r>
          </w:p>
        </w:tc>
        <w:tc>
          <w:tcPr>
            <w:tcW w:w="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provision for credit losses - related party</w:t>
            </w:r>
          </w:p>
        </w:tc>
        <w:tc>
          <w:tcPr>
            <w:tcW w:w="9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Write-off activity</w:t>
            </w:r>
          </w:p>
        </w:tc>
        <w:tc>
          <w:tcPr>
            <w:tcW w:w="9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9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7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Reversal of provision due to collection of full balance</w:t>
            </w:r>
          </w:p>
        </w:tc>
        <w:tc>
          <w:tcPr>
            <w:tcW w:w="9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provision for credit losses</w:t>
            </w:r>
          </w:p>
        </w:tc>
        <w:tc>
          <w:tcPr>
            <w:tcW w:w="9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r>
      <w:tr>
        <w:trPr>
          <w:trHeight w:val="22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2026</w:t>
            </w:r>
          </w:p>
        </w:tc>
        <w:tc>
          <w:tcPr>
            <w:tcW w:w="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w:t>
            </w:r>
          </w:p>
        </w:tc>
      </w:tr>
      <w:tr>
        <w:trPr>
          <w:trHeight w:val="20"/>
        </w:trPr>
        <w:tc>
          <w:tcPr>
            <w:tcW w:w="9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 of accounts receivable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sets forth the summary of the Company’s concentration of accounts receivable by customer as of March 31, 2026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600" w:type="dxa"/>
            <w:vAlign w:val="bottom"/>
          </w:tcPr>
          <w:p>
            <w:pPr>
              <w:spacing w:after="0"/>
              <w:rPr>
                <w:sz w:val="18"/>
                <w:szCs w:val="18"/>
                <w:color w:val="auto"/>
              </w:rPr>
            </w:pPr>
          </w:p>
        </w:tc>
        <w:tc>
          <w:tcPr>
            <w:tcW w:w="1620" w:type="dxa"/>
            <w:vAlign w:val="bottom"/>
          </w:tcPr>
          <w:p>
            <w:pPr>
              <w:jc w:val="right"/>
              <w:ind w:right="971"/>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6"/>
        </w:trPr>
        <w:tc>
          <w:tcPr>
            <w:tcW w:w="7960" w:type="dxa"/>
            <w:vAlign w:val="bottom"/>
            <w:tcBorders>
              <w:top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Customer C </w:t>
            </w:r>
            <w:r>
              <w:rPr>
                <w:rFonts w:ascii="Times New Roman" w:cs="Times New Roman" w:eastAsia="Times New Roman" w:hAnsi="Times New Roman"/>
                <w:sz w:val="23"/>
                <w:szCs w:val="23"/>
                <w:color w:val="auto"/>
                <w:vertAlign w:val="superscript"/>
              </w:rPr>
              <w:t>(2)</w:t>
            </w: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1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46.2%</w:t>
            </w:r>
          </w:p>
        </w:tc>
      </w:tr>
      <w:tr>
        <w:trPr>
          <w:trHeight w:val="229"/>
        </w:trPr>
        <w:tc>
          <w:tcPr>
            <w:tcW w:w="7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 D </w:t>
            </w:r>
            <w:r>
              <w:rPr>
                <w:rFonts w:ascii="Times New Roman" w:cs="Times New Roman" w:eastAsia="Times New Roman" w:hAnsi="Times New Roman"/>
                <w:sz w:val="23"/>
                <w:szCs w:val="23"/>
                <w:color w:val="auto"/>
                <w:vertAlign w:val="superscript"/>
              </w:rPr>
              <w:t>(2)</w:t>
            </w:r>
          </w:p>
        </w:tc>
        <w:tc>
          <w:tcPr>
            <w:tcW w:w="6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47.1%</w:t>
            </w:r>
          </w:p>
        </w:tc>
      </w:tr>
      <w:tr>
        <w:trPr>
          <w:trHeight w:val="230"/>
        </w:trPr>
        <w:tc>
          <w:tcPr>
            <w:tcW w:w="7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Others </w:t>
            </w:r>
            <w:r>
              <w:rPr>
                <w:rFonts w:ascii="Times New Roman" w:cs="Times New Roman" w:eastAsia="Times New Roman" w:hAnsi="Times New Roman"/>
                <w:sz w:val="23"/>
                <w:szCs w:val="23"/>
                <w:color w:val="auto"/>
                <w:vertAlign w:val="superscript"/>
              </w:rPr>
              <w:t>(3)</w:t>
            </w:r>
          </w:p>
        </w:tc>
        <w:tc>
          <w:tcPr>
            <w:tcW w:w="6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6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19,157</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provision for credit losses:</w:t>
            </w:r>
          </w:p>
        </w:tc>
        <w:tc>
          <w:tcPr>
            <w:tcW w:w="6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16,727</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There were no accounts receivable due from related parties as of March 31, 2026.</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geographic concentration of these accounts receivable is in China.</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customer within “Others” individually comprised less than 10% each of the Company’s accounts receivable balance.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summary of the Company’s concentration of accounts receivable by customer as of December 31,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1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26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Customer C </w:t>
            </w:r>
            <w:r>
              <w:rPr>
                <w:rFonts w:ascii="Times New Roman" w:cs="Times New Roman" w:eastAsia="Times New Roman" w:hAnsi="Times New Roman"/>
                <w:sz w:val="23"/>
                <w:szCs w:val="23"/>
                <w:color w:val="auto"/>
                <w:vertAlign w:val="superscript"/>
              </w:rPr>
              <w:t>(1)</w:t>
            </w:r>
          </w:p>
        </w:tc>
        <w:tc>
          <w:tcPr>
            <w:tcW w:w="1380" w:type="dxa"/>
            <w:vAlign w:val="bottom"/>
            <w:shd w:val="clear" w:color="auto" w:fill="CCEEFF"/>
          </w:tcPr>
          <w:p>
            <w:pPr>
              <w:jc w:val="right"/>
              <w:ind w:right="119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r>
      <w:tr>
        <w:trPr>
          <w:trHeight w:val="27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Customer D </w:t>
            </w:r>
            <w:r>
              <w:rPr>
                <w:rFonts w:ascii="Times New Roman" w:cs="Times New Roman" w:eastAsia="Times New Roman" w:hAnsi="Times New Roman"/>
                <w:sz w:val="23"/>
                <w:szCs w:val="23"/>
                <w:color w:val="auto"/>
                <w:vertAlign w:val="superscript"/>
              </w:rPr>
              <w:t>(1) (2)</w:t>
            </w:r>
          </w:p>
        </w:tc>
        <w:tc>
          <w:tcPr>
            <w:tcW w:w="1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63.8 %</w:t>
            </w:r>
          </w:p>
        </w:tc>
      </w:tr>
      <w:tr>
        <w:trPr>
          <w:trHeight w:val="27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Others </w:t>
            </w:r>
            <w:r>
              <w:rPr>
                <w:rFonts w:ascii="Times New Roman" w:cs="Times New Roman" w:eastAsia="Times New Roman" w:hAnsi="Times New Roman"/>
                <w:sz w:val="23"/>
                <w:szCs w:val="23"/>
                <w:color w:val="auto"/>
                <w:vertAlign w:val="superscript"/>
              </w:rPr>
              <w:t>(3) (4)</w:t>
            </w:r>
          </w:p>
        </w:tc>
        <w:tc>
          <w:tcPr>
            <w:tcW w:w="13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3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accounts receivable, including due from related party</w:t>
            </w:r>
          </w:p>
        </w:tc>
        <w:tc>
          <w:tcPr>
            <w:tcW w:w="1380" w:type="dxa"/>
            <w:vAlign w:val="bottom"/>
          </w:tcPr>
          <w:p>
            <w:pPr>
              <w:jc w:val="right"/>
              <w:ind w:right="119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37,250</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7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provision for credit losses:</w:t>
            </w:r>
          </w:p>
        </w:tc>
        <w:tc>
          <w:tcPr>
            <w:tcW w:w="1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r>
      <w:tr>
        <w:trPr>
          <w:trHeight w:val="26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including due from related party</w:t>
            </w:r>
          </w:p>
        </w:tc>
        <w:tc>
          <w:tcPr>
            <w:tcW w:w="1380" w:type="dxa"/>
            <w:vAlign w:val="bottom"/>
            <w:tcBorders>
              <w:top w:val="single" w:sz="8" w:color="auto"/>
              <w:bottom w:val="single" w:sz="8" w:color="auto"/>
            </w:tcBorders>
          </w:tcPr>
          <w:p>
            <w:pPr>
              <w:jc w:val="right"/>
              <w:ind w:right="119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36,693</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
        </w:trPr>
        <w:tc>
          <w:tcPr>
            <w:tcW w:w="78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geographic concentration of these accounts receivable is from customers located in China.</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Subsequent to December 31, 2025, and as of May 14, 2026, the Company had received payments of $16.9 million from this customer.</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customer within “Others” individually comprised less than 10% each of the Company’s accounts receivable balance.</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receivable due from a related party of $3.4 million, which was paid in full subsequent to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 and Derivative Instruments</w:t>
      </w:r>
    </w:p>
    <w:p>
      <w:pPr>
        <w:spacing w:after="0" w:line="25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Company uses a fair value hierarchy established by GAAP that is used to determine the fair value of financial instruments. This hierarchy prioritizes relevant market inputs in order to determine an “exit price” at the measurement date, or the price at which an asset could be sold or a liability could be transferred in an orderly process that is not a forced liquidation or distressed sale. Level 1 inputs are observable inputs that reflect quoted prices for identical assets or liabilities in active markets. Level 2 inputs are observable inputs other than quoted prices for an asset or liability that are obtained through corroboration with observable market data. Level 3 inputs are unobservable inputs (e.g., the Company’s own data or assumptions) that are used when there is little, if any, relevant market activity for the asset or liability required to be measured at fair value.</w:t>
      </w:r>
    </w:p>
    <w:p>
      <w:pPr>
        <w:spacing w:after="0" w:line="214"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In certain cases, inputs used to measure fair value fall into different levels of the fair value hierarchy. In such cases, the level at which the fair value measurement falls is determined based on the lowest level input that is significant to the fair value measurement. The Company’s assessment of the significance of a particular input requires judgment and considers factors specific to the asset or liability being measured.</w:t>
      </w:r>
    </w:p>
    <w:p>
      <w:pPr>
        <w:spacing w:after="0" w:line="20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March 31, 2026, the Company’s valuation policy and processes had not changed from those described in its consolidated financial statements for the year ended December 31, 2025 included in the Annual Report on Form 10-K. Included in Note 5 — “Fair Value Measurements and Derivative Instruments” to the Consolidated Financial Statements for the year ended December 31, 2025 in the Annual Report on Form 10-K is a detailed description of the Company’s financial instruments measured at fair value and their significant inputs, as well as the classification of such instruments pursuant to the Level 1, Level 2, and Level 3 valuation hierarchy.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Carrying amounts that approximate fair value</w:t>
      </w:r>
    </w:p>
    <w:p>
      <w:pPr>
        <w:spacing w:after="0" w:line="25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carrying amounts of cash, accounts receivable (including from related parties), prepaid expenses and other current assets, deferred tax assets, operating lease right-of-use assets, other assets, accounts payable, accrued trade payables, accrued expenses and other current liabilities (including to related parties), working capital loan - related party, and advances from related party all approximate their fair values due to their short-term maturities.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Company’s financial instruments measured at fair value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about the Company’s financial assets and liabilities measured at fair value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4"/>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2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4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r>
      <w:tr>
        <w:trPr>
          <w:trHeight w:val="248"/>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Polar warrants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w:t>
            </w:r>
          </w:p>
        </w:tc>
      </w:tr>
      <w:tr>
        <w:trPr>
          <w:trHeight w:val="230"/>
        </w:trPr>
        <w:tc>
          <w:tcPr>
            <w:tcW w:w="4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earnout shares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16,745</w:t>
            </w:r>
          </w:p>
        </w:tc>
      </w:tr>
      <w:tr>
        <w:trPr>
          <w:trHeight w:val="20"/>
        </w:trPr>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$2.0 million in earnout shares - related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4"/>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2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4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19,103</w:t>
            </w:r>
          </w:p>
        </w:tc>
      </w:tr>
      <w:tr>
        <w:trPr>
          <w:trHeight w:val="248"/>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19,103</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Polar warrants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8,813</w:t>
            </w:r>
          </w:p>
        </w:tc>
      </w:tr>
      <w:tr>
        <w:trPr>
          <w:trHeight w:val="229"/>
        </w:trPr>
        <w:tc>
          <w:tcPr>
            <w:tcW w:w="4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earnout shares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8,929</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17,742</w:t>
            </w:r>
          </w:p>
        </w:tc>
      </w:tr>
      <w:tr>
        <w:trPr>
          <w:trHeight w:val="21"/>
        </w:trPr>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$2.2 million in earnout shares - related party.</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three months ended March 31, 2026 or the three months ended March 31, 2025.</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presents additional information for the prior year and three months ended March 31, 2026 about the Company’s Level 3 liabilities measured at fair value on a recurring basis: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163,340</w:t>
            </w: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 Legacy Blaize convertible notes</w:t>
            </w:r>
          </w:p>
        </w:tc>
        <w:tc>
          <w:tcPr>
            <w:tcW w:w="8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165,703</w:t>
            </w: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 Legacy Blaize warrants</w:t>
            </w:r>
          </w:p>
        </w:tc>
        <w:tc>
          <w:tcPr>
            <w:tcW w:w="8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60,345</w:t>
            </w: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Legacy Blaize convertible notes and exercise of Legacy Blaize warrants</w:t>
            </w:r>
          </w:p>
        </w:tc>
        <w:tc>
          <w:tcPr>
            <w:tcW w:w="8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(389,387)</w:t>
            </w: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on date of issuance - other earnout shares</w:t>
            </w:r>
          </w:p>
        </w:tc>
        <w:tc>
          <w:tcPr>
            <w:tcW w:w="8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126,042</w:t>
            </w:r>
          </w:p>
        </w:tc>
      </w:tr>
      <w:tr>
        <w:trPr>
          <w:trHeight w:val="22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 other earnout shares</w:t>
            </w:r>
          </w:p>
        </w:tc>
        <w:tc>
          <w:tcPr>
            <w:tcW w:w="8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(117,113)</w:t>
            </w: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on date of issuance - Polar warrants</w:t>
            </w:r>
          </w:p>
        </w:tc>
        <w:tc>
          <w:tcPr>
            <w:tcW w:w="8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w:t>
            </w:r>
          </w:p>
        </w:tc>
      </w:tr>
      <w:tr>
        <w:trPr>
          <w:trHeight w:val="230"/>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 Polar warrants</w:t>
            </w:r>
          </w:p>
        </w:tc>
        <w:tc>
          <w:tcPr>
            <w:tcW w:w="8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w:t>
            </w: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w:t>
            </w:r>
          </w:p>
        </w:tc>
      </w:tr>
      <w:tr>
        <w:trPr>
          <w:trHeight w:val="27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Reclassification of equity-based shares to liabilities </w:t>
            </w:r>
            <w:r>
              <w:rPr>
                <w:rFonts w:ascii="Times New Roman" w:cs="Times New Roman" w:eastAsia="Times New Roman" w:hAnsi="Times New Roman"/>
                <w:sz w:val="23"/>
                <w:szCs w:val="23"/>
                <w:color w:val="auto"/>
                <w:vertAlign w:val="superscript"/>
              </w:rPr>
              <w:t>(1)</w:t>
            </w:r>
          </w:p>
        </w:tc>
        <w:tc>
          <w:tcPr>
            <w:tcW w:w="8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0"/>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 other earnout shares</w:t>
            </w:r>
          </w:p>
        </w:tc>
        <w:tc>
          <w:tcPr>
            <w:tcW w:w="8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4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 Polar warrants</w:t>
            </w:r>
          </w:p>
        </w:tc>
        <w:tc>
          <w:tcPr>
            <w:tcW w:w="8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7"/>
        </w:trPr>
        <w:tc>
          <w:tcPr>
            <w:tcW w:w="90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8"/>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16,745</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Due to employee forfeitures during the quarter.</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Company’s significant Level 3 inputs as of March 31, 2026 and December 31,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Instrument valued using</w:t>
            </w:r>
          </w:p>
        </w:tc>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Valuation Method</w:t>
            </w:r>
          </w:p>
        </w:tc>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26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200" w:type="dxa"/>
            <w:vAlign w:val="bottom"/>
          </w:tcPr>
          <w:p>
            <w:pPr>
              <w:spacing w:after="0"/>
              <w:rPr>
                <w:sz w:val="18"/>
                <w:szCs w:val="18"/>
                <w:color w:val="auto"/>
              </w:rPr>
            </w:pPr>
          </w:p>
        </w:tc>
        <w:tc>
          <w:tcPr>
            <w:tcW w:w="17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14"/>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3 methods</w:t>
            </w:r>
          </w:p>
        </w:tc>
        <w:tc>
          <w:tcPr>
            <w:tcW w:w="2340" w:type="dxa"/>
            <w:vAlign w:val="bottom"/>
            <w:gridSpan w:val="2"/>
            <w:vMerge w:val="continue"/>
          </w:tcPr>
          <w:p>
            <w:pPr>
              <w:spacing w:after="0"/>
              <w:rPr>
                <w:sz w:val="18"/>
                <w:szCs w:val="18"/>
                <w:color w:val="auto"/>
              </w:rPr>
            </w:pPr>
          </w:p>
        </w:tc>
        <w:tc>
          <w:tcPr>
            <w:tcW w:w="27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5"/>
        </w:trPr>
        <w:tc>
          <w:tcPr>
            <w:tcW w:w="2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Polar warrants</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Black-Scholes</w:t>
            </w:r>
          </w:p>
        </w:tc>
        <w:tc>
          <w:tcPr>
            <w:tcW w:w="1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81.30 %</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w:t>
            </w:r>
          </w:p>
        </w:tc>
        <w:tc>
          <w:tcPr>
            <w:tcW w:w="260" w:type="dxa"/>
            <w:vAlign w:val="bottom"/>
          </w:tcPr>
          <w:p>
            <w:pPr>
              <w:spacing w:after="0"/>
              <w:rPr>
                <w:sz w:val="23"/>
                <w:szCs w:val="23"/>
                <w:color w:val="auto"/>
              </w:rPr>
            </w:pPr>
          </w:p>
        </w:tc>
        <w:tc>
          <w:tcPr>
            <w:tcW w:w="17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4.62 years</w:t>
            </w:r>
          </w:p>
        </w:tc>
        <w:tc>
          <w:tcPr>
            <w:tcW w:w="20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 years</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earnout shares</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Monte Carlo Simulation</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(continuous)</w:t>
            </w: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 (interpolated)</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81.60 %</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 (continuous)</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w:t>
            </w:r>
          </w:p>
        </w:tc>
        <w:tc>
          <w:tcPr>
            <w:tcW w:w="260" w:type="dxa"/>
            <w:vAlign w:val="bottom"/>
          </w:tcPr>
          <w:p>
            <w:pPr>
              <w:spacing w:after="0"/>
              <w:rPr>
                <w:sz w:val="23"/>
                <w:szCs w:val="23"/>
                <w:color w:val="auto"/>
              </w:rPr>
            </w:pPr>
          </w:p>
        </w:tc>
        <w:tc>
          <w:tcPr>
            <w:tcW w:w="17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3.79 years</w:t>
            </w:r>
          </w:p>
        </w:tc>
        <w:tc>
          <w:tcPr>
            <w:tcW w:w="20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 years</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derivatives to manage financial risks or as an economic hedge. The essential characteristics inherent in a derivative instrument are that the instrument is issued for no or nominal consideration, and also include the aspects of an underlying security, a notional amount, and a mechanism for net settlement. None of the Company’s derivative instruments are classified as hedging instruments, and all are marked to fair value at each quarterly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Merger and during the three months ended March 31, 2026, the Company’s derivatives were comprised of:</w:t>
      </w:r>
    </w:p>
    <w:p>
      <w:pPr>
        <w:spacing w:after="0" w:line="2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Earnout Shares, representing a freestanding structured forward contract;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Polar warrants, representing a freestanding liability-classified derivative instrument; and</w:t>
      </w:r>
    </w:p>
    <w:p>
      <w:pPr>
        <w:spacing w:after="0" w:line="9" w:lineRule="exact"/>
        <w:rPr>
          <w:rFonts w:ascii="Times New Roman" w:cs="Times New Roman" w:eastAsia="Times New Roman" w:hAnsi="Times New Roman"/>
          <w:sz w:val="18"/>
          <w:szCs w:val="18"/>
          <w:color w:val="auto"/>
        </w:rPr>
      </w:pPr>
    </w:p>
    <w:p>
      <w:pPr>
        <w:ind w:left="660" w:right="220" w:hanging="328"/>
        <w:spacing w:after="0" w:line="255"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Committed Equity Facility, which upon execution on July 14, 2025, was considered a freestanding purchased put right, which put right was subsequently considered nominal and marked to zero during 2025. Each draw on the Committed Equity Facility is considered an embedded forward contract. No draws on the Committed Equity Facility were outstanding as of March 31, 2026 or December 31, 2025.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Financial Statement Details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ending balances of “inventories, net” are set forth on the table below:</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940" w:type="dxa"/>
            <w:vAlign w:val="bottom"/>
            <w:tcBorders>
              <w:bottom w:val="single" w:sz="8" w:color="auto"/>
            </w:tcBorders>
          </w:tcPr>
          <w:p>
            <w:pPr>
              <w:spacing w:after="0"/>
              <w:rPr>
                <w:sz w:val="19"/>
                <w:szCs w:val="19"/>
                <w:color w:val="auto"/>
              </w:rPr>
            </w:pPr>
          </w:p>
        </w:tc>
      </w:tr>
      <w:tr>
        <w:trPr>
          <w:trHeight w:val="24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40" w:type="dxa"/>
            <w:vAlign w:val="bottom"/>
          </w:tcPr>
          <w:p>
            <w:pPr>
              <w:spacing w:after="0"/>
              <w:rPr>
                <w:sz w:val="20"/>
                <w:szCs w:val="20"/>
                <w:color w:val="auto"/>
              </w:rPr>
            </w:pPr>
          </w:p>
        </w:tc>
        <w:tc>
          <w:tcPr>
            <w:tcW w:w="20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00" w:type="dxa"/>
            <w:vAlign w:val="bottom"/>
          </w:tcPr>
          <w:p>
            <w:pPr>
              <w:spacing w:after="0"/>
              <w:rPr>
                <w:sz w:val="20"/>
                <w:szCs w:val="20"/>
                <w:color w:val="auto"/>
              </w:rPr>
            </w:pPr>
          </w:p>
        </w:tc>
        <w:tc>
          <w:tcPr>
            <w:tcW w:w="194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 manufactured</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manufactured inventories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10,130</w:t>
            </w:r>
          </w:p>
        </w:tc>
      </w:tr>
      <w:tr>
        <w:trPr>
          <w:trHeight w:val="21"/>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Company is a contract manufacturer, all of its inventories are manufactured by a third party.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purchases of finished goods for resale during the three months ended March 31, 2026 or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“prepaid expenses and other current assets” are set forth in the table, below:</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940" w:type="dxa"/>
            <w:vAlign w:val="bottom"/>
            <w:tcBorders>
              <w:bottom w:val="single" w:sz="8" w:color="auto"/>
            </w:tcBorders>
          </w:tcPr>
          <w:p>
            <w:pPr>
              <w:spacing w:after="0"/>
              <w:rPr>
                <w:sz w:val="19"/>
                <w:szCs w:val="19"/>
                <w:color w:val="auto"/>
              </w:rPr>
            </w:pPr>
          </w:p>
        </w:tc>
      </w:tr>
      <w:tr>
        <w:trPr>
          <w:trHeight w:val="24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40" w:type="dxa"/>
            <w:vAlign w:val="bottom"/>
          </w:tcPr>
          <w:p>
            <w:pPr>
              <w:spacing w:after="0"/>
              <w:rPr>
                <w:sz w:val="20"/>
                <w:szCs w:val="20"/>
                <w:color w:val="auto"/>
              </w:rPr>
            </w:pPr>
          </w:p>
        </w:tc>
        <w:tc>
          <w:tcPr>
            <w:tcW w:w="20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00" w:type="dxa"/>
            <w:vAlign w:val="bottom"/>
          </w:tcPr>
          <w:p>
            <w:pPr>
              <w:spacing w:after="0"/>
              <w:rPr>
                <w:sz w:val="20"/>
                <w:szCs w:val="20"/>
                <w:color w:val="auto"/>
              </w:rPr>
            </w:pPr>
          </w:p>
        </w:tc>
        <w:tc>
          <w:tcPr>
            <w:tcW w:w="19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Prepaid expenses:</w:t>
            </w:r>
          </w:p>
        </w:tc>
        <w:tc>
          <w:tcPr>
            <w:tcW w:w="34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4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insurance premiums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1,285</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223</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software licenses and maintenance</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963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959</w:t>
            </w:r>
          </w:p>
        </w:tc>
      </w:tr>
      <w:tr>
        <w:trPr>
          <w:trHeight w:val="24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compensation</w:t>
            </w:r>
          </w:p>
        </w:tc>
        <w:tc>
          <w:tcPr>
            <w:tcW w:w="340" w:type="dxa"/>
            <w:vAlign w:val="bottom"/>
          </w:tcPr>
          <w:p>
            <w:pPr>
              <w:spacing w:after="0"/>
              <w:rPr>
                <w:sz w:val="21"/>
                <w:szCs w:val="21"/>
                <w:color w:val="auto"/>
              </w:rPr>
            </w:pPr>
          </w:p>
        </w:tc>
        <w:tc>
          <w:tcPr>
            <w:tcW w:w="1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781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413</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prepaid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Vendor deposits</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29"/>
        </w:trPr>
        <w:tc>
          <w:tcPr>
            <w:tcW w:w="6640" w:type="dxa"/>
            <w:vAlign w:val="bottom"/>
          </w:tcPr>
          <w:p>
            <w:pPr>
              <w:ind w:left="160"/>
              <w:spacing w:after="0" w:line="230" w:lineRule="exact"/>
              <w:rPr>
                <w:sz w:val="20"/>
                <w:szCs w:val="20"/>
                <w:color w:val="auto"/>
              </w:rPr>
            </w:pPr>
            <w:r>
              <w:rPr>
                <w:rFonts w:ascii="Times New Roman" w:cs="Times New Roman" w:eastAsia="Times New Roman" w:hAnsi="Times New Roman"/>
                <w:sz w:val="18"/>
                <w:szCs w:val="18"/>
                <w:color w:val="auto"/>
              </w:rPr>
              <w:t xml:space="preserve">Tax assets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30"/>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4,003</w:t>
            </w:r>
          </w:p>
        </w:tc>
      </w:tr>
      <w:tr>
        <w:trPr>
          <w:trHeight w:val="21"/>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“Tax assets” includes corporate income taxes receivable, sale taxes receivable and withholding taxes related to employee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detail of accrued expenses and other current liabilities is set forth in the table, below:</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940" w:type="dxa"/>
            <w:vAlign w:val="bottom"/>
            <w:tcBorders>
              <w:bottom w:val="single" w:sz="8" w:color="auto"/>
            </w:tcBorders>
          </w:tcPr>
          <w:p>
            <w:pPr>
              <w:spacing w:after="0"/>
              <w:rPr>
                <w:sz w:val="19"/>
                <w:szCs w:val="19"/>
                <w:color w:val="auto"/>
              </w:rPr>
            </w:pPr>
          </w:p>
        </w:tc>
      </w:tr>
      <w:tr>
        <w:trPr>
          <w:trHeight w:val="24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40" w:type="dxa"/>
            <w:vAlign w:val="bottom"/>
          </w:tcPr>
          <w:p>
            <w:pPr>
              <w:spacing w:after="0"/>
              <w:rPr>
                <w:sz w:val="20"/>
                <w:szCs w:val="20"/>
                <w:color w:val="auto"/>
              </w:rPr>
            </w:pPr>
          </w:p>
        </w:tc>
        <w:tc>
          <w:tcPr>
            <w:tcW w:w="20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00" w:type="dxa"/>
            <w:vAlign w:val="bottom"/>
          </w:tcPr>
          <w:p>
            <w:pPr>
              <w:spacing w:after="0"/>
              <w:rPr>
                <w:sz w:val="20"/>
                <w:szCs w:val="20"/>
                <w:color w:val="auto"/>
              </w:rPr>
            </w:pPr>
          </w:p>
        </w:tc>
        <w:tc>
          <w:tcPr>
            <w:tcW w:w="19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Accrued expenses:</w:t>
            </w:r>
          </w:p>
        </w:tc>
        <w:tc>
          <w:tcPr>
            <w:tcW w:w="34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4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2,547</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2,787</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1,467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1,654</w:t>
            </w:r>
          </w:p>
        </w:tc>
      </w:tr>
      <w:tr>
        <w:trPr>
          <w:trHeight w:val="24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technology fees</w:t>
            </w:r>
          </w:p>
        </w:tc>
        <w:tc>
          <w:tcPr>
            <w:tcW w:w="340" w:type="dxa"/>
            <w:vAlign w:val="bottom"/>
          </w:tcPr>
          <w:p>
            <w:pPr>
              <w:spacing w:after="0"/>
              <w:rPr>
                <w:sz w:val="21"/>
                <w:szCs w:val="21"/>
                <w:color w:val="auto"/>
              </w:rPr>
            </w:pPr>
          </w:p>
        </w:tc>
        <w:tc>
          <w:tcPr>
            <w:tcW w:w="1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878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208</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968</w:t>
            </w:r>
          </w:p>
        </w:tc>
      </w:tr>
      <w:tr>
        <w:trPr>
          <w:trHeight w:val="24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purchase commitments</w:t>
            </w:r>
          </w:p>
        </w:tc>
        <w:tc>
          <w:tcPr>
            <w:tcW w:w="340" w:type="dxa"/>
            <w:vAlign w:val="bottom"/>
          </w:tcPr>
          <w:p>
            <w:pPr>
              <w:spacing w:after="0"/>
              <w:rPr>
                <w:sz w:val="21"/>
                <w:szCs w:val="21"/>
                <w:color w:val="auto"/>
              </w:rPr>
            </w:pPr>
          </w:p>
        </w:tc>
        <w:tc>
          <w:tcPr>
            <w:tcW w:w="1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135</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Other current liabilities</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7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Other current liabilities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882</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49</w:t>
            </w:r>
          </w:p>
        </w:tc>
      </w:tr>
      <w:tr>
        <w:trPr>
          <w:trHeight w:val="250"/>
        </w:trPr>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580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580</w:t>
            </w:r>
          </w:p>
        </w:tc>
      </w:tr>
      <w:tr>
        <w:trPr>
          <w:trHeight w:val="24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payable</w:t>
            </w:r>
          </w:p>
        </w:tc>
        <w:tc>
          <w:tcPr>
            <w:tcW w:w="340" w:type="dxa"/>
            <w:vAlign w:val="bottom"/>
          </w:tcPr>
          <w:p>
            <w:pPr>
              <w:spacing w:after="0"/>
              <w:rPr>
                <w:sz w:val="21"/>
                <w:szCs w:val="21"/>
                <w:color w:val="auto"/>
              </w:rPr>
            </w:pPr>
          </w:p>
        </w:tc>
        <w:tc>
          <w:tcPr>
            <w:tcW w:w="1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319</w:t>
            </w:r>
          </w:p>
        </w:tc>
      </w:tr>
      <w:tr>
        <w:trPr>
          <w:trHeight w:val="27"/>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firstLine="8"/>
        <w:spacing w:after="0" w:line="229" w:lineRule="auto"/>
        <w:tabs>
          <w:tab w:leader="none" w:pos="195"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March 31, 2026, the balance of “other current liabilities” as presented above was substantially comprised of a short-term loan for directors and officers’ insurance.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Common Stock, Currently Outstanding Warrants to Purchase Common Stock, and Earnout Shares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has authorized 600 million shares of common stock with a par value of $0.0001 per share. The Company has only one class of common stock authorized and issued. Holders of the Company’s common stock are entitled to one vote for each share held of record on all matters submitted to a vote of stockholders and there are no cumulative voting rights. The Company’s common stock has no preemptive, redemption, conversion, or subscription rights. The Company has not previously paid cash dividends on its common stock. Any future dividend payments are subject to the discretion of the Company’s board of directors (the “Board” or “Board of Directors”).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the changes in shares of the Company’s common stock from December 31, 2025 through March 31, 2026:</w:t>
            </w:r>
          </w:p>
        </w:tc>
        <w:tc>
          <w:tcPr>
            <w:tcW w:w="1200" w:type="dxa"/>
            <w:vAlign w:val="bottom"/>
          </w:tcPr>
          <w:p>
            <w:pPr>
              <w:spacing w:after="0"/>
              <w:rPr>
                <w:sz w:val="20"/>
                <w:szCs w:val="20"/>
                <w:color w:val="auto"/>
              </w:rPr>
            </w:pPr>
          </w:p>
        </w:tc>
      </w:tr>
      <w:tr>
        <w:trPr>
          <w:trHeight w:val="270"/>
        </w:trPr>
        <w:tc>
          <w:tcPr>
            <w:tcW w:w="90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10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outstanding as of December 31, 2025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122,043,966</w:t>
            </w:r>
          </w:p>
        </w:tc>
      </w:tr>
      <w:tr>
        <w:trPr>
          <w:trHeight w:val="243"/>
        </w:trPr>
        <w:tc>
          <w:tcPr>
            <w:tcW w:w="10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653,589</w:t>
            </w:r>
          </w:p>
        </w:tc>
      </w:tr>
      <w:tr>
        <w:trPr>
          <w:trHeight w:val="27"/>
        </w:trPr>
        <w:tc>
          <w:tcPr>
            <w:tcW w:w="9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49,202</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outstanding as of March 31, 2026</w:t>
            </w:r>
          </w:p>
        </w:tc>
        <w:tc>
          <w:tcPr>
            <w:tcW w:w="10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122,746,757</w:t>
            </w:r>
          </w:p>
        </w:tc>
      </w:tr>
      <w:tr>
        <w:trPr>
          <w:trHeight w:val="21"/>
        </w:trPr>
        <w:tc>
          <w:tcPr>
            <w:tcW w:w="9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Subsequent to March 31, 2026, the Company issued 18,918,918 shares of common stock in an underwritten stock offering and granted a 30-day option pursuant to which the Company may issue up to 2,837,837 additional shares of common stock. See Note 10 — “Subsequent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Currently Outstanding Warrants to Purchase Common Stock</w:t>
      </w:r>
    </w:p>
    <w:p>
      <w:pPr>
        <w:spacing w:after="0" w:line="25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the period ended March 31, 2026, there were no changes to the Company’s outstanding warrants or any of the terms of its outstanding warrants as described in its Annual Report on Form 10-K. Subsequent to March 31, 2026, the Company amended the outstanding Polar warrants to adjust the exercise price from $5.00 per share to $3.00 per share. See Note 10 — “Subsequent Events”.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25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In connection with the Merger, Legacy Blaize shareholders and employee equity award holders (including holders of stock options and RSUs) are entitled to receive up to 15,000,000 shares of common stock and Burkhan has the right to receive up to 2,600,000 shares of common stock (collectively, the “Earnout Shares”).</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Earnout Shares issued to eligible Legacy Blaize employee equity award holders (“Employee Earnout Shares”) are considered a compensatory award and are accounted for under ASC 718 — “Share-Based Compensation” (“ASC 718”). Further, these Employee Earnout Shares have been determined to be equity classified and accordingly, are not remeasured unless an employee departs from the Company, which is considered a modification of an equity-based award.</w:t>
      </w:r>
    </w:p>
    <w:p>
      <w:pPr>
        <w:spacing w:after="0" w:line="21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Earnout Shares issued to Burkhan and Legacy Blaize shareholders that are not within the scope of ASC 718 (the “Other Earnout Shares”), were evaluated by management under ASC 480 — “Distinguishing Liabilities from Equity” (“ASC 480”), and ASC 815. The Company determined that the Other Earnout Shares are a derivative liability and remeasures the Other Earnout Shares at each reporting date, with changes in the fair value recorded in the condensed consolidated statements of operations.</w:t>
      </w:r>
    </w:p>
    <w:p>
      <w:pPr>
        <w:spacing w:after="0" w:line="207"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Legacy Blaize shareholders, Legacy Blaize employee equity award holders, and Burkhan are entitled to Earnout Shares in four tranches upon the occurrence of four separate events (each a “Triggering Event” and collectively, the “Triggering Events”), if they occur between the Merger date and January 13, 2030. The Triggering Event thresholds are described in the Company’s Annual Report on Form 10-K.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Earnout Shares</w:t>
      </w:r>
    </w:p>
    <w:p>
      <w:pPr>
        <w:spacing w:after="0" w:line="2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$3.9 million and $3.5 million, respectively, in stock-based compensation expense related to the Employee Earnout Shares. As of March 31, 2026, there was $62.8 million of total unrecognized compensation cost related to the Employee Earnout Shares.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Earnout Shares</w:t>
      </w:r>
    </w:p>
    <w:p>
      <w:pPr>
        <w:spacing w:after="0" w:line="2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fair value of the derivative liability associated with the Other Earnout Shares is described in Note 4 — “Fair Value Measurements and Derivative Instruments”.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Net Loss Per Share of Common Stock</w:t>
      </w:r>
    </w:p>
    <w:p>
      <w:pPr>
        <w:spacing w:after="0" w:line="31"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 average number of common stock outstanding during the period, without consideration of potentially dilutive securities.</w:t>
      </w:r>
    </w:p>
    <w:p>
      <w:pPr>
        <w:spacing w:after="0" w:line="2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uses the treasury stock method to determine the dilutive effect of potentially dilutive securities, and the if-converted method to determine the dilutive effect of any potentially dilutive convertible securities, as the Company’s only participating securities are shares of the Company’s common stock, and any dividends declared on the common stock would be forfeitable if not vested. There were no potentially dilutive securities included in the Company’s diluted net loss per share calculation for the three months ended March 31, 2026 and 2025, as the effect of any potentially dilutive security would have been anti-dilutive due to the net losses in those periods.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computation of basic and diluted net loss per share: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4"/>
          </w:tcPr>
          <w:p>
            <w:pPr>
              <w:jc w:val="right"/>
              <w:ind w:right="111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6"/>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share and per share amounts)</w:t>
            </w:r>
          </w:p>
        </w:tc>
        <w:tc>
          <w:tcPr>
            <w:tcW w:w="5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14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(147,761)</w:t>
            </w: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122,382,195</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91,747,685</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below sets forth a listing of potentially dilutive securities that were excluded from the calculation of diluted net loss per share attributable to common shareholders because the impact of including them would have been anti-dilutive or out-of-the-money:</w:t>
      </w:r>
    </w:p>
    <w:p>
      <w:pPr>
        <w:spacing w:after="0" w:line="232"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6"/>
          <w:szCs w:val="16"/>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21590</wp:posOffset>
            </wp:positionV>
            <wp:extent cx="29317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40" w:type="dxa"/>
            <w:vAlign w:val="bottom"/>
            <w:gridSpan w:val="2"/>
          </w:tcPr>
          <w:p>
            <w:pPr>
              <w:ind w:left="75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tcPr>
          <w:p>
            <w:pPr>
              <w:jc w:val="right"/>
              <w:ind w:right="8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9"/>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28,697,076</w:t>
            </w:r>
          </w:p>
        </w:tc>
        <w:tc>
          <w:tcPr>
            <w:tcW w:w="14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28,042,235</w:t>
            </w:r>
          </w:p>
        </w:tc>
      </w:tr>
      <w:tr>
        <w:trPr>
          <w:trHeight w:val="23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9,359,499</w:t>
            </w:r>
          </w:p>
        </w:tc>
        <w:tc>
          <w:tcPr>
            <w:tcW w:w="1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1,150,724</w:t>
            </w:r>
          </w:p>
        </w:tc>
      </w:tr>
      <w:tr>
        <w:trPr>
          <w:trHeight w:val="230"/>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shares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17,600,000</w:t>
            </w:r>
          </w:p>
        </w:tc>
        <w:tc>
          <w:tcPr>
            <w:tcW w:w="14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17,600,000</w:t>
            </w:r>
          </w:p>
        </w:tc>
      </w:tr>
      <w:tr>
        <w:trPr>
          <w:trHeight w:val="23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 issued to an advisor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7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Polar warrants </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9,375,000</w:t>
            </w:r>
          </w:p>
        </w:tc>
        <w:tc>
          <w:tcPr>
            <w:tcW w:w="14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BZAI warrants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29,648,250</w:t>
            </w:r>
          </w:p>
        </w:tc>
        <w:tc>
          <w:tcPr>
            <w:tcW w:w="1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29,648,250</w:t>
            </w:r>
          </w:p>
        </w:tc>
      </w:tr>
      <w:tr>
        <w:trPr>
          <w:trHeight w:val="27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ESPP </w:t>
            </w:r>
            <w:r>
              <w:rPr>
                <w:rFonts w:ascii="Times New Roman" w:cs="Times New Roman" w:eastAsia="Times New Roman" w:hAnsi="Times New Roman"/>
                <w:sz w:val="23"/>
                <w:szCs w:val="23"/>
                <w:color w:val="auto"/>
                <w:vertAlign w:val="superscript"/>
              </w:rPr>
              <w:t>(2)</w:t>
            </w:r>
          </w:p>
        </w:tc>
        <w:tc>
          <w:tcPr>
            <w:tcW w:w="1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3,047,669</w:t>
            </w:r>
          </w:p>
        </w:tc>
        <w:tc>
          <w:tcPr>
            <w:tcW w:w="140" w:type="dxa"/>
            <w:vAlign w:val="bottom"/>
            <w:shd w:val="clear" w:color="auto" w:fill="CCEEFF"/>
          </w:tcPr>
          <w:p>
            <w:pPr>
              <w:spacing w:after="0"/>
              <w:rPr>
                <w:sz w:val="23"/>
                <w:szCs w:val="23"/>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3,047,669</w:t>
            </w:r>
          </w:p>
        </w:tc>
      </w:tr>
      <w:tr>
        <w:trPr>
          <w:trHeight w:val="22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97,777,494</w:t>
            </w:r>
          </w:p>
        </w:tc>
        <w:tc>
          <w:tcPr>
            <w:tcW w:w="1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79,538,878</w:t>
            </w:r>
          </w:p>
        </w:tc>
      </w:tr>
      <w:tr>
        <w:trPr>
          <w:trHeight w:val="20"/>
        </w:trPr>
        <w:tc>
          <w:tcPr>
            <w:tcW w:w="66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The Polar warrants were issued in November 2025.</w:t>
      </w:r>
    </w:p>
    <w:p>
      <w:pPr>
        <w:spacing w:after="0"/>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The ESPP has not yet commenced.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Segment Reporting</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operates as a single operating and reportable segment. “Operating segments” are defined as components of the Company that engage in business activities with distinct financial information that is evaluated regularly by the chief operating decision maker (“CODM”) in deciding how to allocate resources and assess performance. The Company’s CODM is its chief executive officer, who regularly reviews financial information presented on a consolidated basis for the purpose of making decisions and assessing financial performance, as the Company’s products and services have similar economic characteristics.</w:t>
      </w:r>
    </w:p>
    <w:p>
      <w:pPr>
        <w:spacing w:after="0" w:line="21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financial information received by the CODM focuses primarily on total available cash and cash equivalents, total revenue, significant expenses, net loss, and earnings before interest, tax, depreciation and amortization (“EBITDA”), and EBITDA as further adjusted for certain non-cash items and other adjustments that the CODM does not consider in their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2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evaluation of ongoing operating performance from period to period (“Adjusted EBITDA”), to make decisions regarding the Company’s strategy, including the allocation of resources, as well as the Company’s assessment of operating performance.</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the Company operates as a single operating segment, the measures of total available cash and cash equivalents, total revenue and net loss, as reviewed by the CODM, are set forth on the condensed consolidated financial statements, as well as in certain notes to the condensed consolidated financial statements. See Note 4 — “Fair Value Measurements and Derivative Instruments” for details regarding the Company’s cash equivalents. See Note 3 — “Revenue and Accounts Receivable” for details regarding the Company’s total revenue disaggregated by customer geographical location and the major customer concentrations of the Company’s total revenue and accounts receivable balances.</w:t>
      </w:r>
    </w:p>
    <w:p>
      <w:pPr>
        <w:spacing w:after="0" w:line="2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Similarly, as the Company operates in a single segment, the condensed consolidated statements of operations provide one view of the Company’s significant expenses. Additional to the condensed consolidated statements of operations, the CODM regularly reviews the significant expense categories in the calculation of net loss, set forth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4"/>
          </w:tcPr>
          <w:p>
            <w:pPr>
              <w:jc w:val="right"/>
              <w:ind w:right="111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6"/>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costs</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(19,081)</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costs</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(109,530)</w:t>
            </w:r>
          </w:p>
        </w:tc>
      </w:tr>
      <w:tr>
        <w:trPr>
          <w:trHeight w:val="230"/>
        </w:trPr>
        <w:tc>
          <w:tcPr>
            <w:tcW w:w="66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items </w:t>
            </w:r>
            <w:r>
              <w:rPr>
                <w:rFonts w:ascii="Times New Roman" w:cs="Times New Roman" w:eastAsia="Times New Roman" w:hAnsi="Times New Roman"/>
                <w:sz w:val="23"/>
                <w:szCs w:val="23"/>
                <w:color w:val="auto"/>
                <w:vertAlign w:val="superscript"/>
              </w:rPr>
              <w:t>(1)</w:t>
            </w: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(17,621)</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(147,761)</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firstLine="8"/>
        <w:spacing w:after="0" w:line="242" w:lineRule="auto"/>
        <w:tabs>
          <w:tab w:leader="none" w:pos="181"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items” includes marketing expenses, professional fees, facilities costs, foreign exchange gains and losses, credit loss estimates, income taxes, and other overhead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reconciliation of net loss to EBITDA and Adjusted EBITDA: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4"/>
          </w:tcPr>
          <w:p>
            <w:pPr>
              <w:jc w:val="right"/>
              <w:ind w:right="111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7"/>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(147,761)</w:t>
            </w:r>
          </w:p>
        </w:tc>
      </w:tr>
      <w:tr>
        <w:trPr>
          <w:trHeight w:val="229"/>
        </w:trPr>
        <w:tc>
          <w:tcPr>
            <w:tcW w:w="6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30"/>
        </w:trPr>
        <w:tc>
          <w:tcPr>
            <w:tcW w:w="66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Interest income, net</w:t>
            </w: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(147,807)</w:t>
            </w:r>
          </w:p>
        </w:tc>
      </w:tr>
      <w:tr>
        <w:trPr>
          <w:trHeight w:val="230"/>
        </w:trPr>
        <w:tc>
          <w:tcPr>
            <w:tcW w:w="6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w:t>
            </w:r>
          </w:p>
        </w:tc>
      </w:tr>
      <w:tr>
        <w:trPr>
          <w:trHeight w:val="230"/>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109,530</w:t>
            </w:r>
          </w:p>
        </w:tc>
      </w:tr>
      <w:tr>
        <w:trPr>
          <w:trHeight w:val="229"/>
        </w:trPr>
        <w:tc>
          <w:tcPr>
            <w:tcW w:w="6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costs</w:t>
            </w:r>
          </w:p>
        </w:tc>
        <w:tc>
          <w:tcPr>
            <w:tcW w:w="520" w:type="dxa"/>
            <w:vAlign w:val="bottom"/>
          </w:tcPr>
          <w:p>
            <w:pPr>
              <w:spacing w:after="0"/>
              <w:rPr>
                <w:sz w:val="19"/>
                <w:szCs w:val="19"/>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r>
      <w:tr>
        <w:trPr>
          <w:trHeight w:val="230"/>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30"/>
        </w:trPr>
        <w:tc>
          <w:tcPr>
            <w:tcW w:w="6640" w:type="dxa"/>
            <w:vAlign w:val="bottom"/>
            <w:tcBorders>
              <w:bottom w:val="single" w:sz="8" w:color="CCEEFF"/>
            </w:tcBorders>
          </w:tcPr>
          <w:p>
            <w:pPr>
              <w:ind w:left="16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60" w:firstLine="8"/>
        <w:spacing w:after="0" w:line="255" w:lineRule="auto"/>
        <w:tabs>
          <w:tab w:leader="none" w:pos="181"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The Company believes that these items are not reflective of its ongoing operating performance and excluding these items provides a more meaningful comparison of its results of operations over comparative periods.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Related Party Transactions and Balances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the Sponsor and its affiliates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Partner Referral Agreement</w:t>
      </w:r>
    </w:p>
    <w:p>
      <w:pPr>
        <w:spacing w:after="0" w:line="25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On June 30, 2025, the Company entered into a Sales Partner Referral Agreement (the “Referral Agreement”) with Burkhan LLC (the “Sales Partner”), an affiliate of BurTech LP, LLC (the “Sponsor”). The Referral Agreement has an initial approved customer of BurTech Systems Tech LLC (“BST”), an affiliate of the Sales Partner. Under the agreement, BST will purchase, subject to the issuance of purchase orders, up to $56.5 million of the Company’s products on behalf of a certain unaffiliated end user. The Sales Partner will receive a commission from the Company of up to 10%, depending on the Company’s gross margins under the purchase order. The sales commission is payable in cash, or, partially, at the Company’s discretion, in shares of the Company’s common stock. The commission is payable to BST once the Company receives cash from these sales.</w:t>
      </w:r>
    </w:p>
    <w:p>
      <w:pPr>
        <w:spacing w:after="0" w:line="214"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recognized $2.6 million in revenue from the Referral Agreement, inclusive of sales commissions of $0.3 million, which was reported as a reduction of revenue, and paid fully in cash.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earnout shares - related party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portion of the “other earnout shares” were issued to an affiliate of the Sponsor at the time of the Merger. See Note 6 — “Common Stock, Currently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Warrants to Purchase Common Stock, and Earnout Shares”. The fair value of these other earnout shares as of March 31, 2026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 was $2.0 million and $2.2 million, respectively, as set forth on the Company’s condensed consolidated balance sheets as of each period.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 loan - related party</w:t>
      </w:r>
    </w:p>
    <w:p>
      <w:pPr>
        <w:spacing w:after="0" w:line="25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Immediately prior to the consummation of the Merger, the Company issued an unsecured promissory note to the Sponsor, pursuant to which it borrowed $1.5 million for general corporate purposes. On the date of the Merger, this loan was recorded on the Company’s condensed consolidated balance sheets, and was outstanding as of March 31, 2026 and December 31, 2025. Repayment has been demanded by the Sponsor.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Advances from related party</w:t>
      </w:r>
    </w:p>
    <w:p>
      <w:pPr>
        <w:spacing w:after="0" w:line="2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Immediately prior to the consummation of the Merger, the Sponsor provided the Company with certain working capital advances, which are non-interest bearing and payable on demand, in the amount of $2.9 million. These amounts are reflected on the condensed consolidated balance sheets as of March 31, 2026 and December 31, 2025 as “advances from related party”. Repayment has been demanded by the Sponsor.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 - related party</w:t>
      </w:r>
    </w:p>
    <w:p>
      <w:pPr>
        <w:spacing w:after="0" w:line="2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owed management fees in the amount of $0.2 million to the Sponsor as of March 31, 2026 and December 31, 2025. These amounts are reflected on the condensed consolidated balance sheets as “accounts payable - related party”.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note receivable</w:t>
      </w:r>
    </w:p>
    <w:p>
      <w:pPr>
        <w:spacing w:after="0" w:line="254"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Immediately prior to the consummation of the Merger, the Sponsor issued a secured promissory note and pledge agreement (the “shareholder note receivable”) to the Company which will decrease when the Sponsor pays for transaction costs that the Company assumed from the Sponsor during the Merger. The shareholder note receivable is secured by collateral of 2,000,000 shares of the Company’s common stock owned by the Sponsor. As of March 31, 2026 and December 31, 2025, the outstanding principal of the shareholder note receivable was $8.6 million, the amount of which has been deducted from additional paid-in capital on the Company’s condensed consolidated balance sheets as of that date.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25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December 31, 2024 and through January 13, 2025, the Company, its Sponsor, and Legacy Blaize entered into non-redemption agreements with several unaffiliated stockholders (each, an “Investor”) who agreed not to redeem (or, alternately, to validly rescind any redemption requests on) their shares of common stock (“Non-Redeemed Shares”) through up to 180 days after the Closing Date. These Non-Redeemed Shares were exchanged for shares of the Company’s common stock and were held in a separate escrow account. In exchange for the foregoing commitments not to redeem the Non-Redeemed Shares, the Sponsor agreed to guarantee that each Investor receive a return of $1.50 per Non-Redeemed Share held in a related cash escrow account, subject to certain conditions. The Sponsor, and not the Company, was contractually obligated for the $1.50 per share premium related to these non-redemption agreements. Accordingly, the Company did not recognize a non-redemption liability for the Sponsor’s commitment.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other related parties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with other related parties for advisory and marketing services, and a related party employed by the Company are set forth in the table below:</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4"/>
          </w:tcPr>
          <w:p>
            <w:pPr>
              <w:jc w:val="right"/>
              <w:ind w:right="111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to other related parties:</w:t>
            </w:r>
          </w:p>
        </w:tc>
        <w:tc>
          <w:tcPr>
            <w:tcW w:w="5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30"/>
        </w:trPr>
        <w:tc>
          <w:tcPr>
            <w:tcW w:w="66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Marketing services </w:t>
            </w:r>
            <w:r>
              <w:rPr>
                <w:rFonts w:ascii="Times New Roman" w:cs="Times New Roman" w:eastAsia="Times New Roman" w:hAnsi="Times New Roman"/>
                <w:sz w:val="23"/>
                <w:szCs w:val="23"/>
                <w:color w:val="auto"/>
                <w:vertAlign w:val="superscript"/>
              </w:rPr>
              <w:t>(1)</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9"/>
        </w:trPr>
        <w:tc>
          <w:tcPr>
            <w:tcW w:w="66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Cash compensation received by related party employee </w:t>
            </w:r>
            <w:r>
              <w:rPr>
                <w:rFonts w:ascii="Times New Roman" w:cs="Times New Roman" w:eastAsia="Times New Roman" w:hAnsi="Times New Roman"/>
                <w:sz w:val="23"/>
                <w:szCs w:val="23"/>
                <w:color w:val="auto"/>
                <w:vertAlign w:val="superscript"/>
              </w:rPr>
              <w:t>(2)</w:t>
            </w:r>
          </w:p>
        </w:tc>
        <w:tc>
          <w:tcPr>
            <w:tcW w:w="5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96"/>
        </w:trPr>
        <w:tc>
          <w:tcPr>
            <w:tcW w:w="6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cash paid to other related parties</w:t>
            </w:r>
          </w:p>
        </w:tc>
        <w:tc>
          <w:tcPr>
            <w:tcW w:w="520" w:type="dxa"/>
            <w:vAlign w:val="bottom"/>
            <w:tcBorders>
              <w:bottom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ind w:left="144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7"/>
                <w:szCs w:val="17"/>
                <w:color w:val="auto"/>
              </w:rPr>
            </w:pPr>
          </w:p>
        </w:tc>
        <w:tc>
          <w:tcPr>
            <w:tcW w:w="540" w:type="dxa"/>
            <w:vAlign w:val="bottom"/>
            <w:tcBorders>
              <w:bottom w:val="single" w:sz="8" w:color="auto"/>
            </w:tcBorders>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241</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43"/>
        </w:trPr>
        <w:tc>
          <w:tcPr>
            <w:tcW w:w="66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Included in “selling, general and administrative - related party” on the Company’s</w:t>
            </w:r>
          </w:p>
        </w:tc>
        <w:tc>
          <w:tcPr>
            <w:tcW w:w="5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r>
      <w:tr>
        <w:trPr>
          <w:trHeight w:val="243"/>
        </w:trPr>
        <w:tc>
          <w:tcPr>
            <w:tcW w:w="66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condensed consolidated statements of operations </w:t>
            </w:r>
            <w:r>
              <w:rPr>
                <w:rFonts w:ascii="Times New Roman" w:cs="Times New Roman" w:eastAsia="Times New Roman" w:hAnsi="Times New Roman"/>
                <w:sz w:val="23"/>
                <w:szCs w:val="23"/>
                <w:color w:val="auto"/>
                <w:vertAlign w:val="superscript"/>
              </w:rPr>
              <w:t>(2)</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bl>
    <w:p>
      <w:pPr>
        <w:spacing w:after="0" w:line="319" w:lineRule="exact"/>
        <w:rPr>
          <w:sz w:val="20"/>
          <w:szCs w:val="20"/>
          <w:color w:val="auto"/>
        </w:rPr>
      </w:pPr>
    </w:p>
    <w:p>
      <w:pPr>
        <w:ind w:right="80" w:firstLine="8"/>
        <w:spacing w:after="0" w:line="241" w:lineRule="auto"/>
        <w:tabs>
          <w:tab w:leader="none" w:pos="181"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Marketing expenses were incurred with a company owned by a direct family member of a minority stockholder and member of the Company’s Board of Directors.</w:t>
      </w:r>
    </w:p>
    <w:p>
      <w:pPr>
        <w:ind w:right="160" w:firstLine="8"/>
        <w:spacing w:after="0" w:line="263" w:lineRule="auto"/>
        <w:tabs>
          <w:tab w:leader="none" w:pos="165"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 relative of one of the Company’s named executive officers is employed by the Company. Compensation received is presented in “included in selling, general and administrative - related party” for the three months ended March 31,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Subsequent Events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date of issuance of these condensed consolidated financial statements.</w:t>
      </w:r>
    </w:p>
    <w:p>
      <w:pPr>
        <w:spacing w:after="0" w:line="25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May 5, 2026, the Company entered into an underwriting agreement (the “Underwriting Agreement”) with Northland Securities, Inc., as representative of the several underwriters named therein (the “Underwriters”), relating to the May 6, 2026 issuance and sale (the “Offering”) of 18,918,918 shares (the “Base Shares”) of the Company’s common stock to the public at a price of $1.85 per share. Pursuant to the Underwriting Agreement, the Company granted the Underwriters a 30-day option to purchase up to 2,837,837 additional shares of common stock (the “Option Shares” and, together with the Base Shares, the “Shares”) at the public offering price. The net proceeds to the Company from the Offering for the Base Shares were approximately $32.8 million after deducting underwriting discounts and offering expenses paid by the Company. If the Option Shares are fully exercised, the Company would receive aggregate gross proceeds of approximately $40.25 million, before deducting underwriting discounts and other offering expenses.</w:t>
      </w:r>
    </w:p>
    <w:p>
      <w:pPr>
        <w:spacing w:after="0" w:line="21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May 5, 2026, the Company entered into Amendment No. 1 to Common Stock Purchase Warrants with the holders of the Polar warrants, amending the outstanding Polar warrants to adjust the exercise price from $5.00 per share to $3.00 per share.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Annual Report on Form 10-K for the year ended December 31, 2025 (the “Annual Report on Form 10-K”) and unaudited interim condensed consolidated financial statements as of and for the three months ended March 31, 2026 and 2025, together with related notes thereto. Unless the context otherwise requires, all references in this Quarterly Report on Form 10-Q to “the Company” “Blaize,” “us,” “our,” “ours,” or “we” refer to Blaize Holdings, Inc. Certain terms are defined in our Annual Report on Form 10-K.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provide purpose-built, transformative AI-enabled edge computing solutions comprised of both our proprietary hardware and software, and complementary third-party hardware solutions, as further described below. Our computing solutions are designed for efficient processing of AI inference workloads across edge and data center environments. Our architecture supports AI workloads where latency, power efficiency, and cost efficiency are important considerations. Our systems can process data locally at the edge or within data center infrastructure, depending on deployment requirements. Local processing can reduce bandwidth usage and support latency-sensitive applications requiring real-time decision making.</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our internally developed products, we also deliver third-party hardware solutions that complement and enhance our core offerings. By integrating certain third-party hardware components, we believe that we are able to provide customers with comprehensive and flexible computing solutions tailored to their specific needs. These third-party hardware solutions typically are substantially comprised of servers, which are selected to ensure optimal compatibility and performance with our products and our AI-enabled platforms.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portfolio includes highly efficient, programmable AI processors in a broad range of form factors, deployable across several verticals, including smart city, defense, retail and enterprise markets. Our accelerated AI computing platforms enable applications such as computer vision, advanced video analytics, and AI inference, and our software tools allow non-expert practitioners to deploy existing and novel AI applications on our hardware without the need to learn or use source code.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in Our Business</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May 5, 2026, the Company entered into an underwriting agreement (the “Underwriting Agreement”) with Northland Securities, Inc., as representative of the several underwriters named therein (the “Underwriters”), relating to the May 6, 2026 issuance and sale (the “Offering”) of 18,918,918 shares (the “Base Shares”) of the Company’s common stock to the public at a price of $1.85 per share. Pursuant to the Underwriting Agreement, the Company granted the Underwriters a 30-day option to purchase up to 2,837,837 additional shares of common stock (the “Option Shares” and, together with the Base Shares, the “Shares”) at the public offering price. The net proceeds to the Company from the Offering for the Base Shares were approximately $32.8 million after deducting underwriting discounts and offering expenses paid by the Company. If the Option Shares are fully exercised, the Company would receive aggregate gross proceeds of approximately $40.25 million, before deducting underwriting discounts and other offering expenses.</w:t>
      </w:r>
    </w:p>
    <w:p>
      <w:pPr>
        <w:spacing w:after="0" w:line="21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May 5, 2026, the Company entered into Amendment No. 1 to Common Stock Purchase Warrants with the holders of the Polar warrants, amending the outstanding Polar warrants to adjust the exercise price from $5.00 per share to $3.00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identified potential future business opportunities that we believe could accelerate our growth through near-term customer implementations. Although we have no contractual arrangement(s) with respect to such pipeline and we cannot predict with certainty any future contractual arrangement(s), the pipeline contains target accounts and opportunities that have been identified as potential customers for our products and services. We classify certain key metrics related to our pipeline into the following categories: proof of concept stage, partners, and design wins.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Proof of Concept Stage</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proof-of-concept stage (“POC”) represents that a proposal for a proof of concept has either been initiated or is in progress with a potential customer or partner. We utilize POCs to demonstrate our technology’s value proposition along with its tailored use scenarios and satisfaction of customer and/or partner requirements. As of March 31, 2026, 25 POCs were initiated or in progress with a potential customer.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w:t>
      </w:r>
    </w:p>
    <w:p>
      <w:pPr>
        <w:spacing w:after="0" w:line="25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 partner (“Partner”) consists of either an independent software vendor or independent hardware vendor with whom we are working to integrate our products and services into the vendor’s offerings for their customers. Such vendors may include original equipment manufacturers (“OEMs”), original design manufacturers, system integrators, or hardware resellers or distributors, among others. As of March 31, 2026, we had a total of 30 Partners.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Design Wins</w:t>
      </w:r>
    </w:p>
    <w:p>
      <w:pPr>
        <w:spacing w:after="0" w:line="254"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A design win (“Design Win”) represents that a Partner or a customer has selected our products and/or services to be incorporated into a product that it intends to produce or consume, as applicable, and has confirmed that our offerings integrate into such product accordingly. As of March 31, 2026, 20 Design Wins had been confirmed with a Partner or customer.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derive revenue through a combination of:</w:t>
      </w:r>
    </w:p>
    <w:p>
      <w:pPr>
        <w:spacing w:after="0" w:line="252" w:lineRule="exact"/>
        <w:rPr>
          <w:sz w:val="20"/>
          <w:szCs w:val="20"/>
          <w:color w:val="auto"/>
        </w:rPr>
      </w:pPr>
    </w:p>
    <w:p>
      <w:pPr>
        <w:ind w:left="660" w:right="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 — encompasses the sale of our semiconductor products and/or third-party hardware products which support our semiconductor products through various supply agreements.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revenue — encompasses the sale of our applications and other software products through various licensing agreements.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consulting services revenue — providing customized design services to our customers, tailored to their specific requirements.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revenue for the three months ended March 31, 2026 and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0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bottom w:val="single" w:sz="8" w:color="auto"/>
            </w:tcBorders>
          </w:tcPr>
          <w:p>
            <w:pPr>
              <w:spacing w:after="0"/>
              <w:rPr>
                <w:sz w:val="18"/>
                <w:szCs w:val="18"/>
                <w:color w:val="auto"/>
              </w:rPr>
            </w:pPr>
          </w:p>
        </w:tc>
      </w:tr>
      <w:tr>
        <w:trPr>
          <w:trHeight w:val="214"/>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171.9 %</w:t>
            </w:r>
          </w:p>
        </w:tc>
      </w:tr>
    </w:tbl>
    <w:p>
      <w:pPr>
        <w:spacing w:after="0" w:line="3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revenue increased to $2.7 million compared to $1.0 million for the three months ended March 31, 2025. The increase was primarily due to hardware sales under the Sales Partner Referral Agreement (the “Referral Agreement”) with a related party, inclusive of sales commissions of $0.3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revenue by the geographical location of our customers for the three months ended March 31, 2026 and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Borders>
              <w:bottom w:val="single" w:sz="8" w:color="auto"/>
            </w:tcBorders>
          </w:tcPr>
          <w:p>
            <w:pPr>
              <w:spacing w:after="0"/>
              <w:rPr>
                <w:sz w:val="18"/>
                <w:szCs w:val="18"/>
                <w:color w:val="auto"/>
              </w:rPr>
            </w:pPr>
          </w:p>
        </w:tc>
      </w:tr>
      <w:tr>
        <w:trPr>
          <w:trHeight w:val="214"/>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0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2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Since our revenue is concentrated among a small number of customers, revenue from any one significant customer may significantly change the geographical mix of our 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Company’s revenue concentration by customer for the three months ended March 31, 2026 and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1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520" w:type="dxa"/>
            <w:vAlign w:val="bottom"/>
          </w:tcPr>
          <w:p>
            <w:pPr>
              <w:spacing w:after="0"/>
              <w:rPr>
                <w:sz w:val="18"/>
                <w:szCs w:val="18"/>
                <w:color w:val="auto"/>
              </w:rPr>
            </w:pPr>
          </w:p>
        </w:tc>
        <w:tc>
          <w:tcPr>
            <w:tcW w:w="1680" w:type="dxa"/>
            <w:vAlign w:val="bottom"/>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60" w:type="dxa"/>
            <w:vAlign w:val="bottom"/>
            <w:gridSpan w:val="2"/>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5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Pr>
          <w:p>
            <w:pPr>
              <w:spacing w:after="0"/>
              <w:rPr>
                <w:sz w:val="18"/>
                <w:szCs w:val="18"/>
                <w:color w:val="auto"/>
              </w:rPr>
            </w:pPr>
          </w:p>
        </w:tc>
        <w:tc>
          <w:tcPr>
            <w:tcW w:w="1020" w:type="dxa"/>
            <w:vAlign w:val="bottom"/>
            <w:gridSpan w:val="2"/>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60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Customer A </w:t>
            </w:r>
            <w:r>
              <w:rPr>
                <w:rFonts w:ascii="Times New Roman" w:cs="Times New Roman" w:eastAsia="Times New Roman" w:hAnsi="Times New Roman"/>
                <w:sz w:val="23"/>
                <w:szCs w:val="23"/>
                <w:color w:val="auto"/>
                <w:vertAlign w:val="superscript"/>
              </w:rPr>
              <w:t>(1)</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94.9%</w:t>
            </w:r>
          </w:p>
        </w:tc>
        <w:tc>
          <w:tcPr>
            <w:tcW w:w="1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13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95.3%</w:t>
            </w:r>
          </w:p>
        </w:tc>
      </w:tr>
      <w:tr>
        <w:trPr>
          <w:trHeight w:val="230"/>
        </w:trPr>
        <w:tc>
          <w:tcPr>
            <w:tcW w:w="4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Others </w:t>
            </w:r>
            <w:r>
              <w:rPr>
                <w:rFonts w:ascii="Times New Roman" w:cs="Times New Roman" w:eastAsia="Times New Roman" w:hAnsi="Times New Roman"/>
                <w:sz w:val="23"/>
                <w:szCs w:val="23"/>
                <w:color w:val="auto"/>
                <w:vertAlign w:val="superscript"/>
              </w:rPr>
              <w:t>(2)</w:t>
            </w:r>
          </w:p>
        </w:tc>
        <w:tc>
          <w:tcPr>
            <w:tcW w:w="5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Borders>
              <w:bottom w:val="single" w:sz="8" w:color="auto"/>
            </w:tcBorders>
          </w:tcPr>
          <w:p>
            <w:pPr>
              <w:jc w:val="right"/>
              <w:ind w:right="13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
        </w:trPr>
        <w:tc>
          <w:tcPr>
            <w:tcW w:w="4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Customer A is a related party.</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of the customers within “Others” comprised less than 10% of revenue each.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Cost of revenue is currently primarily comprised of the cost of purchase of hardware from third parties (servers into which our graph streaming processor (“GSP”) products can be placed and can otherwise enhance our branded products), and also includes Blaize-designed semiconductors purchased from foundries and various edge form factors supplied to us by contract manufacturers as well as indirect costs such as inventory carrying costs and inventory valuation reserves. In addition, cost of revenue includes direct labor costs associated with the servicing of our strategic consulting services revenue contracts. There is no depreciation allocable to cost of revenue; however, if such depreciation expense were to be incurred, it would be allocated to cost of revenue.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 primarily consists of personnel costs for our research and development activities. R&amp;D expense includes costs associated with the design and development of our application-specific integrated circuit and intellectual property (“IP”) solutions, such as third-party foundry costs, third party computer-aided tools and software licenses, third party IP licenses, and reference design development.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 primarily consists of personnel-related expenses for our sales and marketing teams, finance, human resources, information technology, and legal organizations. These expenses also include non-personnel costs, such as legal, audit, accounting services, advertising expenses, other professional fees as well as certain tax, corporate software licenses, and insurance-related expenses.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2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Depreciation consists of ordinary depreciation on long-lived assets such as computer equipment, furniture and fixtures, leasehold improvements, and office equipment and is generally not material to 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25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Transaction costs consisted of direct incremental legal, consulting, and banking fees related to the consummation of the transactions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which was completed in the first quarter of 2025. No additional costs relating to the Merger are expected to be incurred.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Detail of Costs and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costs and expenses, as described above, for the three months ended March 31, 2026 and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80" w:type="dxa"/>
            <w:vAlign w:val="bottom"/>
            <w:tcBorders>
              <w:bottom w:val="single" w:sz="8" w:color="auto"/>
            </w:tcBorders>
          </w:tcPr>
          <w:p>
            <w:pPr>
              <w:spacing w:after="0"/>
              <w:rPr>
                <w:sz w:val="18"/>
                <w:szCs w:val="18"/>
                <w:color w:val="auto"/>
              </w:rPr>
            </w:pPr>
          </w:p>
        </w:tc>
      </w:tr>
      <w:tr>
        <w:trPr>
          <w:trHeight w:val="223"/>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255.4 %</w:t>
            </w:r>
          </w:p>
        </w:tc>
      </w:tr>
      <w:tr>
        <w:trPr>
          <w:trHeight w:val="270"/>
        </w:trPr>
        <w:tc>
          <w:tcPr>
            <w:tcW w:w="4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9"/>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2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 related party</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3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cost of revenue increased by $0.8 million to $1.2 million, compared to $0.3 million for the three months ended March 31, 2025. The increase in cost of revenue is commensurate with the increase in sales for the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R&amp;D</w:t>
      </w:r>
    </w:p>
    <w:p>
      <w:pPr>
        <w:spacing w:after="0" w:line="25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research and development expense decreased by $3.4 million, or 26.2%, to $9.7 million, compared to $13.1 million for the three months ended March 31, 2025. The decrease was primarily due to a $2.1 million decrease in stock-based compensation expense allocated to employees within this department, as well as a general reduction in development activities related to our next generation chip.</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2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selling, general and administrative expense increased by $2.0 million, or 15.0%, to $15.1 million, compared to $13.1 million for the three months ended March 31, 2025. The increase was primarily due to an increase in our provision for expected credit losses during the three months ended March 31, 2026.</w:t>
      </w:r>
    </w:p>
    <w:p>
      <w:pPr>
        <w:spacing w:after="0" w:line="20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 related party expenses for the three months ended March 31, 2026 were comprised solely of payroll expenses for an individual related to one of our executive officers. During the three months ended March 31, 2025, selling, general and administrative - related party expenses included payroll expenses for the individual as well as advertising expenses incurred with a company owned by a relative of a shareholder and member of the Company’s Board of Directors.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details of our total other expense, net, for the three months ended March 31, 2026 and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80" w:type="dxa"/>
            <w:vAlign w:val="bottom"/>
            <w:tcBorders>
              <w:bottom w:val="single" w:sz="8" w:color="auto"/>
            </w:tcBorders>
          </w:tcPr>
          <w:p>
            <w:pPr>
              <w:spacing w:after="0"/>
              <w:rPr>
                <w:sz w:val="18"/>
                <w:szCs w:val="18"/>
                <w:color w:val="auto"/>
              </w:rPr>
            </w:pPr>
          </w:p>
        </w:tc>
      </w:tr>
      <w:tr>
        <w:trPr>
          <w:trHeight w:val="22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58"/>
        </w:trPr>
        <w:tc>
          <w:tcPr>
            <w:tcW w:w="45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color w:val="auto"/>
              </w:rPr>
              <w:t>Change in fair value of Legacy Blaize convertible notes and</w:t>
            </w: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4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(226,048)</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226,048</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116,518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(115,960)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Polar warrants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302.1 %</w:t>
            </w: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(109,578)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“total other expense, net” for the three months ended March 31, 2026 compared to the three months ended March 31, 2025 was driven by the fair value changes in the different financial instruments in place during each period. In the first quarter of 2025, as a result of the Merger, the Legacy Blaize convertible notes and warrants were all converted into shares of our common stock. These instruments were, therefore, not outstanding in 2026. “Other, net” includes interest income, interest expense, fines and penalties (and the reversal of the same) regarding non-income tax based tax positions and foreign exchange gains and losses.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financial measures presented in accordance with accounting principles generally accepted in the U.S. (“GAAP”), we report certain key financial measures that are not required by, or presented in accordance with, GAAP. Non-GAAP financial information is presented for supplemental informational purposes only, should not be considered in isolation of, or as a substitute for or superior to, financial information presented in accordance with GAAP, and may be different from similarly-titled non-GAAP measures used by other companies. Accordingly, you are cautioned not to place undue reliance on this information. We believe that along with our GAAP financial information, our non-GAAP financial information when taken collectively and evaluated appropriately, is helpful to investors in assessing our operating performance.</w:t>
      </w:r>
    </w:p>
    <w:p>
      <w:pPr>
        <w:spacing w:after="0" w:line="2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conjunction with net loss calculated in accordance with GAAP, we also use EBITDA and Adjusted EBITDA, as defined below, to evaluate our ongoing operations and for internal planning and forecasting purposes.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 and Adjusted EBITDA</w:t>
      </w:r>
    </w:p>
    <w:p>
      <w:pPr>
        <w:spacing w:after="0" w:line="2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EBITDA is defined as “Earnings before interest, income taxes, depreciation, and amortization”. Adjusted EBITDA is defined as EBITDA further adjusted for non-cash items such as stock-based compensation, changes in fair value, and operational income and expenses that are not expected to be ongoing, as discussed below in the footnote to “other adjustments”.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net loss to EBITDA and Adjusted EBITDA for the three months ended March 31, 2026 and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0" w:type="dxa"/>
            <w:vAlign w:val="bottom"/>
          </w:tcPr>
          <w:p>
            <w:pPr>
              <w:spacing w:after="0"/>
              <w:rPr>
                <w:sz w:val="18"/>
                <w:szCs w:val="18"/>
                <w:color w:val="auto"/>
              </w:rPr>
            </w:pPr>
          </w:p>
        </w:tc>
        <w:tc>
          <w:tcPr>
            <w:tcW w:w="1680" w:type="dxa"/>
            <w:vAlign w:val="bottom"/>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Pr>
          <w:p>
            <w:pPr>
              <w:spacing w:after="0"/>
              <w:rPr>
                <w:sz w:val="18"/>
                <w:szCs w:val="18"/>
                <w:color w:val="auto"/>
              </w:rPr>
            </w:pPr>
          </w:p>
        </w:tc>
      </w:tr>
      <w:tr>
        <w:trPr>
          <w:trHeight w:val="214"/>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30"/>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29"/>
        </w:trPr>
        <w:tc>
          <w:tcPr>
            <w:tcW w:w="4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9"/>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 costs</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6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35.3 %</w:t>
            </w: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2" w:lineRule="exact"/>
        <w:rPr>
          <w:sz w:val="20"/>
          <w:szCs w:val="20"/>
          <w:color w:val="auto"/>
        </w:rPr>
      </w:pPr>
    </w:p>
    <w:p>
      <w:pPr>
        <w:jc w:val="both"/>
        <w:ind w:right="80" w:firstLine="8"/>
        <w:spacing w:after="0" w:line="255" w:lineRule="auto"/>
        <w:tabs>
          <w:tab w:leader="none" w:pos="181"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We believe that these items are not reflective of our ongoing operating performance and excluding these items provides a more meaningful comparison of our results of operations over comparative periods.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primary sources of cash flows have historically been from financing activities. We expect our primary sources of liquidity to continue to be cash flows from financing activities, as our expenses continue to exceed our revenues, and therefore, we cannot satisfy our cash needs through operations. We intend to raise such capital through issuances of additional equity and/or debt. As discussed below, our liquidity condition raises substantial doubt about our ability to continue as a going concern through a year from the issuance date of our unaudited condensed consolidated financial statements, as we cannot expect that the sources of financing currently available to us will be sufficient to fund our ongoing cash requirements for at least the next twelve months and/or into the foreseeable future.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described in Item 1 — “Financial Statements,” in Note 2 — “Liquidity and Going Concern,” our condensed consolidated financial statements accompanying this Quarterly Report on Form 10-Q have been prepared on a “going concern” basis, which assumes that we will be able to meet our obligations and continue our operations for the foreseeable future. Our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210"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Our ability to continue to meet our obligations, to achieve our business objectives and continue as a going concern is dependent upon several factors, including our revenue growth rate, the timing and extent of spending to support further sales and marketing initiatives, as well as our research and development efforts. In order to continue to finance our operations, we will need to raise additional financing, if such financing is available at all.</w:t>
      </w:r>
    </w:p>
    <w:p>
      <w:pPr>
        <w:spacing w:after="0" w:line="20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a result of the above considerations, we have determined that our liquidity condition raises substantial doubt about our ability to continue as a going concern through a year from the date of issuance of our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During the Current Year</w:t>
            </w:r>
          </w:p>
        </w:tc>
        <w:tc>
          <w:tcPr>
            <w:tcW w:w="2240" w:type="dxa"/>
            <w:vAlign w:val="bottom"/>
          </w:tcPr>
          <w:p>
            <w:pPr>
              <w:spacing w:after="0"/>
              <w:rPr>
                <w:sz w:val="20"/>
                <w:szCs w:val="20"/>
                <w:color w:val="auto"/>
              </w:rPr>
            </w:pPr>
          </w:p>
        </w:tc>
      </w:tr>
      <w:tr>
        <w:trPr>
          <w:trHeight w:val="459"/>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sets forth a description of our issuance of common stock as of May 14, 2026:</w:t>
            </w:r>
          </w:p>
        </w:tc>
        <w:tc>
          <w:tcPr>
            <w:tcW w:w="2240" w:type="dxa"/>
            <w:vAlign w:val="bottom"/>
          </w:tcPr>
          <w:p>
            <w:pPr>
              <w:spacing w:after="0"/>
              <w:rPr>
                <w:sz w:val="24"/>
                <w:szCs w:val="24"/>
                <w:color w:val="auto"/>
              </w:rPr>
            </w:pPr>
          </w:p>
        </w:tc>
      </w:tr>
      <w:tr>
        <w:trPr>
          <w:trHeight w:val="270"/>
        </w:trPr>
        <w:tc>
          <w:tcPr>
            <w:tcW w:w="8400" w:type="dxa"/>
            <w:vAlign w:val="bottom"/>
          </w:tcPr>
          <w:p>
            <w:pPr>
              <w:spacing w:after="0"/>
              <w:rPr>
                <w:sz w:val="23"/>
                <w:szCs w:val="23"/>
                <w:color w:val="auto"/>
              </w:rPr>
            </w:pPr>
          </w:p>
        </w:tc>
        <w:tc>
          <w:tcPr>
            <w:tcW w:w="2240" w:type="dxa"/>
            <w:vAlign w:val="bottom"/>
          </w:tcPr>
          <w:p>
            <w:pPr>
              <w:spacing w:after="0"/>
              <w:rPr>
                <w:sz w:val="23"/>
                <w:szCs w:val="23"/>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outstanding as of December 31, 2025</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122,043,966</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653,589</w:t>
            </w:r>
          </w:p>
        </w:tc>
      </w:tr>
      <w:tr>
        <w:trPr>
          <w:trHeight w:val="27"/>
        </w:trPr>
        <w:tc>
          <w:tcPr>
            <w:tcW w:w="84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49,202</w:t>
            </w:r>
          </w:p>
        </w:tc>
      </w:tr>
      <w:tr>
        <w:trPr>
          <w:trHeight w:val="237"/>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outstanding as of March 31, 2026</w:t>
            </w: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122,746,757</w:t>
            </w:r>
          </w:p>
        </w:tc>
      </w:tr>
      <w:tr>
        <w:trPr>
          <w:trHeight w:val="27"/>
        </w:trPr>
        <w:tc>
          <w:tcPr>
            <w:tcW w:w="84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3"/>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631,286</w:t>
            </w:r>
          </w:p>
        </w:tc>
      </w:tr>
      <w:tr>
        <w:trPr>
          <w:trHeight w:val="27"/>
        </w:trPr>
        <w:tc>
          <w:tcPr>
            <w:tcW w:w="84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Shares issued on May 5, 2026 </w:t>
            </w:r>
            <w:r>
              <w:rPr>
                <w:rFonts w:ascii="Times New Roman" w:cs="Times New Roman" w:eastAsia="Times New Roman" w:hAnsi="Times New Roman"/>
                <w:sz w:val="23"/>
                <w:szCs w:val="23"/>
                <w:color w:val="auto"/>
                <w:vertAlign w:val="superscript"/>
              </w:rPr>
              <w:t>(1)</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18,918,918</w:t>
            </w:r>
          </w:p>
        </w:tc>
      </w:tr>
      <w:tr>
        <w:trPr>
          <w:trHeight w:val="26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outstanding as of May 14, 2026</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142,299,461</w:t>
            </w:r>
          </w:p>
        </w:tc>
      </w:tr>
      <w:tr>
        <w:trPr>
          <w:trHeight w:val="21"/>
        </w:trPr>
        <w:tc>
          <w:tcPr>
            <w:tcW w:w="84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May 5, 2026, pursuant to the Underwriting Agreement, we sold and issued 18,918,918 shares of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Commitments to Issue Shares of Our Common Stock</w:t>
            </w:r>
          </w:p>
        </w:tc>
        <w:tc>
          <w:tcPr>
            <w:tcW w:w="2220" w:type="dxa"/>
            <w:vAlign w:val="bottom"/>
          </w:tcPr>
          <w:p>
            <w:pPr>
              <w:spacing w:after="0"/>
              <w:rPr>
                <w:sz w:val="20"/>
                <w:szCs w:val="20"/>
                <w:color w:val="auto"/>
              </w:rPr>
            </w:pPr>
          </w:p>
        </w:tc>
      </w:tr>
      <w:tr>
        <w:trPr>
          <w:trHeight w:val="459"/>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sets forth a description of our future commitments to issue common stock as of May 14, 2026:</w:t>
            </w:r>
          </w:p>
        </w:tc>
        <w:tc>
          <w:tcPr>
            <w:tcW w:w="2220" w:type="dxa"/>
            <w:vAlign w:val="bottom"/>
          </w:tcPr>
          <w:p>
            <w:pPr>
              <w:spacing w:after="0"/>
              <w:rPr>
                <w:sz w:val="24"/>
                <w:szCs w:val="24"/>
                <w:color w:val="auto"/>
              </w:rPr>
            </w:pPr>
          </w:p>
        </w:tc>
      </w:tr>
      <w:tr>
        <w:trPr>
          <w:trHeight w:val="270"/>
        </w:trPr>
        <w:tc>
          <w:tcPr>
            <w:tcW w:w="8400" w:type="dxa"/>
            <w:vAlign w:val="bottom"/>
          </w:tcPr>
          <w:p>
            <w:pPr>
              <w:spacing w:after="0"/>
              <w:rPr>
                <w:sz w:val="23"/>
                <w:szCs w:val="23"/>
                <w:color w:val="auto"/>
              </w:rPr>
            </w:pPr>
          </w:p>
        </w:tc>
        <w:tc>
          <w:tcPr>
            <w:tcW w:w="2220" w:type="dxa"/>
            <w:vAlign w:val="bottom"/>
          </w:tcPr>
          <w:p>
            <w:pPr>
              <w:spacing w:after="0"/>
              <w:rPr>
                <w:sz w:val="23"/>
                <w:szCs w:val="23"/>
                <w:color w:val="auto"/>
              </w:rPr>
            </w:pPr>
          </w:p>
        </w:tc>
      </w:tr>
      <w:tr>
        <w:trPr>
          <w:trHeight w:val="27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Stock options </w:t>
            </w:r>
            <w:r>
              <w:rPr>
                <w:rFonts w:ascii="Times New Roman" w:cs="Times New Roman" w:eastAsia="Times New Roman" w:hAnsi="Times New Roman"/>
                <w:sz w:val="23"/>
                <w:szCs w:val="23"/>
                <w:color w:val="auto"/>
                <w:vertAlign w:val="superscript"/>
              </w:rPr>
              <w:t>(1)</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28,697,076</w:t>
            </w:r>
          </w:p>
        </w:tc>
      </w:tr>
      <w:tr>
        <w:trPr>
          <w:trHeight w:val="27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RSUs </w:t>
            </w:r>
            <w:r>
              <w:rPr>
                <w:rFonts w:ascii="Times New Roman" w:cs="Times New Roman" w:eastAsia="Times New Roman" w:hAnsi="Times New Roman"/>
                <w:sz w:val="23"/>
                <w:szCs w:val="23"/>
                <w:color w:val="auto"/>
                <w:vertAlign w:val="superscript"/>
              </w:rPr>
              <w:t>(1)</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9,359,499</w:t>
            </w:r>
          </w:p>
        </w:tc>
      </w:tr>
      <w:tr>
        <w:trPr>
          <w:trHeight w:val="27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Employee stock purchase plan shares available for future purchase </w:t>
            </w:r>
            <w:r>
              <w:rPr>
                <w:rFonts w:ascii="Times New Roman" w:cs="Times New Roman" w:eastAsia="Times New Roman" w:hAnsi="Times New Roman"/>
                <w:sz w:val="23"/>
                <w:szCs w:val="23"/>
                <w:color w:val="auto"/>
                <w:vertAlign w:val="superscript"/>
              </w:rPr>
              <w:t>(1)</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3,047,669</w:t>
            </w:r>
          </w:p>
        </w:tc>
      </w:tr>
      <w:tr>
        <w:trPr>
          <w:trHeight w:val="27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Earnout shares </w:t>
            </w:r>
            <w:r>
              <w:rPr>
                <w:rFonts w:ascii="Times New Roman" w:cs="Times New Roman" w:eastAsia="Times New Roman" w:hAnsi="Times New Roman"/>
                <w:sz w:val="23"/>
                <w:szCs w:val="23"/>
                <w:color w:val="auto"/>
                <w:vertAlign w:val="superscript"/>
              </w:rPr>
              <w:t>(2)</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17,600,000</w:t>
            </w:r>
          </w:p>
        </w:tc>
      </w:tr>
      <w:tr>
        <w:trPr>
          <w:trHeight w:val="27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BZAI warrants </w:t>
            </w:r>
            <w:r>
              <w:rPr>
                <w:rFonts w:ascii="Times New Roman" w:cs="Times New Roman" w:eastAsia="Times New Roman" w:hAnsi="Times New Roman"/>
                <w:sz w:val="23"/>
                <w:szCs w:val="23"/>
                <w:color w:val="auto"/>
                <w:vertAlign w:val="superscript"/>
              </w:rPr>
              <w:t>(3)</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29,648,250</w:t>
            </w:r>
          </w:p>
        </w:tc>
      </w:tr>
      <w:tr>
        <w:trPr>
          <w:trHeight w:val="27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Warrants issued to an advisor </w:t>
            </w:r>
            <w:r>
              <w:rPr>
                <w:rFonts w:ascii="Times New Roman" w:cs="Times New Roman" w:eastAsia="Times New Roman" w:hAnsi="Times New Roman"/>
                <w:sz w:val="23"/>
                <w:szCs w:val="23"/>
                <w:color w:val="auto"/>
                <w:vertAlign w:val="superscript"/>
              </w:rPr>
              <w:t>(3)</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7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Polar warrants </w:t>
            </w:r>
            <w:r>
              <w:rPr>
                <w:rFonts w:ascii="Times New Roman" w:cs="Times New Roman" w:eastAsia="Times New Roman" w:hAnsi="Times New Roman"/>
                <w:sz w:val="23"/>
                <w:szCs w:val="23"/>
                <w:color w:val="auto"/>
                <w:vertAlign w:val="superscript"/>
              </w:rPr>
              <w:t>(4)</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9,375,000</w:t>
            </w:r>
          </w:p>
        </w:tc>
      </w:tr>
      <w:tr>
        <w:trPr>
          <w:trHeight w:val="27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“Greenshoe” option shares </w:t>
            </w:r>
            <w:r>
              <w:rPr>
                <w:rFonts w:ascii="Times New Roman" w:cs="Times New Roman" w:eastAsia="Times New Roman" w:hAnsi="Times New Roman"/>
                <w:sz w:val="23"/>
                <w:szCs w:val="23"/>
                <w:color w:val="auto"/>
                <w:vertAlign w:val="superscript"/>
              </w:rPr>
              <w:t>(5)</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2,837,837</w:t>
            </w:r>
          </w:p>
        </w:tc>
      </w:tr>
      <w:tr>
        <w:trPr>
          <w:trHeight w:val="27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Issuable under Sales Partner Referral Agreement </w:t>
            </w:r>
            <w:r>
              <w:rPr>
                <w:rFonts w:ascii="Times New Roman" w:cs="Times New Roman" w:eastAsia="Times New Roman" w:hAnsi="Times New Roman"/>
                <w:sz w:val="23"/>
                <w:szCs w:val="23"/>
                <w:color w:val="auto"/>
                <w:vertAlign w:val="superscript"/>
              </w:rPr>
              <w:t>(6)</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Issuable under Committed Equity Facility </w:t>
            </w:r>
            <w:r>
              <w:rPr>
                <w:rFonts w:ascii="Times New Roman" w:cs="Times New Roman" w:eastAsia="Times New Roman" w:hAnsi="Times New Roman"/>
                <w:sz w:val="23"/>
                <w:szCs w:val="23"/>
                <w:color w:val="auto"/>
                <w:vertAlign w:val="superscript"/>
              </w:rPr>
              <w:t>(7)</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potential commitments to issue common stock</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100,615,331</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Variable number of shares not determinable as of May 14, 2026.</w:t>
      </w:r>
    </w:p>
    <w:p>
      <w:pPr>
        <w:spacing w:after="0" w:line="252" w:lineRule="exact"/>
        <w:rPr>
          <w:sz w:val="20"/>
          <w:szCs w:val="20"/>
          <w:color w:val="auto"/>
        </w:rPr>
      </w:pPr>
    </w:p>
    <w:p>
      <w:pPr>
        <w:ind w:firstLine="8"/>
        <w:spacing w:after="0" w:line="258" w:lineRule="auto"/>
        <w:tabs>
          <w:tab w:leader="none" w:pos="181"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March 31, 2026, we had commitments to issue 28,697,076 shares of common stock to employees and others under stock option awards, and an additional 9,359,499 shares of our common stock under employee and other RSU awards. These commitments did not differ materially as of May 14, 2026, as we did not issue additional such awards during the time period between March 31, 2026 and May 14, 2026, although forfeitures from terminated employees and option exercises may decrease these commitments by immaterial amounts. We have further reserved 3,047,669 shares of our common stock under an employee stock purchase plan, which has not yet commenced.</w:t>
      </w:r>
    </w:p>
    <w:p>
      <w:pPr>
        <w:spacing w:after="0" w:line="210" w:lineRule="exact"/>
        <w:rPr>
          <w:rFonts w:ascii="Times New Roman" w:cs="Times New Roman" w:eastAsia="Times New Roman" w:hAnsi="Times New Roman"/>
          <w:sz w:val="22"/>
          <w:szCs w:val="22"/>
          <w:color w:val="auto"/>
          <w:vertAlign w:val="superscript"/>
        </w:rPr>
      </w:pPr>
    </w:p>
    <w:p>
      <w:pPr>
        <w:ind w:firstLine="8"/>
        <w:spacing w:after="0" w:line="255" w:lineRule="auto"/>
        <w:tabs>
          <w:tab w:leader="none" w:pos="181"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have commitments in respect of the Earnout Shares to issue up to 15,000,000 shares of our common stock, primarily to Legacy Blaize shareholders and also to then-outstanding Legacy Blaize employee equity award holders, and 2,600,000 shares of our common stock to Burkhan, subject to our share price achieving certain thresholds over a period of time (collectively, the “Earnout Shares”). These Earnout Shares are dependent upon, among other things, changes in the closing share price of our common stock, the expected timing of settlement, and the probability of achieving certain triggering events.</w:t>
      </w:r>
    </w:p>
    <w:p>
      <w:pPr>
        <w:spacing w:after="0" w:line="215" w:lineRule="exact"/>
        <w:rPr>
          <w:rFonts w:ascii="Times New Roman" w:cs="Times New Roman" w:eastAsia="Times New Roman" w:hAnsi="Times New Roman"/>
          <w:sz w:val="22"/>
          <w:szCs w:val="22"/>
          <w:color w:val="auto"/>
          <w:vertAlign w:val="superscript"/>
        </w:rPr>
      </w:pPr>
    </w:p>
    <w:p>
      <w:pPr>
        <w:ind w:firstLine="8"/>
        <w:spacing w:after="0" w:line="251" w:lineRule="auto"/>
        <w:tabs>
          <w:tab w:leader="none" w:pos="181"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have a total of 29,648,250 warrants to purchase shares of our common stock outstanding, exercisable at $11.50 per share (the “BZAI warrants”), which expire on January 13, 2030. Additionally, shortly after the Merger, we issued, to an advisor, 50,000 warrants to purchase shares of our common stock outstanding, exercisable at $11.50 per share, which expire in the first quarter of 2030.</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May 5, 2026, we amended the outstanding Polar warrants to adjust the exercise price from $5.00 per share to $3.00 per share.</w:t>
      </w:r>
    </w:p>
    <w:p>
      <w:pPr>
        <w:spacing w:after="0" w:line="224" w:lineRule="exact"/>
        <w:rPr>
          <w:rFonts w:ascii="Times New Roman" w:cs="Times New Roman" w:eastAsia="Times New Roman" w:hAnsi="Times New Roman"/>
          <w:sz w:val="22"/>
          <w:szCs w:val="22"/>
          <w:color w:val="auto"/>
          <w:vertAlign w:val="superscript"/>
        </w:rPr>
      </w:pPr>
    </w:p>
    <w:p>
      <w:pPr>
        <w:ind w:right="200" w:firstLine="8"/>
        <w:spacing w:after="0"/>
        <w:tabs>
          <w:tab w:leader="none" w:pos="181"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May 5, 2026, pursuant to the Underwriting Agreement, as part of our offering of common stock on that date, we granted the Underwriters a 30-day option to purchase up to 2,837,837 additional shares of common stock, commonly referred to as a “greenshoe” option. The greenshoe option expires on June 5, 2026.</w:t>
      </w:r>
    </w:p>
    <w:p>
      <w:pPr>
        <w:spacing w:after="0" w:line="200" w:lineRule="exact"/>
        <w:rPr>
          <w:rFonts w:ascii="Times New Roman" w:cs="Times New Roman" w:eastAsia="Times New Roman" w:hAnsi="Times New Roman"/>
          <w:sz w:val="22"/>
          <w:szCs w:val="22"/>
          <w:color w:val="auto"/>
          <w:vertAlign w:val="superscript"/>
        </w:rPr>
      </w:pPr>
    </w:p>
    <w:p>
      <w:pPr>
        <w:spacing w:after="0" w:line="242" w:lineRule="exact"/>
        <w:rPr>
          <w:rFonts w:ascii="Times New Roman" w:cs="Times New Roman" w:eastAsia="Times New Roman" w:hAnsi="Times New Roman"/>
          <w:sz w:val="22"/>
          <w:szCs w:val="22"/>
          <w:color w:val="auto"/>
          <w:vertAlign w:val="superscript"/>
        </w:rPr>
      </w:pPr>
    </w:p>
    <w:p>
      <w:pPr>
        <w:ind w:right="40" w:firstLine="8"/>
        <w:spacing w:after="0" w:line="259" w:lineRule="auto"/>
        <w:tabs>
          <w:tab w:leader="none" w:pos="181"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have a Sales Partner Referral Agreement with Burkhan LLC (the “Sales Partner”), an affiliate of BurTech LP, LLC, that allows partially for shares of our common stock to be issued to that affiliate in respect of a sales commission, at our discretion. Cash or shares of stock for commission payments are to be released upon our receipt of cash on the sales made under the Sales Partner Referral Agreement. During the year ended December 31, 2025, sales were made to an affiliate of the Sales Partner, but no payments were made on amounts due to us, and therefore, no cash or shares of stock relating to the sales commission were released during the year ended December 31, 2025. During the three months ended March 31, 2026, we made additional sales under this agreement, and also received payment in full (in respect of all sales made under this agreement during 2025 and through March 31, 2026) from the Sales Partner and then paid the sales commission in cash, although future sales commissions may be partially payable in shares of our common stock at our discretion.</w:t>
      </w:r>
    </w:p>
    <w:p>
      <w:pPr>
        <w:spacing w:after="0" w:line="200" w:lineRule="exact"/>
        <w:rPr>
          <w:rFonts w:ascii="Times New Roman" w:cs="Times New Roman" w:eastAsia="Times New Roman" w:hAnsi="Times New Roman"/>
          <w:sz w:val="22"/>
          <w:szCs w:val="22"/>
          <w:color w:val="auto"/>
          <w:vertAlign w:val="superscript"/>
        </w:rPr>
      </w:pPr>
    </w:p>
    <w:p>
      <w:pPr>
        <w:spacing w:after="0" w:line="232" w:lineRule="exact"/>
        <w:rPr>
          <w:rFonts w:ascii="Times New Roman" w:cs="Times New Roman" w:eastAsia="Times New Roman" w:hAnsi="Times New Roman"/>
          <w:sz w:val="22"/>
          <w:szCs w:val="22"/>
          <w:color w:val="auto"/>
          <w:vertAlign w:val="superscript"/>
        </w:rPr>
      </w:pPr>
    </w:p>
    <w:p>
      <w:pPr>
        <w:ind w:right="60" w:firstLine="8"/>
        <w:spacing w:after="0" w:line="255" w:lineRule="auto"/>
        <w:tabs>
          <w:tab w:leader="none" w:pos="181"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remaining number of shares that we may sell under the Committed Equity Facility varies in relation to our stock price. Approximately $15.5 million remains available to draw on the Committed Equity Facility upon the expiration of the 60-day lockup agreement entered into with the underwriters of the equity raise finalized on May 6, 2026, or unless the price per share of our common stock is equal to or exceeds $2.78, as 150% of the price to the public in the equity raise during the 60-day period.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Three Months Ended March 31, 2026 and 2025</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5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Net cash used in operating activities was $12.6 million for the three months ended March 31, 2026, compared to $15.9 million for the three months ended March 31, 2025. The decrease in cash used in operating activities was primarily due to a decrease of $125.1 million in net loss, which included a decrease in adjustments to reconcile net loss to net cash used in operating expenses of $111.0 million resulting from less volatility in fair value measurements during the current period, and an increase in changes in operating assets and liabilities of $10.8 million largely arising from payment of accrued trade payables.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we used $0.1 million and $0.7 million, respectively, of cash to purchase property and equipment.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5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cash provided by financing activities was $0.1 million, which consisted of proceeds from the exercise of stock options. During the three months ended March 31, 2025, net cash provided by financing activities consisted of $15.9 million of proceeds from the Merger and PIPE financing, partially offset by the $4.5 million payment of deferred offering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 Cash Collections, and Cash Availability</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Material cash requirements as of March 31, 2026 included normal course of business near-term general corporate expenses accrued in accounts payable and accrued expenses, such as consulting fees and employee payroll.</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During the fourth quarter of 2025, we sold certain hardware in the amount of $23.8 million, and at the same time, purchased hardware from a third-party vendor in order to fulfill that sales contract, recording the trade account payable with the remaining balance as of March 31, 2026 referred to, above. Through May 14, 2026, we have received payments of $16.9 million from our customer, and we paid our vendor in full. The remaining receivable of $6.8 million is due from our customer as of May 14,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March 31, 2026, we had cash and cash equivalents on hand of $33.2 million. Additionally, approximately $15.5 million remains available to draw on the Committed Equity Facility upon the expiration of the 60-day lockup agreement entered into with the underwriters of the equity raise finalized on May 6, 2026, or unless the price per share of our common stock is equal to or exceeds $2.78, as 150% of the price to the public in the equity raise during the 60-day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5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Refer to Part II, Item 7, “Emerging Growth Company and Smaller Reporting Company Status” of our Annual Report on Form 10-K for the year ended December 31, 2025. There have been no material changes to our Emerging Growth Company and Smaller Reporting Company Statuses during the three months ended March 31,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Refer to Part II, Item 7, “Critical Accounting Estimates” of our Annual Report on Form 10-K for the year ended December 31, 2025. There have been no material changes to our Critical Accounting Policies and Estimates during the three months ended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this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 Company’s disclosure controls and procedures are designed to provide reasonable assurance that information is recorded, processed, summarized, and reported accurately and on a timely basis. Based on such evaluation, the Company’s Chief Executive Officer and Chief Financial Officer have concluded that, as of the end of such period, the Company’s disclosure controls and procedures were effective.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From time to time, we may become subject to various legal proceedings, lawsuits, disputes and claims arising in the ordinary course of our business. We are not currently a party to any litigation or legal proceedings that, in the opinion of our management, may have a material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Other than the risk factors listed below, there have been no material changes from the risk factors previously described under Part I, Item 1A. “Risk Factors” of our Annual Report on Form 10-K for the year ended December 31, 2025, filed with the SEC on March 24, 2026, as amended by Amendment No. 1 on Form 10-K/A filed with the SEC on April 30, 2026.</w:t>
      </w:r>
    </w:p>
    <w:p>
      <w:pPr>
        <w:spacing w:after="0" w:line="19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and may continue to fluctuate significantly, and this may make it difficult for you to resell shares of common stock owned by you at times or at prices you find attractive.</w:t>
      </w:r>
    </w:p>
    <w:p>
      <w:pPr>
        <w:spacing w:after="0" w:line="1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fluctuated widely and may continue to fluctuate widely as a result of a number of factors, many of which are outside our control. In addition, the stock market is subject to fluctuations in the share prices and trading volumes that affect the market prices of the shares of many companies. These broad market fluctuations have adversely affected and may continue to adversely affect the market price of our common stock. Among the factors that could affect our stock price are:</w:t>
      </w:r>
    </w:p>
    <w:p>
      <w:pPr>
        <w:spacing w:after="0" w:line="20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9" w:lineRule="exact"/>
        <w:rPr>
          <w:rFonts w:ascii="Times New Roman" w:cs="Times New Roman" w:eastAsia="Times New Roman" w:hAnsi="Times New Roman"/>
          <w:sz w:val="18"/>
          <w:szCs w:val="18"/>
          <w:color w:val="auto"/>
        </w:rPr>
      </w:pPr>
    </w:p>
    <w:p>
      <w:pPr>
        <w:ind w:left="660" w:righ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adequate project financing, commercial borrowings and debt and equity capital markets to fund our operations or any significant anticipated capital expenditures;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nature of our 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failing to meet the expectations of securities analysts or investors in a particular period;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industry in which we operate in general;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partnerships or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common stock available for public sale;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common stock by our directors, executive officers or significant stockholders or the perception that such sales could occur; and</w:t>
      </w:r>
    </w:p>
    <w:p>
      <w:pPr>
        <w:ind w:left="660" w:right="140" w:hanging="328"/>
        <w:spacing w:after="0" w:line="26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changes in interest rates, changes in fuel prices, international currency fluctuations, and acts of war, terrorism, civil unrest, or pandemics.</w:t>
      </w:r>
    </w:p>
    <w:p>
      <w:pPr>
        <w:spacing w:after="0" w:line="2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us failing to meet the expectations of industry or financial analysts or investors for any period. If we are unable to realize our objectives associated with our business plan, or if our operating results fall below the expectations of analysts or investors or below any guidance we may provide, or if any guidance we provide is below the expectations of analysts or investors, it could cause the market price of our common stock to decline.</w:t>
      </w:r>
    </w:p>
    <w:p>
      <w:pPr>
        <w:spacing w:after="0" w:line="20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issuances of our common stock in the public markets, or the perception of such sales, could depress the trading price of our common stock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in one or more separate offerings. We cannot predict the effect that future sales of common stock or other equity-related securities would have on the market price of our common stock.</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Moreover, we have filed a registration statement on Form S-8 registering all shares of common stock underlying equity awards that we may issue under our equity compensation plans. Once registered on Form S-8, shares underlying these equity awards can be freely sold in the public market upon issuance, subject to volume, notice and manner of sale limitations applicable to affiliates.</w:t>
      </w:r>
    </w:p>
    <w:p>
      <w:pPr>
        <w:spacing w:after="0" w:line="20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addition, we currently have on file with the SEC a universal registration statement which allows us to offer and sell up to $250.0 million of our securities, including shares of our common stock, from time to time pursuant to one or more offerings at prices to be determined at the time of sale.</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activity of short sellers in our common stock could increase volatility in our share price and negatively impact our reputation, business, and ability to raise capital.</w:t>
      </w:r>
    </w:p>
    <w:p>
      <w:pPr>
        <w:spacing w:after="0" w:line="18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common stock may be the target of short selling activity, in which investors sell shares that they do not own in anticipation of a decline in the market price. The presence of significant short interest could lead to increased volatility in the trading price of our shares, regardless of our actual operating performance or prospects. Short sellers may also publish, or cause to be published, negative or misleading information about our company, our management, or our business model, which could further depress our stock price and damage our reputation with customers, partners, and investors.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Increased volatility and downward pressure on our stock price as a result of short selling may make it more difficult for investors to sell their shares at desired prices and could impair our ability to access the capital markets on favorable terms, or at all, when we need to raise additional funds, which is particularly relevant given our current liquidity position and our ongoing need to raise capital to fund our operations and achieve our business objectives, as discussed elsewhere in this Quarterly Report on Form 10-Q.</w:t>
      </w:r>
    </w:p>
    <w:p>
      <w:pPr>
        <w:spacing w:after="0" w:line="20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Additionally, negative publicity or rumors, whether or not accurate, that are disseminated by short sellers or others may harm our relationships with customers, suppliers, and employees, and may have a material adverse effect on our stock price, reputation, business, financial condition, or results of operations.</w:t>
      </w:r>
    </w:p>
    <w:p>
      <w:pPr>
        <w:spacing w:after="0" w:line="19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contracts with key customers are not subject to minimum purchase commitments, and these customers may reduce or cease orders at any time, which could materially and adversely affect our business.</w:t>
      </w:r>
    </w:p>
    <w:p>
      <w:pPr>
        <w:spacing w:after="0" w:line="18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Many of our contracts with key customers do not have minimum purchase commitments, and these contracts are subject to the customer’s issuance of a purchase order. As a result, these customers may, at any time and for any reason, reduce, defer, or cease purchasing our products without penalty or prior notice. Any significant reduction, delay, or discontinuation of orders by any major customer would likely cause our revenues to decline and could materially and adversely affect our business, financial condition, and results of operations.</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we derive a significant portion of our revenues from a limited number of customers, the loss of any major customer, a material decrease in their purchases, or non-payment by the customer would have a substantial negative impact on our company. Our reliance on sales to these customers exposes us to ongoing risks of revenue fluctuation and business disruption, particularly in the absence of contractual purchase obligations.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ind w:left="400" w:hanging="392"/>
        <w:spacing w:after="0"/>
        <w:tabs>
          <w:tab w:leader="none" w:pos="4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Sales of Unregistered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tab/>
        <w:t>Issuer Repurchases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None of our directors or “officers” (as defined in Rule 16a-1(f) of the Exchange Act) adopted or terminated a trading arrangement for the purchase of Company securities for the three months ended March 31, 2026 that is either (i) a contract, instruction, or written plan intended to satisfy the affirmative defense conditions of Rule 10b5-1(c), or a “Rule 10b5-1 trading arrangement” or (ii) a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7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95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00" w:type="dxa"/>
            <w:vAlign w:val="bottom"/>
            <w:gridSpan w:val="21"/>
          </w:tcPr>
          <w:p>
            <w:pPr>
              <w:spacing w:after="0" w:line="182"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Third Amended and Restated Certificate of Incorporation of Blaize Holdings, Inc. (incorporated by reference to Exhibit 3.1 to the</w:t>
              </w:r>
            </w:hyperlink>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Company’s Current Report on Form 8-K filed January 17, 2025)</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00" w:type="dxa"/>
            <w:vAlign w:val="bottom"/>
            <w:gridSpan w:val="21"/>
          </w:tcPr>
          <w:p>
            <w:pPr>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Certificate of Designations of Series A Junior Participating Preferred Stock of Blaize Holdings, Inc., filed with the Secretary of</w:t>
              </w:r>
            </w:hyperlink>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State of the State of Delaware on April 22, 2026 (incorporated by reference to Exhibit 3.1 to the Company’s Current Report on</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9"/>
              </w:rPr>
              <w:t>Form 8-K filed on April 22, 2026)</w:t>
            </w:r>
          </w:p>
        </w:tc>
        <w:tc>
          <w:tcPr>
            <w:tcW w:w="6640" w:type="dxa"/>
            <w:vAlign w:val="bottom"/>
            <w:tcBorders>
              <w:top w:val="single" w:sz="8" w:color="0000FF"/>
            </w:tcBorders>
            <w:gridSpan w:val="8"/>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00" w:type="dxa"/>
            <w:vAlign w:val="bottom"/>
            <w:gridSpan w:val="21"/>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Rights Agreement, dated as of April 22, 2026, between Blaize Holdings, Inc. and Continental Stock Transfer &amp; Trust Company,</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gridSpan w:val="21"/>
          </w:tcPr>
          <w:p>
            <w:pPr>
              <w:spacing w:after="0" w:line="15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which includes the Form of Certificate of Designations of Series A Junior Participating Preferred Stock as Exhibit A, the Form of</w:t>
              </w:r>
            </w:hyperlink>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2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Right Certificate as Exhibit B and the Summary of Rights to Purchase Preferred Stock as Exhibit C (incorporated by reference to</w:t>
              </w:r>
            </w:hyperlink>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Exhibit 4.1 to the Company’s Current Report on Form 8-K filed on April 22, 2026)</w:t>
              </w:r>
            </w:hyperlink>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00" w:type="dxa"/>
            <w:vAlign w:val="bottom"/>
            <w:gridSpan w:val="21"/>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Form of Lock-Up Agreement (incorporated by reference to Exhibit 10.1 to the Company’s Current Report on Form 8-K filed on</w:t>
              </w:r>
            </w:hyperlink>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48">
              <w:r>
                <w:rPr>
                  <w:rFonts w:ascii="Times New Roman" w:cs="Times New Roman" w:eastAsia="Times New Roman" w:hAnsi="Times New Roman"/>
                  <w:sz w:val="18"/>
                  <w:szCs w:val="18"/>
                  <w:color w:val="0000FF"/>
                  <w:w w:val="98"/>
                </w:rPr>
                <w:t>May 6, 2026)</w:t>
              </w:r>
            </w:hyperlink>
          </w:p>
        </w:tc>
        <w:tc>
          <w:tcPr>
            <w:tcW w:w="8240" w:type="dxa"/>
            <w:vAlign w:val="bottom"/>
            <w:tcBorders>
              <w:top w:val="single" w:sz="8" w:color="0000FF"/>
            </w:tcBorders>
            <w:gridSpan w:val="12"/>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00" w:type="dxa"/>
            <w:vAlign w:val="bottom"/>
            <w:gridSpan w:val="21"/>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Amendment No. 1 to Common Stock Purchase Warrants, by and among Blaize Holdings, Inc., Polar Long/Short Master Fund, and</w:t>
              </w:r>
            </w:hyperlink>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Polar Multi-Strategy Master Fund, dated May 5, 2026 (incorporated by reference to Exhibit 10.2 to the Company’s Current Report</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20" w:type="dxa"/>
            <w:vAlign w:val="bottom"/>
          </w:tcPr>
          <w:p>
            <w:pPr>
              <w:spacing w:after="0"/>
              <w:rPr>
                <w:sz w:val="14"/>
                <w:szCs w:val="14"/>
                <w:color w:val="auto"/>
              </w:rPr>
            </w:pPr>
          </w:p>
        </w:tc>
        <w:tc>
          <w:tcPr>
            <w:tcW w:w="25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on Form 8-K filed on May 6, 2026)</w:t>
              </w:r>
            </w:hyperlink>
          </w:p>
        </w:tc>
        <w:tc>
          <w:tcPr>
            <w:tcW w:w="6840" w:type="dxa"/>
            <w:vAlign w:val="bottom"/>
            <w:tcBorders>
              <w:top w:val="single" w:sz="8" w:color="0000FF"/>
            </w:tcBorders>
            <w:gridSpan w:val="13"/>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9500" w:type="dxa"/>
            <w:vAlign w:val="bottom"/>
            <w:gridSpan w:val="21"/>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Offer Letter, by and between Blaize Holdings, Inc. and Kim Peterson Evans, dated May 9, 2025</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560" w:type="dxa"/>
            <w:vAlign w:val="bottom"/>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70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Offer Letter, by and between Blaize Holdings, Inc. and Stephen P. Patak, dated December 9, 2025</w:t>
              </w:r>
            </w:hyperlink>
          </w:p>
        </w:tc>
        <w:tc>
          <w:tcPr>
            <w:tcW w:w="246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5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Chief Executive Officer Certifications pursuant to Section 302 of the Sarbanes Oxley Act of 2002</w:t>
            </w:r>
          </w:p>
        </w:tc>
        <w:tc>
          <w:tcPr>
            <w:tcW w:w="0" w:type="dxa"/>
            <w:vAlign w:val="bottom"/>
          </w:tcPr>
          <w:p>
            <w:pPr>
              <w:spacing w:after="0"/>
              <w:rPr>
                <w:sz w:val="1"/>
                <w:szCs w:val="1"/>
                <w:color w:val="auto"/>
              </w:rPr>
            </w:pPr>
          </w:p>
        </w:tc>
      </w:tr>
      <w:tr>
        <w:trPr>
          <w:trHeight w:val="209"/>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70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Chief Financial Officer Certifications pursuant to Section 302 of the Sarbanes Oxley Act of 2002</w:t>
            </w:r>
          </w:p>
        </w:tc>
        <w:tc>
          <w:tcPr>
            <w:tcW w:w="40" w:type="dxa"/>
            <w:vAlign w:val="bottom"/>
            <w:tcBorders>
              <w:top w:val="single" w:sz="8" w:color="0000FF"/>
            </w:tcBorders>
          </w:tcPr>
          <w:p>
            <w:pPr>
              <w:spacing w:after="0"/>
              <w:rPr>
                <w:sz w:val="18"/>
                <w:szCs w:val="18"/>
                <w:color w:val="auto"/>
              </w:rPr>
            </w:pPr>
          </w:p>
        </w:tc>
        <w:tc>
          <w:tcPr>
            <w:tcW w:w="246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5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Chief Executive Officer Certification pursuant to 18 U.S.C. Section 1350, as adopted pursuant to Section 906 of the Sarbanes</w:t>
            </w: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420" w:type="dxa"/>
            <w:vAlign w:val="bottom"/>
            <w:gridSpan w:val="9"/>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120" w:type="dxa"/>
            <w:vAlign w:val="bottom"/>
            <w:gridSpan w:val="1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5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Chief Financial Officer Certification pursuant to 18 U.S.C. Section 1350, as adopted pursuant to Section 906 of the Sarbanes Oxley</w:t>
            </w: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7"/>
              </w:rPr>
              <w:t>Act of 2002</w:t>
            </w:r>
          </w:p>
        </w:tc>
        <w:tc>
          <w:tcPr>
            <w:tcW w:w="8600" w:type="dxa"/>
            <w:vAlign w:val="bottom"/>
            <w:tcBorders>
              <w:top w:val="single" w:sz="8" w:color="0000FF"/>
            </w:tcBorders>
            <w:gridSpan w:val="19"/>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5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0" w:type="dxa"/>
            <w:vAlign w:val="bottom"/>
          </w:tcPr>
          <w:p>
            <w:pPr>
              <w:spacing w:after="0"/>
              <w:rPr>
                <w:sz w:val="1"/>
                <w:szCs w:val="1"/>
                <w:color w:val="auto"/>
              </w:rPr>
            </w:pPr>
          </w:p>
        </w:tc>
      </w:tr>
      <w:tr>
        <w:trPr>
          <w:trHeight w:val="230"/>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0" w:type="dxa"/>
            <w:vAlign w:val="bottom"/>
          </w:tcPr>
          <w:p>
            <w:pPr>
              <w:spacing w:after="0"/>
              <w:rPr>
                <w:sz w:val="1"/>
                <w:szCs w:val="1"/>
                <w:color w:val="auto"/>
              </w:rPr>
            </w:pPr>
          </w:p>
        </w:tc>
      </w:tr>
      <w:tr>
        <w:trPr>
          <w:trHeight w:val="230"/>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Labels Linkbase Document</w:t>
            </w:r>
          </w:p>
        </w:tc>
        <w:tc>
          <w:tcPr>
            <w:tcW w:w="0" w:type="dxa"/>
            <w:vAlign w:val="bottom"/>
          </w:tcPr>
          <w:p>
            <w:pPr>
              <w:spacing w:after="0"/>
              <w:rPr>
                <w:sz w:val="1"/>
                <w:szCs w:val="1"/>
                <w:color w:val="auto"/>
              </w:rPr>
            </w:pPr>
          </w:p>
        </w:tc>
      </w:tr>
      <w:tr>
        <w:trPr>
          <w:trHeight w:val="230"/>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0" w:type="dxa"/>
            <w:vAlign w:val="bottom"/>
          </w:tcPr>
          <w:p>
            <w:pPr>
              <w:spacing w:after="0"/>
              <w:rPr>
                <w:sz w:val="1"/>
                <w:szCs w:val="1"/>
                <w:color w:val="auto"/>
              </w:rPr>
            </w:pPr>
          </w:p>
        </w:tc>
      </w:tr>
      <w:tr>
        <w:trPr>
          <w:trHeight w:val="229"/>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Schema Document</w:t>
            </w:r>
          </w:p>
        </w:tc>
        <w:tc>
          <w:tcPr>
            <w:tcW w:w="0" w:type="dxa"/>
            <w:vAlign w:val="bottom"/>
          </w:tcPr>
          <w:p>
            <w:pPr>
              <w:spacing w:after="0"/>
              <w:rPr>
                <w:sz w:val="1"/>
                <w:szCs w:val="1"/>
                <w:color w:val="auto"/>
              </w:rPr>
            </w:pPr>
          </w:p>
        </w:tc>
      </w:tr>
      <w:tr>
        <w:trPr>
          <w:trHeight w:val="180"/>
        </w:trPr>
        <w:tc>
          <w:tcPr>
            <w:tcW w:w="7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00" w:type="dxa"/>
            <w:vAlign w:val="bottom"/>
            <w:gridSpan w:val="21"/>
          </w:tcPr>
          <w:p>
            <w:pPr>
              <w:spacing w:after="0" w:line="181" w:lineRule="exact"/>
              <w:rPr>
                <w:sz w:val="20"/>
                <w:szCs w:val="20"/>
                <w:color w:val="auto"/>
              </w:rPr>
            </w:pPr>
            <w:r>
              <w:rPr>
                <w:rFonts w:ascii="Times New Roman" w:cs="Times New Roman" w:eastAsia="Times New Roman" w:hAnsi="Times New Roman"/>
                <w:sz w:val="18"/>
                <w:szCs w:val="18"/>
                <w:color w:val="auto"/>
              </w:rPr>
              <w:t>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8"/>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Cover Page Interactive Date File (formatted in Inline XBRL and contained in Exhibit 101)</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280" w:hanging="272"/>
        <w:spacing w:after="0"/>
        <w:tabs>
          <w:tab w:leader="none" w:pos="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Initial Form 10-Q</w:t>
      </w:r>
    </w:p>
    <w:p>
      <w:pPr>
        <w:spacing w:after="0" w:line="9" w:lineRule="exact"/>
        <w:rPr>
          <w:sz w:val="20"/>
          <w:szCs w:val="20"/>
          <w:color w:val="auto"/>
        </w:rPr>
      </w:pPr>
    </w:p>
    <w:p>
      <w:pPr>
        <w:jc w:val="both"/>
        <w:ind w:left="660" w:right="20" w:hanging="652"/>
        <w:spacing w:after="0" w:line="250" w:lineRule="auto"/>
        <w:tabs>
          <w:tab w:leader="none" w:pos="65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is being furnished and shall not be deemed to be “filed” for purposes of Section 18 of the Securities Exchange Act of 1934, as amended, or otherwise subject to the liabilities of that section, nor shall it be deemed incorporated by reference into any filing under the Securities Act of 1933, as amended, or the Securities Exchange Act of 1934, as amended.</w:t>
      </w:r>
    </w:p>
    <w:p>
      <w:pPr>
        <w:spacing w:after="0" w:line="1" w:lineRule="exact"/>
        <w:rPr>
          <w:sz w:val="20"/>
          <w:szCs w:val="20"/>
          <w:color w:val="auto"/>
        </w:rPr>
      </w:pPr>
    </w:p>
    <w:p>
      <w:pPr>
        <w:ind w:right="3460" w:firstLine="8"/>
        <w:spacing w:after="0" w:line="230" w:lineRule="exact"/>
        <w:tabs>
          <w:tab w:leader="none" w:pos="6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document has been identified as a management contract or compensatory plan or arrangement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Portions of this exhibit are redacted pursuant to Item 601(b)(10)(iv) of Regulation S-K</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6020" w:type="dxa"/>
            <w:vAlign w:val="bottom"/>
            <w:gridSpan w:val="3"/>
          </w:tcPr>
          <w:p>
            <w:pPr>
              <w:ind w:left="2740"/>
              <w:spacing w:after="0"/>
              <w:rPr>
                <w:sz w:val="20"/>
                <w:szCs w:val="20"/>
                <w:color w:val="auto"/>
              </w:rPr>
            </w:pPr>
            <w:r>
              <w:rPr>
                <w:rFonts w:ascii="Times New Roman" w:cs="Times New Roman" w:eastAsia="Times New Roman" w:hAnsi="Times New Roman"/>
                <w:sz w:val="18"/>
                <w:szCs w:val="18"/>
                <w:b w:val="1"/>
                <w:bCs w:val="1"/>
                <w:color w:val="auto"/>
              </w:rPr>
              <w:t>Blaize Holdings, Inc.</w:t>
            </w:r>
          </w:p>
        </w:tc>
      </w:tr>
      <w:tr>
        <w:trPr>
          <w:trHeight w:val="48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July 2, 2026</w:t>
            </w:r>
          </w:p>
        </w:tc>
        <w:tc>
          <w:tcPr>
            <w:tcW w:w="6020" w:type="dxa"/>
            <w:vAlign w:val="bottom"/>
            <w:gridSpan w:val="3"/>
          </w:tcPr>
          <w:p>
            <w:pPr>
              <w:ind w:left="2740"/>
              <w:spacing w:after="0"/>
              <w:rPr>
                <w:sz w:val="20"/>
                <w:szCs w:val="20"/>
                <w:color w:val="auto"/>
              </w:rPr>
            </w:pPr>
            <w:r>
              <w:rPr>
                <w:rFonts w:ascii="Times New Roman" w:cs="Times New Roman" w:eastAsia="Times New Roman" w:hAnsi="Times New Roman"/>
                <w:sz w:val="18"/>
                <w:szCs w:val="18"/>
                <w:color w:val="auto"/>
              </w:rPr>
              <w:t>By: /s/ Dinakar Munagala</w:t>
            </w:r>
          </w:p>
        </w:tc>
      </w:tr>
      <w:tr>
        <w:trPr>
          <w:trHeight w:val="20"/>
        </w:trPr>
        <w:tc>
          <w:tcPr>
            <w:tcW w:w="4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80" w:type="dxa"/>
            <w:vAlign w:val="bottom"/>
            <w:tcBorders>
              <w:left w:val="single" w:sz="8" w:color="auto"/>
            </w:tcBorders>
          </w:tcPr>
          <w:p>
            <w:pPr>
              <w:spacing w:after="0" w:line="20" w:lineRule="exact"/>
              <w:rPr>
                <w:sz w:val="1"/>
                <w:szCs w:val="1"/>
                <w:color w:val="auto"/>
              </w:rPr>
            </w:pPr>
          </w:p>
        </w:tc>
      </w:tr>
      <w:tr>
        <w:trPr>
          <w:trHeight w:val="243"/>
        </w:trPr>
        <w:tc>
          <w:tcPr>
            <w:tcW w:w="4080" w:type="dxa"/>
            <w:vAlign w:val="bottom"/>
          </w:tcPr>
          <w:p>
            <w:pPr>
              <w:spacing w:after="0"/>
              <w:rPr>
                <w:sz w:val="21"/>
                <w:szCs w:val="21"/>
                <w:color w:val="auto"/>
              </w:rPr>
            </w:pPr>
          </w:p>
        </w:tc>
        <w:tc>
          <w:tcPr>
            <w:tcW w:w="6020" w:type="dxa"/>
            <w:vAlign w:val="bottom"/>
            <w:gridSpan w:val="3"/>
          </w:tcPr>
          <w:p>
            <w:pPr>
              <w:ind w:left="2740"/>
              <w:spacing w:after="0"/>
              <w:rPr>
                <w:sz w:val="20"/>
                <w:szCs w:val="20"/>
                <w:color w:val="auto"/>
              </w:rPr>
            </w:pPr>
            <w:r>
              <w:rPr>
                <w:rFonts w:ascii="Times New Roman" w:cs="Times New Roman" w:eastAsia="Times New Roman" w:hAnsi="Times New Roman"/>
                <w:sz w:val="18"/>
                <w:szCs w:val="18"/>
                <w:color w:val="auto"/>
              </w:rPr>
              <w:t>Dinakar Munagala</w:t>
            </w:r>
          </w:p>
        </w:tc>
      </w:tr>
      <w:tr>
        <w:trPr>
          <w:trHeight w:val="236"/>
        </w:trPr>
        <w:tc>
          <w:tcPr>
            <w:tcW w:w="4080" w:type="dxa"/>
            <w:vAlign w:val="bottom"/>
          </w:tcPr>
          <w:p>
            <w:pPr>
              <w:spacing w:after="0"/>
              <w:rPr>
                <w:sz w:val="20"/>
                <w:szCs w:val="20"/>
                <w:color w:val="auto"/>
              </w:rPr>
            </w:pPr>
          </w:p>
        </w:tc>
        <w:tc>
          <w:tcPr>
            <w:tcW w:w="6020" w:type="dxa"/>
            <w:vAlign w:val="bottom"/>
            <w:gridSpan w:val="3"/>
          </w:tcPr>
          <w:p>
            <w:pPr>
              <w:ind w:left="274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43"/>
        </w:trPr>
        <w:tc>
          <w:tcPr>
            <w:tcW w:w="4080" w:type="dxa"/>
            <w:vAlign w:val="bottom"/>
          </w:tcPr>
          <w:p>
            <w:pPr>
              <w:spacing w:after="0"/>
              <w:rPr>
                <w:sz w:val="21"/>
                <w:szCs w:val="21"/>
                <w:color w:val="auto"/>
              </w:rPr>
            </w:pPr>
          </w:p>
        </w:tc>
        <w:tc>
          <w:tcPr>
            <w:tcW w:w="6020" w:type="dxa"/>
            <w:vAlign w:val="bottom"/>
            <w:gridSpan w:val="3"/>
          </w:tcPr>
          <w:p>
            <w:pPr>
              <w:ind w:left="2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8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July 2, 2026</w:t>
            </w:r>
          </w:p>
        </w:tc>
        <w:tc>
          <w:tcPr>
            <w:tcW w:w="6020" w:type="dxa"/>
            <w:vAlign w:val="bottom"/>
            <w:gridSpan w:val="3"/>
          </w:tcPr>
          <w:p>
            <w:pPr>
              <w:ind w:left="2740"/>
              <w:spacing w:after="0"/>
              <w:rPr>
                <w:sz w:val="20"/>
                <w:szCs w:val="20"/>
                <w:color w:val="auto"/>
              </w:rPr>
            </w:pPr>
            <w:r>
              <w:rPr>
                <w:rFonts w:ascii="Times New Roman" w:cs="Times New Roman" w:eastAsia="Times New Roman" w:hAnsi="Times New Roman"/>
                <w:sz w:val="18"/>
                <w:szCs w:val="18"/>
                <w:color w:val="auto"/>
              </w:rPr>
              <w:t>By: /s/ Harminder Sehmi</w:t>
            </w:r>
          </w:p>
        </w:tc>
      </w:tr>
      <w:tr>
        <w:trPr>
          <w:trHeight w:val="20"/>
        </w:trPr>
        <w:tc>
          <w:tcPr>
            <w:tcW w:w="4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43"/>
        </w:trPr>
        <w:tc>
          <w:tcPr>
            <w:tcW w:w="4080" w:type="dxa"/>
            <w:vAlign w:val="bottom"/>
          </w:tcPr>
          <w:p>
            <w:pPr>
              <w:spacing w:after="0"/>
              <w:rPr>
                <w:sz w:val="21"/>
                <w:szCs w:val="21"/>
                <w:color w:val="auto"/>
              </w:rPr>
            </w:pPr>
          </w:p>
        </w:tc>
        <w:tc>
          <w:tcPr>
            <w:tcW w:w="6020" w:type="dxa"/>
            <w:vAlign w:val="bottom"/>
            <w:gridSpan w:val="3"/>
          </w:tcPr>
          <w:p>
            <w:pPr>
              <w:ind w:left="2740"/>
              <w:spacing w:after="0"/>
              <w:rPr>
                <w:sz w:val="20"/>
                <w:szCs w:val="20"/>
                <w:color w:val="auto"/>
              </w:rPr>
            </w:pPr>
            <w:r>
              <w:rPr>
                <w:rFonts w:ascii="Times New Roman" w:cs="Times New Roman" w:eastAsia="Times New Roman" w:hAnsi="Times New Roman"/>
                <w:sz w:val="18"/>
                <w:szCs w:val="18"/>
                <w:color w:val="auto"/>
              </w:rPr>
              <w:t>Harminder Sehmi</w:t>
            </w:r>
          </w:p>
        </w:tc>
      </w:tr>
      <w:tr>
        <w:trPr>
          <w:trHeight w:val="236"/>
        </w:trPr>
        <w:tc>
          <w:tcPr>
            <w:tcW w:w="4080" w:type="dxa"/>
            <w:vAlign w:val="bottom"/>
          </w:tcPr>
          <w:p>
            <w:pPr>
              <w:spacing w:after="0"/>
              <w:rPr>
                <w:sz w:val="20"/>
                <w:szCs w:val="20"/>
                <w:color w:val="auto"/>
              </w:rPr>
            </w:pPr>
          </w:p>
        </w:tc>
        <w:tc>
          <w:tcPr>
            <w:tcW w:w="6020" w:type="dxa"/>
            <w:vAlign w:val="bottom"/>
            <w:gridSpan w:val="3"/>
          </w:tcPr>
          <w:p>
            <w:pPr>
              <w:ind w:left="274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43"/>
        </w:trPr>
        <w:tc>
          <w:tcPr>
            <w:tcW w:w="4080" w:type="dxa"/>
            <w:vAlign w:val="bottom"/>
          </w:tcPr>
          <w:p>
            <w:pPr>
              <w:spacing w:after="0"/>
              <w:rPr>
                <w:sz w:val="21"/>
                <w:szCs w:val="21"/>
                <w:color w:val="auto"/>
              </w:rPr>
            </w:pPr>
          </w:p>
        </w:tc>
        <w:tc>
          <w:tcPr>
            <w:tcW w:w="6020" w:type="dxa"/>
            <w:vAlign w:val="bottom"/>
            <w:gridSpan w:val="3"/>
          </w:tcPr>
          <w:p>
            <w:pPr>
              <w:ind w:left="274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340"/>
          </w:cols>
          <w:pgMar w:left="320" w:top="121" w:right="1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Dinakar Munagala, certify that:</w:t>
      </w:r>
    </w:p>
    <w:p>
      <w:pPr>
        <w:spacing w:after="0" w:line="248" w:lineRule="exact"/>
        <w:rPr>
          <w:sz w:val="20"/>
          <w:szCs w:val="20"/>
          <w:color w:val="auto"/>
        </w:rPr>
      </w:pPr>
    </w:p>
    <w:p>
      <w:pPr>
        <w:ind w:left="180" w:hanging="172"/>
        <w:spacing w:after="0"/>
        <w:tabs>
          <w:tab w:leader="none" w:pos="1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of Blaize Holdings, Inc. on Form 10-Q/A for the period ended March 31, 2026 (the “Quarterly Report”);</w:t>
      </w:r>
    </w:p>
    <w:p>
      <w:pPr>
        <w:spacing w:after="0" w:line="261" w:lineRule="exact"/>
        <w:rPr>
          <w:rFonts w:ascii="Times New Roman" w:cs="Times New Roman" w:eastAsia="Times New Roman" w:hAnsi="Times New Roman"/>
          <w:sz w:val="16"/>
          <w:szCs w:val="16"/>
          <w:color w:val="auto"/>
        </w:rPr>
      </w:pPr>
    </w:p>
    <w:p>
      <w:pPr>
        <w:ind w:right="320" w:firstLine="8"/>
        <w:spacing w:after="0" w:line="280" w:lineRule="auto"/>
        <w:tabs>
          <w:tab w:leader="none" w:pos="162"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5" w:lineRule="exact"/>
        <w:rPr>
          <w:rFonts w:ascii="Times New Roman" w:cs="Times New Roman" w:eastAsia="Times New Roman" w:hAnsi="Times New Roman"/>
          <w:sz w:val="16"/>
          <w:szCs w:val="16"/>
          <w:color w:val="auto"/>
        </w:rPr>
      </w:pPr>
    </w:p>
    <w:p>
      <w:pPr>
        <w:ind w:right="320" w:firstLine="8"/>
        <w:spacing w:after="0" w:line="280" w:lineRule="auto"/>
        <w:tabs>
          <w:tab w:leader="none" w:pos="162"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ind w:right="120" w:firstLine="8"/>
        <w:spacing w:after="0" w:line="298" w:lineRule="auto"/>
        <w:tabs>
          <w:tab w:leader="none" w:pos="162"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177" w:lineRule="exact"/>
        <w:rPr>
          <w:rFonts w:ascii="Times New Roman" w:cs="Times New Roman" w:eastAsia="Times New Roman" w:hAnsi="Times New Roman"/>
          <w:sz w:val="16"/>
          <w:szCs w:val="16"/>
          <w:color w:val="auto"/>
        </w:rPr>
      </w:pPr>
    </w:p>
    <w:p>
      <w:pPr>
        <w:ind w:left="660" w:right="180" w:hanging="4"/>
        <w:spacing w:after="0" w:line="272" w:lineRule="auto"/>
        <w:tabs>
          <w:tab w:leader="none" w:pos="813"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Times New Roman" w:cs="Times New Roman" w:eastAsia="Times New Roman" w:hAnsi="Times New Roman"/>
          <w:sz w:val="16"/>
          <w:szCs w:val="16"/>
          <w:color w:val="auto"/>
        </w:rPr>
      </w:pPr>
    </w:p>
    <w:p>
      <w:pPr>
        <w:ind w:left="660" w:right="60" w:hanging="4"/>
        <w:spacing w:after="0" w:line="272" w:lineRule="auto"/>
        <w:tabs>
          <w:tab w:leader="none" w:pos="822"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Times New Roman" w:cs="Times New Roman" w:eastAsia="Times New Roman" w:hAnsi="Times New Roman"/>
          <w:sz w:val="16"/>
          <w:szCs w:val="16"/>
          <w:color w:val="auto"/>
        </w:rPr>
      </w:pPr>
    </w:p>
    <w:p>
      <w:pPr>
        <w:ind w:left="660" w:right="400" w:hanging="4"/>
        <w:spacing w:after="0" w:line="298" w:lineRule="auto"/>
        <w:tabs>
          <w:tab w:leader="none" w:pos="813"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660" w:right="40" w:hanging="4"/>
        <w:spacing w:after="0" w:line="260" w:lineRule="auto"/>
        <w:tabs>
          <w:tab w:leader="none" w:pos="822"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right="220" w:firstLine="8"/>
        <w:spacing w:after="0" w:line="275" w:lineRule="auto"/>
        <w:tabs>
          <w:tab w:leader="none" w:pos="162"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Times New Roman" w:cs="Times New Roman" w:eastAsia="Times New Roman" w:hAnsi="Times New Roman"/>
          <w:sz w:val="16"/>
          <w:szCs w:val="16"/>
          <w:color w:val="auto"/>
        </w:rPr>
      </w:pPr>
    </w:p>
    <w:p>
      <w:pPr>
        <w:ind w:left="660" w:right="580" w:hanging="4"/>
        <w:spacing w:after="0" w:line="298" w:lineRule="auto"/>
        <w:tabs>
          <w:tab w:leader="none" w:pos="813"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6"/>
          <w:szCs w:val="16"/>
          <w:color w:val="auto"/>
        </w:rPr>
      </w:pPr>
    </w:p>
    <w:p>
      <w:pPr>
        <w:ind w:left="660" w:right="160" w:hanging="4"/>
        <w:spacing w:after="0" w:line="280" w:lineRule="auto"/>
        <w:tabs>
          <w:tab w:leader="none" w:pos="822"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2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July 2, 2026</w:t>
            </w:r>
          </w:p>
        </w:tc>
        <w:tc>
          <w:tcPr>
            <w:tcW w:w="25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Dinakar Munagala</w:t>
            </w:r>
          </w:p>
        </w:tc>
      </w:tr>
      <w:tr>
        <w:trPr>
          <w:trHeight w:val="207"/>
        </w:trPr>
        <w:tc>
          <w:tcPr>
            <w:tcW w:w="6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Dinakar Munagala</w:t>
            </w:r>
          </w:p>
        </w:tc>
      </w:tr>
      <w:tr>
        <w:trPr>
          <w:trHeight w:val="216"/>
        </w:trPr>
        <w:tc>
          <w:tcPr>
            <w:tcW w:w="6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16"/>
        </w:trPr>
        <w:tc>
          <w:tcPr>
            <w:tcW w:w="6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tc>
      </w:tr>
    </w:tbl>
    <w:p>
      <w:pPr>
        <w:sectPr>
          <w:pgSz w:w="11900" w:h="16838" w:orient="portrait"/>
          <w:cols w:equalWidth="0" w:num="1">
            <w:col w:w="11240"/>
          </w:cols>
          <w:pgMar w:left="320" w:top="846"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Harminder Sehmi, certify that:</w:t>
      </w:r>
    </w:p>
    <w:p>
      <w:pPr>
        <w:spacing w:after="0" w:line="248" w:lineRule="exact"/>
        <w:rPr>
          <w:sz w:val="20"/>
          <w:szCs w:val="20"/>
          <w:color w:val="auto"/>
        </w:rPr>
      </w:pPr>
    </w:p>
    <w:p>
      <w:pPr>
        <w:ind w:left="180" w:hanging="172"/>
        <w:spacing w:after="0"/>
        <w:tabs>
          <w:tab w:leader="none" w:pos="1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of Blaize Holdings, Inc. on Form 10-Q/A for the period ended March 31, 2026 (the “Quarterly Report”);</w:t>
      </w:r>
    </w:p>
    <w:p>
      <w:pPr>
        <w:spacing w:after="0" w:line="261" w:lineRule="exact"/>
        <w:rPr>
          <w:rFonts w:ascii="Times New Roman" w:cs="Times New Roman" w:eastAsia="Times New Roman" w:hAnsi="Times New Roman"/>
          <w:sz w:val="16"/>
          <w:szCs w:val="16"/>
          <w:color w:val="auto"/>
        </w:rPr>
      </w:pPr>
    </w:p>
    <w:p>
      <w:pPr>
        <w:ind w:right="320" w:firstLine="8"/>
        <w:spacing w:after="0" w:line="280" w:lineRule="auto"/>
        <w:tabs>
          <w:tab w:leader="none" w:pos="16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5" w:lineRule="exact"/>
        <w:rPr>
          <w:rFonts w:ascii="Times New Roman" w:cs="Times New Roman" w:eastAsia="Times New Roman" w:hAnsi="Times New Roman"/>
          <w:sz w:val="16"/>
          <w:szCs w:val="16"/>
          <w:color w:val="auto"/>
        </w:rPr>
      </w:pPr>
    </w:p>
    <w:p>
      <w:pPr>
        <w:ind w:right="320" w:firstLine="8"/>
        <w:spacing w:after="0" w:line="280" w:lineRule="auto"/>
        <w:tabs>
          <w:tab w:leader="none" w:pos="16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ind w:right="120" w:firstLine="8"/>
        <w:spacing w:after="0" w:line="298" w:lineRule="auto"/>
        <w:tabs>
          <w:tab w:leader="none" w:pos="16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177" w:lineRule="exact"/>
        <w:rPr>
          <w:rFonts w:ascii="Times New Roman" w:cs="Times New Roman" w:eastAsia="Times New Roman" w:hAnsi="Times New Roman"/>
          <w:sz w:val="16"/>
          <w:szCs w:val="16"/>
          <w:color w:val="auto"/>
        </w:rPr>
      </w:pPr>
    </w:p>
    <w:p>
      <w:pPr>
        <w:ind w:left="660" w:right="180" w:hanging="4"/>
        <w:spacing w:after="0" w:line="272" w:lineRule="auto"/>
        <w:tabs>
          <w:tab w:leader="none" w:pos="813"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Times New Roman" w:cs="Times New Roman" w:eastAsia="Times New Roman" w:hAnsi="Times New Roman"/>
          <w:sz w:val="16"/>
          <w:szCs w:val="16"/>
          <w:color w:val="auto"/>
        </w:rPr>
      </w:pPr>
    </w:p>
    <w:p>
      <w:pPr>
        <w:ind w:left="660" w:right="60" w:hanging="4"/>
        <w:spacing w:after="0" w:line="272" w:lineRule="auto"/>
        <w:tabs>
          <w:tab w:leader="none" w:pos="822"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Times New Roman" w:cs="Times New Roman" w:eastAsia="Times New Roman" w:hAnsi="Times New Roman"/>
          <w:sz w:val="16"/>
          <w:szCs w:val="16"/>
          <w:color w:val="auto"/>
        </w:rPr>
      </w:pPr>
    </w:p>
    <w:p>
      <w:pPr>
        <w:ind w:left="660" w:right="400" w:hanging="4"/>
        <w:spacing w:after="0" w:line="298" w:lineRule="auto"/>
        <w:tabs>
          <w:tab w:leader="none" w:pos="813"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660" w:right="40" w:hanging="4"/>
        <w:spacing w:after="0" w:line="260" w:lineRule="auto"/>
        <w:tabs>
          <w:tab w:leader="none" w:pos="822"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right="220" w:firstLine="8"/>
        <w:spacing w:after="0" w:line="275" w:lineRule="auto"/>
        <w:tabs>
          <w:tab w:leader="none" w:pos="16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Times New Roman" w:cs="Times New Roman" w:eastAsia="Times New Roman" w:hAnsi="Times New Roman"/>
          <w:sz w:val="16"/>
          <w:szCs w:val="16"/>
          <w:color w:val="auto"/>
        </w:rPr>
      </w:pPr>
    </w:p>
    <w:p>
      <w:pPr>
        <w:ind w:left="660" w:right="580" w:hanging="4"/>
        <w:spacing w:after="0" w:line="298" w:lineRule="auto"/>
        <w:tabs>
          <w:tab w:leader="none" w:pos="813"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6"/>
          <w:szCs w:val="16"/>
          <w:color w:val="auto"/>
        </w:rPr>
      </w:pPr>
    </w:p>
    <w:p>
      <w:pPr>
        <w:ind w:left="660" w:right="160" w:hanging="4"/>
        <w:spacing w:after="0" w:line="280" w:lineRule="auto"/>
        <w:tabs>
          <w:tab w:leader="none" w:pos="822"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2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July 2, 2026</w:t>
            </w:r>
          </w:p>
        </w:tc>
        <w:tc>
          <w:tcPr>
            <w:tcW w:w="25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Harminder Sehmi</w:t>
            </w:r>
          </w:p>
        </w:tc>
      </w:tr>
      <w:tr>
        <w:trPr>
          <w:trHeight w:val="207"/>
        </w:trPr>
        <w:tc>
          <w:tcPr>
            <w:tcW w:w="6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Harminder Sehmi</w:t>
            </w:r>
          </w:p>
        </w:tc>
      </w:tr>
      <w:tr>
        <w:trPr>
          <w:trHeight w:val="216"/>
        </w:trPr>
        <w:tc>
          <w:tcPr>
            <w:tcW w:w="6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6"/>
        </w:trPr>
        <w:tc>
          <w:tcPr>
            <w:tcW w:w="6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Financial Officer)</w:t>
            </w:r>
          </w:p>
        </w:tc>
      </w:tr>
    </w:tbl>
    <w:p>
      <w:pPr>
        <w:sectPr>
          <w:pgSz w:w="11900" w:h="16838" w:orient="portrait"/>
          <w:cols w:equalWidth="0" w:num="1">
            <w:col w:w="11240"/>
          </w:cols>
          <w:pgMar w:left="320" w:top="846"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Dinakar Munagala, certify pursuant to 18 U.S.C. Section 1350, as adopted pursuant to Section 906 of the Sarbanes-Oxley Act of 2002, that:</w:t>
      </w:r>
    </w:p>
    <w:p>
      <w:pPr>
        <w:spacing w:after="0" w:line="252" w:lineRule="exact"/>
        <w:rPr>
          <w:sz w:val="20"/>
          <w:szCs w:val="20"/>
          <w:color w:val="auto"/>
        </w:rPr>
      </w:pPr>
    </w:p>
    <w:p>
      <w:pPr>
        <w:ind w:right="260" w:firstLine="8"/>
        <w:spacing w:after="0" w:line="282"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Blaize Holdings, Inc. on Form 10-Q/A for the period ended March 31, 2026 (the “Quarterly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right="420" w:firstLine="8"/>
        <w:spacing w:after="0" w:line="282"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Blaize Holdings, Inc.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July 2, 2026</w:t>
            </w:r>
          </w:p>
        </w:tc>
        <w:tc>
          <w:tcPr>
            <w:tcW w:w="25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Dinakar Munagala</w:t>
            </w:r>
          </w:p>
        </w:tc>
      </w:tr>
      <w:tr>
        <w:trPr>
          <w:trHeight w:val="218"/>
        </w:trPr>
        <w:tc>
          <w:tcPr>
            <w:tcW w:w="6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Dinakar Munagala</w:t>
            </w:r>
          </w:p>
        </w:tc>
      </w:tr>
      <w:tr>
        <w:trPr>
          <w:trHeight w:val="230"/>
        </w:trPr>
        <w:tc>
          <w:tcPr>
            <w:tcW w:w="6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60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Harminder Sehmi, certify pursuant to 18 U.S.C. Section 1350, as adopted pursuant to Section 906 of the Sarbanes-Oxley Act of 2002, that:</w:t>
      </w:r>
    </w:p>
    <w:p>
      <w:pPr>
        <w:spacing w:after="0" w:line="252" w:lineRule="exact"/>
        <w:rPr>
          <w:sz w:val="20"/>
          <w:szCs w:val="20"/>
          <w:color w:val="auto"/>
        </w:rPr>
      </w:pPr>
    </w:p>
    <w:p>
      <w:pPr>
        <w:ind w:right="260" w:firstLine="8"/>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Blaize Holdings, Inc. on Form 10-Q/A for the period ended March 31, 2026 (the “Quarterly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right="420" w:firstLine="8"/>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Blaize Holdings, Inc.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July 2, 2026</w:t>
            </w:r>
          </w:p>
        </w:tc>
        <w:tc>
          <w:tcPr>
            <w:tcW w:w="25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Harminder Sehmi</w:t>
            </w:r>
          </w:p>
        </w:tc>
      </w:tr>
      <w:tr>
        <w:trPr>
          <w:trHeight w:val="218"/>
        </w:trPr>
        <w:tc>
          <w:tcPr>
            <w:tcW w:w="6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Harminder Sehmi</w:t>
            </w:r>
          </w:p>
        </w:tc>
      </w:tr>
      <w:tr>
        <w:trPr>
          <w:trHeight w:val="230"/>
        </w:trPr>
        <w:tc>
          <w:tcPr>
            <w:tcW w:w="6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6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x"/>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4"/>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2" Type="http://schemas.openxmlformats.org/officeDocument/2006/relationships/image" Target="media/image38.png"/><Relationship Id="rId45" Type="http://schemas.openxmlformats.org/officeDocument/2006/relationships/hyperlink" Target="https://www.sec.gov/Archives/edgar/data/1871638/000119312525008517/d903961dex31.htm" TargetMode="External"/><Relationship Id="rId46" Type="http://schemas.openxmlformats.org/officeDocument/2006/relationships/hyperlink" Target="https://www.sec.gov/Archives/edgar/data/1871638/000187163826000025/exhibit31-certificateofdes.htm" TargetMode="External"/><Relationship Id="rId47" Type="http://schemas.openxmlformats.org/officeDocument/2006/relationships/hyperlink" Target="https://www.sec.gov/Archives/edgar/data/1871638/000187163826000025/exhibit41-rightsplan.htm" TargetMode="External"/><Relationship Id="rId48" Type="http://schemas.openxmlformats.org/officeDocument/2006/relationships/hyperlink" Target="https://www.sec.gov/Archives/edgar/data/1871638/000187163826000029/ex101-formoflockxupagreeme.htm" TargetMode="External"/><Relationship Id="rId49" Type="http://schemas.openxmlformats.org/officeDocument/2006/relationships/hyperlink" Target="https://www.sec.gov/Archives/edgar/data/1871638/000187163826000029/exhibit102-bzaixpolarwarra.htm" TargetMode="External"/><Relationship Id="rId50" Type="http://schemas.openxmlformats.org/officeDocument/2006/relationships/hyperlink" Target="https://www.sec.gov/Archives/edgar/data/1871638/000187163826000031/exhibit103-kimpetersonevan.htm" TargetMode="External"/><Relationship Id="rId51" Type="http://schemas.openxmlformats.org/officeDocument/2006/relationships/hyperlink" Target="https://www.sec.gov/Archives/edgar/data/1871638/000187163826000031/exhibit104-stephenpatakxo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2026-07-02T15:51:30Z</dcterms:created>
  <dcterms:modified xsi:type="dcterms:W3CDTF">2026-07-02T15:51:30Z</dcterms:modified>
</cp:coreProperties>
</file>