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12971d8k.htm"/>
      <w:bookmarkStart w:id="1" w:name="ksd81297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July 16,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Blaize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15" w:type="dxa"/>
        <w:jc w:val="left"/>
        <w:tblInd w:w="0" w:type="dxa"/>
        <w:tblLayout w:type="fixed"/>
        <w:tblCellMar>
          <w:top w:w="0" w:type="dxa"/>
          <w:left w:w="0" w:type="dxa"/>
          <w:bottom w:w="0" w:type="dxa"/>
          <w:right w:w="0" w:type="dxa"/>
        </w:tblCellMar>
      </w:tblPr>
      <w:tblGrid>
        <w:gridCol w:w="2285"/>
        <w:gridCol w:w="60"/>
        <w:gridCol w:w="1340"/>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rPr>
            </w:pPr>
            <w:r>
              <w:rPr>
                <w:b/>
              </w:rPr>
              <w:t>001-41139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86-2708752</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43" w:type="dxa"/>
        <w:jc w:val="left"/>
        <w:tblInd w:w="0" w:type="dxa"/>
        <w:tblLayout w:type="fixed"/>
        <w:tblCellMar>
          <w:top w:w="0" w:type="dxa"/>
          <w:left w:w="0" w:type="dxa"/>
          <w:bottom w:w="0" w:type="dxa"/>
          <w:right w:w="0" w:type="dxa"/>
        </w:tblCellMar>
      </w:tblPr>
      <w:tblGrid>
        <w:gridCol w:w="1826"/>
        <w:gridCol w:w="1103"/>
        <w:gridCol w:w="1109"/>
        <w:gridCol w:w="60"/>
        <w:gridCol w:w="1145"/>
      </w:tblGrid>
      <w:tr>
        <w:trPr/>
        <w:tc>
          <w:tcPr>
            <w:tcW w:w="182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4659 Golden Foothill Parkway, Suite 206</w:t>
            </w:r>
          </w:p>
          <w:p>
            <w:pPr>
              <w:pStyle w:val="TableContents"/>
              <w:bidi w:val="0"/>
              <w:spacing w:before="0" w:after="20"/>
              <w:jc w:val="center"/>
              <w:rPr>
                <w:rFonts w:ascii="Times New Roman" w:hAnsi="Times New Roman"/>
                <w:b/>
                <w:sz w:val="20"/>
              </w:rPr>
            </w:pPr>
            <w:r>
              <w:rPr>
                <w:rFonts w:ascii="Times New Roman" w:hAnsi="Times New Roman"/>
                <w:b/>
                <w:sz w:val="20"/>
              </w:rPr>
              <w:t>El Dorado Hills,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95762</w:t>
            </w:r>
          </w:p>
        </w:tc>
      </w:tr>
      <w:tr>
        <w:trPr/>
        <w:tc>
          <w:tcPr>
            <w:tcW w:w="4038" w:type="dxa"/>
            <w:gridSpan w:val="3"/>
            <w:tcBorders/>
            <w:vAlign w:val="center"/>
          </w:tcPr>
          <w:p>
            <w:pPr>
              <w:pStyle w:val="TableContents"/>
              <w:bidi w:val="0"/>
              <w:spacing w:before="0" w:after="283"/>
              <w:jc w:val="center"/>
              <w:rPr>
                <w:b/>
              </w:rPr>
            </w:pPr>
            <w:r>
              <w:rPr>
                <w:b/>
              </w:rPr>
              <w:t>(Address of principal executive officers)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(916) 347-0050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67"/>
        <w:gridCol w:w="60"/>
        <w:gridCol w:w="815"/>
        <w:gridCol w:w="60"/>
        <w:gridCol w:w="1903"/>
      </w:tblGrid>
      <w:tr>
        <w:trPr/>
        <w:tc>
          <w:tcPr>
            <w:tcW w:w="73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736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90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7367"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BZAI</w:t>
            </w:r>
          </w:p>
        </w:tc>
        <w:tc>
          <w:tcPr>
            <w:tcW w:w="60"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center"/>
              <w:rPr/>
            </w:pPr>
            <w:r>
              <w:rPr/>
              <w:t>The Nasdaq Stock Market</w:t>
            </w:r>
          </w:p>
        </w:tc>
      </w:tr>
      <w:tr>
        <w:trPr/>
        <w:tc>
          <w:tcPr>
            <w:tcW w:w="7367" w:type="dxa"/>
            <w:tcBorders/>
            <w:vAlign w:val="center"/>
          </w:tcPr>
          <w:p>
            <w:pPr>
              <w:pStyle w:val="TableContents"/>
              <w:bidi w:val="0"/>
              <w:spacing w:before="0" w:after="283"/>
              <w:jc w:val="center"/>
              <w:rPr/>
            </w:pPr>
            <w:r>
              <w:rPr/>
              <w:t>Warrants, each whole warrant exercisable for one share of Common stock at an exercise price of $11.50 per share</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BZAIW</w:t>
            </w:r>
          </w:p>
        </w:tc>
        <w:tc>
          <w:tcPr>
            <w:tcW w:w="60" w:type="dxa"/>
            <w:tcBorders/>
            <w:vAlign w:val="center"/>
          </w:tcPr>
          <w:p>
            <w:pPr>
              <w:pStyle w:val="TableContents"/>
              <w:bidi w:val="0"/>
              <w:spacing w:before="0" w:after="283"/>
              <w:jc w:val="left"/>
              <w:rPr/>
            </w:pPr>
            <w:r>
              <w:rPr/>
              <w:t> </w:t>
            </w:r>
          </w:p>
        </w:tc>
        <w:tc>
          <w:tcPr>
            <w:tcW w:w="1903" w:type="dxa"/>
            <w:tcBorders/>
            <w:vAlign w:val="center"/>
          </w:tcPr>
          <w:p>
            <w:pPr>
              <w:pStyle w:val="TableContents"/>
              <w:bidi w:val="0"/>
              <w:spacing w:before="0" w:after="283"/>
              <w:jc w:val="center"/>
              <w:rPr/>
            </w:pPr>
            <w:r>
              <w:rPr/>
              <w:t>The Nasdaq Stock Market</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Strategic Partnership with Starshine </w:t>
      </w:r>
    </w:p>
    <w:p>
      <w:pPr>
        <w:pStyle w:val="TextBody"/>
        <w:bidi w:val="0"/>
        <w:spacing w:before="120" w:after="0"/>
        <w:jc w:val="left"/>
        <w:rPr>
          <w:rFonts w:ascii="Times New Roman" w:hAnsi="Times New Roman"/>
          <w:sz w:val="20"/>
        </w:rPr>
      </w:pPr>
      <w:r>
        <w:rPr>
          <w:rFonts w:ascii="Times New Roman" w:hAnsi="Times New Roman"/>
          <w:sz w:val="20"/>
        </w:rPr>
        <w:t xml:space="preserve">On July 16, 2025, Blaize Holdings, Inc. (“Blaize”) announced it had entered into a Strategic Cooperation Agreement (the “Agreement”) with Starshine Computing Power Technology Limited, a Hong Kong company (“Starshine”). Pursuant to the Agreement, Blaize and Starshine are entering into a strategic partnership to develop business opportunities for the sale of Blaize’s hybrid AI platform and other products and services through Starshine in the Asia Pacific region. Starshine has agreed to deliver a minimum of $120 million in revenue to Blaize over the first 18 months of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that are based on beliefs and assumptions and on information currently available to Blaize, including statements regarding our collaboration with Starshine, the anticipated value and scope of the agreement, the future deployment of Blaize technology, which enables AI processing on existing camera infrastructure, the expectations for the hybrid AI rollout, the projected growth of hybrid AI, future financial performance,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ability to maintain compliance with stock exchange listing standards; (iii) failure to realize the anticipated benefits of the business combination of Blaize and BurTech Acquisition Corp., which may be affected by, among other things, competition, the ability of the combined company to grow and manage growth profitably, maintain relationships with customers and suppliers and retain its management and key employees; (iv) the ability of Blaize to successfully market its products and services; (v) the ability of Blaize to successfully deploy its technologies across customer settings; (vi) changes in applicable law or regulations; (vii) the outcome of any legal proceedings that have been or may be instituted against Blaize; (viii) the effects of competition on Blaize’s future business; (ix) the ability of the combined company to issue equity or equity-linked securities or obtain debt financing; and (x) those factors discussed under the heading “Risk Factors” in our Quarterly Report on Form 10-Q filed with the Securities and Exchange Commission (the “SEC”) on May 14,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SIGNATURES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883" w:type="dxa"/>
        <w:jc w:val="left"/>
        <w:tblInd w:w="0" w:type="dxa"/>
        <w:tblLayout w:type="fixed"/>
        <w:tblCellMar>
          <w:top w:w="0" w:type="dxa"/>
          <w:left w:w="0" w:type="dxa"/>
          <w:bottom w:w="0" w:type="dxa"/>
          <w:right w:w="0" w:type="dxa"/>
        </w:tblCellMar>
      </w:tblPr>
      <w:tblGrid>
        <w:gridCol w:w="2015"/>
        <w:gridCol w:w="60"/>
        <w:gridCol w:w="23"/>
        <w:gridCol w:w="60"/>
        <w:gridCol w:w="365"/>
        <w:gridCol w:w="60"/>
        <w:gridCol w:w="230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Blaize Holdings, Inc.</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Dinakar Munagala</w:t>
            </w:r>
          </w:p>
        </w:tc>
      </w:tr>
      <w:tr>
        <w:trPr/>
        <w:tc>
          <w:tcPr>
            <w:tcW w:w="2015" w:type="dxa"/>
            <w:tcBorders/>
            <w:vAlign w:val="center"/>
          </w:tcPr>
          <w:p>
            <w:pPr>
              <w:pStyle w:val="TableContents"/>
              <w:bidi w:val="0"/>
              <w:spacing w:before="0" w:after="283"/>
              <w:jc w:val="left"/>
              <w:rPr/>
            </w:pPr>
            <w:r>
              <w:rPr/>
              <w:t>Dated: July 17,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Dinakar Munagala</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986</Words>
  <Characters>5641</Characters>
  <CharactersWithSpaces>6616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