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28, 2025</w:t>
      </w:r>
    </w:p>
    <w:p>
      <w:pPr>
        <w:spacing w:after="0" w:line="24"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78105</wp:posOffset>
            </wp:positionV>
            <wp:extent cx="54470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111125</wp:posOffset>
            </wp:positionV>
            <wp:extent cx="54470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84455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32"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91440</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3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34"/>
          <w:szCs w:val="34"/>
          <w:b w:val="1"/>
          <w:bCs w:val="1"/>
          <w:color w:val="auto"/>
        </w:rPr>
        <w:t>Blaize Holdings, Inc.</w:t>
      </w:r>
    </w:p>
    <w:p>
      <w:pPr>
        <w:spacing w:after="0" w:line="3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90805</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tbl>
      <w:tblPr>
        <w:tblLayout w:type="fixed"/>
        <w:tblInd w:w="2080" w:type="dxa"/>
        <w:tblCellMar>
          <w:top w:w="0" w:type="dxa"/>
          <w:left w:w="0" w:type="dxa"/>
          <w:bottom w:w="0" w:type="dxa"/>
          <w:right w:w="0" w:type="dxa"/>
        </w:tblCellMar>
      </w:tblPr>
      <w:tr>
        <w:trPr>
          <w:trHeight w:val="166"/>
        </w:trPr>
        <w:tc>
          <w:tcPr>
            <w:tcW w:w="2200" w:type="dxa"/>
            <w:vAlign w:val="bottom"/>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3674</w:t>
            </w:r>
          </w:p>
        </w:tc>
        <w:tc>
          <w:tcPr>
            <w:tcW w:w="1720" w:type="dxa"/>
            <w:vAlign w:val="bottom"/>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86-2708752</w:t>
            </w:r>
          </w:p>
        </w:tc>
      </w:tr>
      <w:tr>
        <w:trPr>
          <w:trHeight w:val="116"/>
        </w:trPr>
        <w:tc>
          <w:tcPr>
            <w:tcW w:w="2200" w:type="dxa"/>
            <w:vAlign w:val="bottom"/>
          </w:tcPr>
          <w:p>
            <w:pPr>
              <w:jc w:val="center"/>
              <w:ind w:right="659"/>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000" w:type="dxa"/>
            <w:vAlign w:val="bottom"/>
          </w:tcPr>
          <w:p>
            <w:pPr>
              <w:jc w:val="center"/>
              <w:ind w:right="39"/>
              <w:spacing w:after="0" w:line="116"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720" w:type="dxa"/>
            <w:vAlign w:val="bottom"/>
          </w:tcPr>
          <w:p>
            <w:pPr>
              <w:jc w:val="center"/>
              <w:ind w:left="779"/>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2200" w:type="dxa"/>
            <w:vAlign w:val="bottom"/>
          </w:tcPr>
          <w:p>
            <w:pPr>
              <w:jc w:val="center"/>
              <w:ind w:right="67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00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720" w:type="dxa"/>
            <w:vAlign w:val="bottom"/>
          </w:tcPr>
          <w:p>
            <w:pPr>
              <w:jc w:val="center"/>
              <w:ind w:left="7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4659 Golden Foothill Parkway, Suite 206</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El Dorado Hills, CA 95762</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(916) 347-0050</w:t>
      </w:r>
    </w:p>
    <w:p>
      <w:pPr>
        <w:spacing w:after="0" w:line="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83185</wp:posOffset>
            </wp:positionV>
            <wp:extent cx="11417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Harminder Sehmi</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4659 Golden Foothill Parkway, Suite 206</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El Dorado Hills, CA 95762 (916) 347-0050</w:t>
      </w:r>
    </w:p>
    <w:p>
      <w:pPr>
        <w:spacing w:after="0" w:line="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83185</wp:posOffset>
            </wp:positionV>
            <wp:extent cx="11417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47" w:lineRule="exact"/>
        <w:rPr>
          <w:sz w:val="24"/>
          <w:szCs w:val="24"/>
          <w:color w:val="auto"/>
        </w:rPr>
      </w:pPr>
    </w:p>
    <w:tbl>
      <w:tblPr>
        <w:tblLayout w:type="fixed"/>
        <w:tblInd w:w="2300" w:type="dxa"/>
        <w:tblCellMar>
          <w:top w:w="0" w:type="dxa"/>
          <w:left w:w="0" w:type="dxa"/>
          <w:bottom w:w="0" w:type="dxa"/>
          <w:right w:w="0" w:type="dxa"/>
        </w:tblCellMar>
      </w:tblPr>
      <w:tr>
        <w:trPr>
          <w:trHeight w:val="185"/>
        </w:trPr>
        <w:tc>
          <w:tcPr>
            <w:tcW w:w="2740" w:type="dxa"/>
            <w:vAlign w:val="bottom"/>
          </w:tcPr>
          <w:p>
            <w:pPr>
              <w:spacing w:after="0"/>
              <w:rPr>
                <w:sz w:val="16"/>
                <w:szCs w:val="16"/>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04"/>
        </w:trPr>
        <w:tc>
          <w:tcPr>
            <w:tcW w:w="274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Kim Evans</w:t>
            </w:r>
          </w:p>
        </w:tc>
        <w:tc>
          <w:tcPr>
            <w:tcW w:w="392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w w:val="99"/>
              </w:rPr>
              <w:t>Jonathan Zimmerman</w:t>
            </w:r>
          </w:p>
        </w:tc>
      </w:tr>
      <w:tr>
        <w:trPr>
          <w:trHeight w:val="168"/>
        </w:trPr>
        <w:tc>
          <w:tcPr>
            <w:tcW w:w="274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General Counsel</w:t>
            </w:r>
          </w:p>
        </w:tc>
        <w:tc>
          <w:tcPr>
            <w:tcW w:w="392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w w:val="98"/>
              </w:rPr>
              <w:t>Charles Lange</w:t>
            </w:r>
          </w:p>
        </w:tc>
      </w:tr>
      <w:tr>
        <w:trPr>
          <w:trHeight w:val="168"/>
        </w:trPr>
        <w:tc>
          <w:tcPr>
            <w:tcW w:w="274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Blaize Holdings, Inc.</w:t>
            </w:r>
          </w:p>
        </w:tc>
        <w:tc>
          <w:tcPr>
            <w:tcW w:w="392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rPr>
              <w:t>Faegre Drinker Biddle &amp; Reath LLP</w:t>
            </w:r>
          </w:p>
        </w:tc>
      </w:tr>
      <w:tr>
        <w:trPr>
          <w:trHeight w:val="168"/>
        </w:trPr>
        <w:tc>
          <w:tcPr>
            <w:tcW w:w="274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4659 Golden Foothill Parkway, Suite 206</w:t>
            </w:r>
          </w:p>
        </w:tc>
        <w:tc>
          <w:tcPr>
            <w:tcW w:w="392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rPr>
              <w:t>90 S 7th St Suite 2200</w:t>
            </w:r>
          </w:p>
        </w:tc>
      </w:tr>
      <w:tr>
        <w:trPr>
          <w:trHeight w:val="185"/>
        </w:trPr>
        <w:tc>
          <w:tcPr>
            <w:tcW w:w="2740" w:type="dxa"/>
            <w:vAlign w:val="bottom"/>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El Dorado Hills, CA 95762</w:t>
            </w:r>
          </w:p>
        </w:tc>
        <w:tc>
          <w:tcPr>
            <w:tcW w:w="392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w w:val="99"/>
              </w:rPr>
              <w:t>Minneapolis, MN 55402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100330</wp:posOffset>
            </wp:positionV>
            <wp:extent cx="11417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74" w:lineRule="exact"/>
        <w:rPr>
          <w:sz w:val="24"/>
          <w:szCs w:val="24"/>
          <w:color w:val="auto"/>
        </w:rPr>
      </w:pPr>
    </w:p>
    <w:p>
      <w:pPr>
        <w:ind w:left="1360" w:right="319"/>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 w:lineRule="exact"/>
        <w:rPr>
          <w:sz w:val="24"/>
          <w:szCs w:val="24"/>
          <w:color w:val="auto"/>
        </w:rPr>
      </w:pPr>
    </w:p>
    <w:p>
      <w:pPr>
        <w:ind w:left="1360" w:right="27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360" w:right="47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360" w:right="45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0"/>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6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3" w:lineRule="exact"/>
        <w:rPr>
          <w:sz w:val="24"/>
          <w:szCs w:val="24"/>
          <w:color w:val="auto"/>
        </w:rPr>
      </w:pPr>
    </w:p>
    <w:p>
      <w:pPr>
        <w:ind w:left="1360" w:right="459"/>
        <w:spacing w:after="0" w:line="188" w:lineRule="exact"/>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3013075</wp:posOffset>
            </wp:positionH>
            <wp:positionV relativeFrom="paragraph">
              <wp:posOffset>73025</wp:posOffset>
            </wp:positionV>
            <wp:extent cx="11417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131" w:lineRule="exact"/>
        <w:rPr>
          <w:sz w:val="24"/>
          <w:szCs w:val="24"/>
          <w:color w:val="auto"/>
        </w:rPr>
      </w:pPr>
    </w:p>
    <w:p>
      <w:pPr>
        <w:ind w:left="1360" w:right="339"/>
        <w:spacing w:after="0" w:line="262"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71755</wp:posOffset>
            </wp:positionV>
            <wp:extent cx="54470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104775</wp:posOffset>
            </wp:positionV>
            <wp:extent cx="54470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1566" w:type="dxa"/>
        <w:tblCellMar>
          <w:top w:w="0" w:type="dxa"/>
          <w:left w:w="0" w:type="dxa"/>
          <w:bottom w:w="0" w:type="dxa"/>
          <w:right w:w="0" w:type="dxa"/>
        </w:tblCellMar>
      </w:tblPr>
      <w:tr>
        <w:trPr>
          <w:trHeight w:val="400"/>
        </w:trPr>
        <w:tc>
          <w:tcPr>
            <w:tcW w:w="92" w:type="dxa"/>
            <w:vAlign w:val="bottom"/>
            <w:textDirection w:val="btLr"/>
          </w:tcPr>
          <w:p>
            <w:pPr>
              <w:spacing w:after="0"/>
              <w:rPr>
                <w:sz w:val="20"/>
                <w:szCs w:val="20"/>
                <w:color w:val="auto"/>
              </w:rPr>
            </w:pPr>
            <w:r>
              <w:rPr>
                <w:rFonts w:ascii="Arial" w:cs="Arial" w:eastAsia="Arial" w:hAnsi="Arial"/>
                <w:sz w:val="8"/>
                <w:szCs w:val="8"/>
                <w:b w:val="1"/>
                <w:bCs w:val="1"/>
                <w:color w:val="FF4338"/>
              </w:rPr>
              <w:t>securities</w:t>
            </w:r>
          </w:p>
        </w:tc>
      </w:tr>
    </w:tbl>
    <w:p>
      <w:pPr>
        <w:spacing w:after="0" w:line="1" w:lineRule="exact"/>
        <w:rPr>
          <w:sz w:val="20"/>
          <w:szCs w:val="20"/>
          <w:color w:val="auto"/>
        </w:rPr>
      </w:pPr>
    </w:p>
    <w:tbl>
      <w:tblPr>
        <w:tblLayout w:type="fixed"/>
        <w:tblInd w:w="1297" w:type="dxa"/>
        <w:tblCellMar>
          <w:top w:w="0" w:type="dxa"/>
          <w:left w:w="0" w:type="dxa"/>
          <w:bottom w:w="0" w:type="dxa"/>
          <w:right w:w="0" w:type="dxa"/>
        </w:tblCellMar>
      </w:tblPr>
      <w:tr>
        <w:trPr>
          <w:trHeight w:val="8480"/>
        </w:trPr>
        <w:tc>
          <w:tcPr>
            <w:tcW w:w="519" w:type="dxa"/>
            <w:vAlign w:val="bottom"/>
            <w:textDirection w:val="btLr"/>
          </w:tcPr>
          <w:p>
            <w:pPr>
              <w:spacing w:after="0" w:line="258" w:lineRule="auto"/>
              <w:rPr>
                <w:sz w:val="20"/>
                <w:szCs w:val="20"/>
                <w:color w:val="auto"/>
              </w:rPr>
            </w:pPr>
            <w:r>
              <w:rPr>
                <w:rFonts w:ascii="Arial" w:cs="Arial" w:eastAsia="Arial" w:hAnsi="Arial"/>
                <w:sz w:val="14"/>
                <w:szCs w:val="14"/>
                <w:b w:val="1"/>
                <w:bCs w:val="1"/>
                <w:color w:val="FF4338"/>
              </w:rPr>
              <w:t>and it is not soliciting an offer to buy these securities in any state where the offer or sale is not permitted. statement filed with the U.S. Securities and Exchange Commission is effective. This prospectus is not an offer to sell these The information in this prospectus is not complete and may be changed. These securities may not be sold until the registration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FF4338"/>
        </w:rPr>
        <w:t>Subject to Completion, dated November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-605155</wp:posOffset>
            </wp:positionV>
            <wp:extent cx="7201535" cy="46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46355"/>
                    </a:xfrm>
                    <a:prstGeom prst="rect">
                      <a:avLst/>
                    </a:prstGeom>
                    <a:noFill/>
                  </pic:spPr>
                </pic:pic>
              </a:graphicData>
            </a:graphic>
          </wp:anchor>
        </w:drawing>
        <w:drawing>
          <wp:anchor simplePos="0" relativeHeight="251657728" behindDoc="1" locked="0" layoutInCell="0" allowOverlap="1">
            <wp:simplePos x="0" y="0"/>
            <wp:positionH relativeFrom="column">
              <wp:posOffset>1610360</wp:posOffset>
            </wp:positionH>
            <wp:positionV relativeFrom="paragraph">
              <wp:posOffset>135255</wp:posOffset>
            </wp:positionV>
            <wp:extent cx="1381760" cy="460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1760" cy="46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34"/>
          <w:szCs w:val="34"/>
          <w:b w:val="1"/>
          <w:bCs w:val="1"/>
          <w:color w:val="auto"/>
        </w:rPr>
        <w:t>Blaize Holdings, Inc.</w:t>
      </w:r>
    </w:p>
    <w:p>
      <w:pPr>
        <w:spacing w:after="0" w:line="183"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0"/>
          <w:szCs w:val="20"/>
          <w:b w:val="1"/>
          <w:bCs w:val="1"/>
          <w:color w:val="auto"/>
        </w:rPr>
        <w:t>18,750,000 Shares of</w:t>
      </w:r>
    </w:p>
    <w:p>
      <w:pPr>
        <w:spacing w:after="0" w:line="27"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178435</wp:posOffset>
            </wp:positionV>
            <wp:extent cx="9677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right="1119"/>
        <w:spacing w:after="0" w:line="267" w:lineRule="auto"/>
        <w:rPr>
          <w:sz w:val="20"/>
          <w:szCs w:val="20"/>
          <w:color w:val="auto"/>
        </w:rPr>
      </w:pPr>
      <w:r>
        <w:rPr>
          <w:rFonts w:ascii="Times New Roman" w:cs="Times New Roman" w:eastAsia="Times New Roman" w:hAnsi="Times New Roman"/>
          <w:sz w:val="14"/>
          <w:szCs w:val="14"/>
          <w:color w:val="auto"/>
        </w:rPr>
        <w:t>This prospectus relates to the resale by the selling stakeholders identified in this prospectus of up to 18,750,000 shares of our common stock, par value $0.0001 per share (the “Common Stock”), including 9,375,000 shares of Common Stock currently outstanding and 9,375,000 shares of Common Stock issuable upon the exercise of warrants (the “Warrants”).</w:t>
      </w:r>
    </w:p>
    <w:p>
      <w:pPr>
        <w:spacing w:after="0" w:line="136" w:lineRule="exact"/>
        <w:rPr>
          <w:sz w:val="20"/>
          <w:szCs w:val="20"/>
          <w:color w:val="auto"/>
        </w:rPr>
      </w:pPr>
    </w:p>
    <w:p>
      <w:pPr>
        <w:ind w:right="959"/>
        <w:spacing w:after="0" w:line="256" w:lineRule="auto"/>
        <w:rPr>
          <w:sz w:val="20"/>
          <w:szCs w:val="20"/>
          <w:color w:val="auto"/>
        </w:rPr>
      </w:pPr>
      <w:r>
        <w:rPr>
          <w:rFonts w:ascii="Times New Roman" w:cs="Times New Roman" w:eastAsia="Times New Roman" w:hAnsi="Times New Roman"/>
          <w:sz w:val="14"/>
          <w:szCs w:val="14"/>
          <w:color w:val="auto"/>
        </w:rPr>
        <w:t>We are registering the offer and sale of these shares to satisfy certain registration rights we have granted. The selling stockholders may sell the shares described in this prospectus in a number of different ways and at varying prices. We will not receive any of the proceeds from such sales. The selling stockholders will pay any underwriting discounts and commissions and expenses incurred by them in disposing of these shares. We will bear all other costs, fees and expenses incurred in effecting the registration of these shares, as described in more detail in the section titled “Use of Proceeds” appearing elsewhere in this prospectus. We provide more information about how the selling stockholders may sell their shares in the section titled “Plan of Distribution” appearing elsewhere in this prospectus.</w:t>
      </w:r>
    </w:p>
    <w:p>
      <w:pPr>
        <w:spacing w:after="0" w:line="144" w:lineRule="exact"/>
        <w:rPr>
          <w:sz w:val="20"/>
          <w:szCs w:val="20"/>
          <w:color w:val="auto"/>
        </w:rPr>
      </w:pPr>
    </w:p>
    <w:p>
      <w:pPr>
        <w:ind w:right="959"/>
        <w:spacing w:after="0" w:line="283" w:lineRule="auto"/>
        <w:rPr>
          <w:sz w:val="20"/>
          <w:szCs w:val="20"/>
          <w:color w:val="auto"/>
        </w:rPr>
      </w:pPr>
      <w:r>
        <w:rPr>
          <w:rFonts w:ascii="Times New Roman" w:cs="Times New Roman" w:eastAsia="Times New Roman" w:hAnsi="Times New Roman"/>
          <w:sz w:val="14"/>
          <w:szCs w:val="14"/>
          <w:color w:val="auto"/>
        </w:rPr>
        <w:t>The selling stockholders may sell any, all, or none of the shares of Common Stock and we do not know when or in what amount the selling stockholders may sell their shares hereunder following the effective date of this registration statement.</w:t>
      </w:r>
    </w:p>
    <w:p>
      <w:pPr>
        <w:spacing w:after="0" w:line="125" w:lineRule="exact"/>
        <w:rPr>
          <w:sz w:val="20"/>
          <w:szCs w:val="20"/>
          <w:color w:val="auto"/>
        </w:rPr>
      </w:pPr>
    </w:p>
    <w:p>
      <w:pPr>
        <w:ind w:right="1279"/>
        <w:spacing w:after="0" w:line="283" w:lineRule="auto"/>
        <w:rPr>
          <w:sz w:val="20"/>
          <w:szCs w:val="20"/>
          <w:color w:val="auto"/>
        </w:rPr>
      </w:pPr>
      <w:r>
        <w:rPr>
          <w:rFonts w:ascii="Times New Roman" w:cs="Times New Roman" w:eastAsia="Times New Roman" w:hAnsi="Times New Roman"/>
          <w:sz w:val="14"/>
          <w:szCs w:val="14"/>
          <w:color w:val="auto"/>
        </w:rPr>
        <w:t>Our Common Stock is traded on the NASDAQ Global Market under the symbol “BZAI.” On November 26, 2025, the last quoted sale price for our Common Stock was $2.40.</w:t>
      </w:r>
    </w:p>
    <w:p>
      <w:pPr>
        <w:spacing w:after="0" w:line="123" w:lineRule="exact"/>
        <w:rPr>
          <w:sz w:val="20"/>
          <w:szCs w:val="20"/>
          <w:color w:val="auto"/>
        </w:rPr>
      </w:pPr>
    </w:p>
    <w:p>
      <w:pPr>
        <w:ind w:right="1099"/>
        <w:spacing w:after="0" w:line="286" w:lineRule="auto"/>
        <w:rPr>
          <w:sz w:val="20"/>
          <w:szCs w:val="20"/>
          <w:color w:val="auto"/>
        </w:rPr>
      </w:pPr>
      <w:r>
        <w:rPr>
          <w:rFonts w:ascii="Times New Roman" w:cs="Times New Roman" w:eastAsia="Times New Roman" w:hAnsi="Times New Roman"/>
          <w:sz w:val="14"/>
          <w:szCs w:val="14"/>
          <w:b w:val="1"/>
          <w:bCs w:val="1"/>
          <w:color w:val="auto"/>
        </w:rPr>
        <w:t>We are an emerging growth company and a smaller reporting company under the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154305</wp:posOffset>
            </wp:positionV>
            <wp:extent cx="9677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377" w:lineRule="exact"/>
        <w:rPr>
          <w:sz w:val="20"/>
          <w:szCs w:val="20"/>
          <w:color w:val="auto"/>
        </w:rPr>
      </w:pPr>
    </w:p>
    <w:p>
      <w:pPr>
        <w:ind w:right="1179"/>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buying any securities, you should carefully read the discussion of the risks of investing in our securities in the section titled “</w:t>
      </w:r>
      <w:r>
        <w:rPr>
          <w:rFonts w:ascii="Times New Roman" w:cs="Times New Roman" w:eastAsia="Times New Roman" w:hAnsi="Times New Roman"/>
          <w:sz w:val="17"/>
          <w:szCs w:val="17"/>
          <w:b w:val="1"/>
          <w:bCs w:val="1"/>
          <w:u w:val="single" w:color="auto"/>
          <w:color w:val="0000EE"/>
        </w:rPr>
        <w:t>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0000EE"/>
        </w:rPr>
        <w:t>Factors</w:t>
      </w:r>
      <w:r>
        <w:rPr>
          <w:rFonts w:ascii="Times New Roman" w:cs="Times New Roman" w:eastAsia="Times New Roman" w:hAnsi="Times New Roman"/>
          <w:sz w:val="17"/>
          <w:szCs w:val="17"/>
          <w:b w:val="1"/>
          <w:bCs w:val="1"/>
          <w:color w:val="000000"/>
        </w:rPr>
        <w:t>” beginning on page 8 of this prospectus.</w:t>
      </w:r>
    </w:p>
    <w:p>
      <w:pPr>
        <w:spacing w:after="0" w:line="138" w:lineRule="exact"/>
        <w:rPr>
          <w:sz w:val="20"/>
          <w:szCs w:val="20"/>
          <w:color w:val="auto"/>
        </w:rPr>
      </w:pPr>
    </w:p>
    <w:p>
      <w:pPr>
        <w:ind w:right="1319"/>
        <w:spacing w:after="0" w:line="286"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or any prospectus supplement or amendment hereto. We have not authorized anyone to provide you with different information.</w:t>
      </w:r>
    </w:p>
    <w:p>
      <w:pPr>
        <w:spacing w:after="0" w:line="121" w:lineRule="exact"/>
        <w:rPr>
          <w:sz w:val="20"/>
          <w:szCs w:val="20"/>
          <w:color w:val="auto"/>
        </w:rPr>
      </w:pPr>
    </w:p>
    <w:p>
      <w:pPr>
        <w:jc w:val="both"/>
        <w:ind w:right="1059"/>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161925</wp:posOffset>
            </wp:positionV>
            <wp:extent cx="96774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7740" cy="6985"/>
                    </a:xfrm>
                    <a:prstGeom prst="rect">
                      <a:avLst/>
                    </a:prstGeom>
                    <a:noFill/>
                  </pic:spPr>
                </pic:pic>
              </a:graphicData>
            </a:graphic>
          </wp:anchor>
        </w:drawing>
      </w:r>
    </w:p>
    <w:p>
      <w:pPr>
        <w:spacing w:after="0" w:line="39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2025</w:t>
      </w:r>
    </w:p>
    <w:p>
      <w:pPr>
        <w:sectPr>
          <w:pgSz w:w="11900" w:h="16838" w:orient="portrait"/>
          <w:cols w:equalWidth="0" w:num="2">
            <w:col w:w="1820" w:space="200"/>
            <w:col w:w="8139"/>
          </w:cols>
          <w:pgMar w:left="300" w:top="40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1"/>
        </w:trPr>
        <w:tc>
          <w:tcPr>
            <w:tcW w:w="1740" w:type="dxa"/>
            <w:vAlign w:val="bottom"/>
            <w:tcBorders>
              <w:bottom w:val="single" w:sz="8" w:color="0000EE"/>
            </w:tcBorders>
            <w:gridSpan w:val="10"/>
          </w:tcPr>
          <w:p>
            <w:pPr>
              <w:spacing w:after="0" w:line="151" w:lineRule="exact"/>
              <w:rPr>
                <w:sz w:val="20"/>
                <w:szCs w:val="20"/>
                <w:color w:val="auto"/>
              </w:rPr>
            </w:pPr>
            <w:r>
              <w:rPr>
                <w:rFonts w:ascii="Times New Roman" w:cs="Times New Roman" w:eastAsia="Times New Roman" w:hAnsi="Times New Roman"/>
                <w:sz w:val="14"/>
                <w:szCs w:val="14"/>
                <w:color w:val="0000EE"/>
                <w:w w:val="99"/>
              </w:rPr>
              <w:t>ABOUT THIS PROSPECTUS</w:t>
            </w:r>
          </w:p>
        </w:tc>
        <w:tc>
          <w:tcPr>
            <w:tcW w:w="5880" w:type="dxa"/>
            <w:vAlign w:val="bottom"/>
            <w:gridSpan w:val="11"/>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ii</w:t>
            </w:r>
          </w:p>
        </w:tc>
      </w:tr>
      <w:tr>
        <w:trPr>
          <w:trHeight w:val="148"/>
        </w:trPr>
        <w:tc>
          <w:tcPr>
            <w:tcW w:w="206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7"/>
              </w:rPr>
              <w:t>MARKET AND INDUSTRY DATA</w:t>
            </w:r>
          </w:p>
        </w:tc>
        <w:tc>
          <w:tcPr>
            <w:tcW w:w="5560" w:type="dxa"/>
            <w:vAlign w:val="bottom"/>
            <w:gridSpan w:val="9"/>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ii</w:t>
            </w:r>
          </w:p>
        </w:tc>
      </w:tr>
      <w:tr>
        <w:trPr>
          <w:trHeight w:val="148"/>
        </w:trPr>
        <w:tc>
          <w:tcPr>
            <w:tcW w:w="4500" w:type="dxa"/>
            <w:vAlign w:val="bottom"/>
            <w:tcBorders>
              <w:bottom w:val="single" w:sz="8" w:color="0000EE"/>
            </w:tcBorders>
            <w:gridSpan w:val="19"/>
          </w:tcPr>
          <w:p>
            <w:pPr>
              <w:spacing w:after="0" w:line="148" w:lineRule="exact"/>
              <w:rPr>
                <w:sz w:val="20"/>
                <w:szCs w:val="20"/>
                <w:color w:val="auto"/>
              </w:rPr>
            </w:pPr>
            <w:r>
              <w:rPr>
                <w:rFonts w:ascii="Times New Roman" w:cs="Times New Roman" w:eastAsia="Times New Roman" w:hAnsi="Times New Roman"/>
                <w:sz w:val="14"/>
                <w:szCs w:val="14"/>
                <w:color w:val="0000EE"/>
                <w:w w:val="98"/>
              </w:rPr>
              <w:t>CAUTIONARY NOTE REGARDING FORWARD-LOOKING STATEMENTS</w:t>
            </w:r>
          </w:p>
        </w:tc>
        <w:tc>
          <w:tcPr>
            <w:tcW w:w="3120" w:type="dxa"/>
            <w:vAlign w:val="bottom"/>
            <w:gridSpan w:val="2"/>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iii</w:t>
            </w:r>
          </w:p>
        </w:tc>
      </w:tr>
      <w:tr>
        <w:trPr>
          <w:trHeight w:val="148"/>
        </w:trPr>
        <w:tc>
          <w:tcPr>
            <w:tcW w:w="162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PROSPECTUS SUMMARY</w:t>
            </w:r>
          </w:p>
        </w:tc>
        <w:tc>
          <w:tcPr>
            <w:tcW w:w="6000" w:type="dxa"/>
            <w:vAlign w:val="bottom"/>
            <w:gridSpan w:val="13"/>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RISK FACTORS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124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9"/>
              </w:rPr>
              <w:t>USE OF PROCEEDS</w:t>
            </w:r>
          </w:p>
        </w:tc>
        <w:tc>
          <w:tcPr>
            <w:tcW w:w="6380" w:type="dxa"/>
            <w:vAlign w:val="bottom"/>
            <w:gridSpan w:val="14"/>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DIVIDEND POLICY</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41</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6940" w:type="dxa"/>
            <w:vAlign w:val="bottom"/>
            <w:tcBorders>
              <w:bottom w:val="single" w:sz="8" w:color="0000EE"/>
            </w:tcBorders>
            <w:gridSpan w:val="20"/>
          </w:tcPr>
          <w:p>
            <w:pPr>
              <w:spacing w:after="0" w:line="148" w:lineRule="exact"/>
              <w:rPr>
                <w:sz w:val="20"/>
                <w:szCs w:val="20"/>
                <w:color w:val="auto"/>
              </w:rPr>
            </w:pPr>
            <w:r>
              <w:rPr>
                <w:rFonts w:ascii="Times New Roman" w:cs="Times New Roman" w:eastAsia="Times New Roman" w:hAnsi="Times New Roman"/>
                <w:sz w:val="14"/>
                <w:szCs w:val="14"/>
                <w:color w:val="0000EE"/>
                <w:w w:val="99"/>
              </w:rPr>
              <w:t>MANAGEMENT’S DISCUSSION AND ANALYSIS OF FINANCIAL CONDITION AND RESULTS OF OPERATIONS</w:t>
            </w:r>
          </w:p>
        </w:tc>
        <w:tc>
          <w:tcPr>
            <w:tcW w:w="680" w:type="dxa"/>
            <w:vAlign w:val="bottom"/>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42</w:t>
            </w:r>
          </w:p>
        </w:tc>
      </w:tr>
      <w:tr>
        <w:trPr>
          <w:trHeight w:val="148"/>
        </w:trPr>
        <w:tc>
          <w:tcPr>
            <w:tcW w:w="66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BUSINESS</w:t>
            </w:r>
          </w:p>
        </w:tc>
        <w:tc>
          <w:tcPr>
            <w:tcW w:w="6960" w:type="dxa"/>
            <w:vAlign w:val="bottom"/>
            <w:gridSpan w:val="19"/>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60</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MANAGEMENT</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72</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256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8"/>
              </w:rPr>
              <w:t>BLAIZE’S EXECUTIVE COMPENSATION</w:t>
            </w:r>
          </w:p>
        </w:tc>
        <w:tc>
          <w:tcPr>
            <w:tcW w:w="5060" w:type="dxa"/>
            <w:vAlign w:val="bottom"/>
            <w:gridSpan w:val="6"/>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81</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BLAIZE’S DIRECTOR COMPENSATION</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85</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4260" w:type="dxa"/>
            <w:vAlign w:val="bottom"/>
            <w:tcBorders>
              <w:bottom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EE"/>
                <w:w w:val="97"/>
              </w:rPr>
              <w:t>CERTAIN RELATIONSHIPS AND RELATED PARTY TRANSACTIONS</w:t>
            </w:r>
          </w:p>
        </w:tc>
        <w:tc>
          <w:tcPr>
            <w:tcW w:w="3360" w:type="dxa"/>
            <w:vAlign w:val="bottom"/>
            <w:gridSpan w:val="3"/>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86</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PRINCIPAL STOCKHOLDERS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91</w:t>
            </w:r>
          </w:p>
        </w:tc>
      </w:tr>
      <w:tr>
        <w:trPr>
          <w:trHeight w:val="148"/>
        </w:trPr>
        <w:tc>
          <w:tcPr>
            <w:tcW w:w="1640" w:type="dxa"/>
            <w:vAlign w:val="bottom"/>
            <w:tcBorders>
              <w:top w:val="single" w:sz="8" w:color="0000EE"/>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8"/>
              </w:rPr>
              <w:t>SELLING STOCKHOLDER</w:t>
            </w:r>
          </w:p>
        </w:tc>
        <w:tc>
          <w:tcPr>
            <w:tcW w:w="200" w:type="dxa"/>
            <w:vAlign w:val="bottom"/>
            <w:tcBorders>
              <w:top w:val="single" w:sz="8" w:color="0000EE"/>
            </w:tcBorders>
            <w:gridSpan w:val="2"/>
          </w:tcPr>
          <w:p>
            <w:pPr>
              <w:spacing w:after="0"/>
              <w:rPr>
                <w:sz w:val="12"/>
                <w:szCs w:val="12"/>
                <w:color w:val="auto"/>
              </w:rPr>
            </w:pPr>
          </w:p>
        </w:tc>
        <w:tc>
          <w:tcPr>
            <w:tcW w:w="5780" w:type="dxa"/>
            <w:vAlign w:val="bottom"/>
            <w:gridSpan w:val="10"/>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94</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95</w:t>
            </w:r>
          </w:p>
        </w:tc>
      </w:tr>
      <w:tr>
        <w:trPr>
          <w:trHeight w:val="148"/>
        </w:trPr>
        <w:tc>
          <w:tcPr>
            <w:tcW w:w="2220" w:type="dxa"/>
            <w:vAlign w:val="bottom"/>
            <w:tcBorders>
              <w:top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LEGAL MATTERS</w:t>
            </w:r>
          </w:p>
        </w:tc>
        <w:tc>
          <w:tcPr>
            <w:tcW w:w="5400" w:type="dxa"/>
            <w:vAlign w:val="bottom"/>
            <w:gridSpan w:val="8"/>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105</w:t>
            </w:r>
          </w:p>
        </w:tc>
      </w:tr>
      <w:tr>
        <w:trPr>
          <w:trHeight w:val="148"/>
        </w:trPr>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6500" w:type="dxa"/>
            <w:vAlign w:val="bottom"/>
            <w:gridSpan w:val="16"/>
          </w:tcPr>
          <w:p>
            <w:pPr>
              <w:spacing w:after="0"/>
              <w:rPr>
                <w:sz w:val="12"/>
                <w:szCs w:val="12"/>
                <w:color w:val="auto"/>
              </w:rPr>
            </w:pP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106</w:t>
            </w: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107</w:t>
            </w:r>
          </w:p>
        </w:tc>
      </w:tr>
      <w:tr>
        <w:trPr>
          <w:trHeight w:val="20"/>
        </w:trPr>
        <w:tc>
          <w:tcPr>
            <w:tcW w:w="2960" w:type="dxa"/>
            <w:vAlign w:val="bottom"/>
            <w:gridSpan w:val="16"/>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48"/>
        </w:trPr>
        <w:tc>
          <w:tcPr>
            <w:tcW w:w="7620" w:type="dxa"/>
            <w:vAlign w:val="bottom"/>
            <w:gridSpan w:val="21"/>
          </w:tcPr>
          <w:p>
            <w:pPr>
              <w:spacing w:after="0" w:line="148" w:lineRule="exact"/>
              <w:rPr>
                <w:sz w:val="20"/>
                <w:szCs w:val="20"/>
                <w:color w:val="auto"/>
              </w:rPr>
            </w:pPr>
            <w:r>
              <w:rPr>
                <w:rFonts w:ascii="Times New Roman" w:cs="Times New Roman" w:eastAsia="Times New Roman" w:hAnsi="Times New Roman"/>
                <w:sz w:val="14"/>
                <w:szCs w:val="14"/>
                <w:color w:val="0000EE"/>
              </w:rPr>
              <w:t>INDEX TO CONSOLIDATED FINANCIAL STATEMENTS</w:t>
            </w:r>
          </w:p>
        </w:tc>
        <w:tc>
          <w:tcPr>
            <w:tcW w:w="9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40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on the one hand, and the information contained in any document filed with the Securities and Exchange Commission before the date of this prospectus and incorporated by reference in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44"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3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color w:val="auto"/>
        </w:rPr>
        <w:t>We may also file a prospectus supplement or post-effective amendment to the registration statement of which this prospectus forms a part that may contain material information relating to this offering.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Any statement so modified will be deemed to constitute a part of this prospectus only as so modified, and any statement so superseded will be deemed not to constitute a part of this prospectus. Before purchasing any securities, you should carefully read this prospectus, any post- effective amendment, and any applicable prospectus supplement, together with the additional information described under the heading “Where You Can Find More Information”.</w:t>
      </w:r>
    </w:p>
    <w:p>
      <w:pPr>
        <w:spacing w:after="0" w:line="145" w:lineRule="exact"/>
        <w:rPr>
          <w:sz w:val="20"/>
          <w:szCs w:val="20"/>
          <w:color w:val="auto"/>
        </w:rPr>
      </w:pPr>
    </w:p>
    <w:p>
      <w:pPr>
        <w:jc w:val="both"/>
        <w:ind w:left="1360" w:right="479"/>
        <w:spacing w:after="0" w:line="261" w:lineRule="auto"/>
        <w:rPr>
          <w:sz w:val="20"/>
          <w:szCs w:val="20"/>
          <w:color w:val="auto"/>
        </w:rPr>
      </w:pPr>
      <w:r>
        <w:rPr>
          <w:rFonts w:ascii="Times New Roman" w:cs="Times New Roman" w:eastAsia="Times New Roman" w:hAnsi="Times New Roman"/>
          <w:sz w:val="14"/>
          <w:szCs w:val="14"/>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“Where You Can Find More Information.”</w:t>
      </w:r>
    </w:p>
    <w:p>
      <w:pPr>
        <w:spacing w:after="0" w:line="141" w:lineRule="exact"/>
        <w:rPr>
          <w:sz w:val="20"/>
          <w:szCs w:val="20"/>
          <w:color w:val="auto"/>
        </w:rPr>
      </w:pPr>
    </w:p>
    <w:p>
      <w:pPr>
        <w:ind w:left="1360" w:right="339"/>
        <w:spacing w:after="0" w:line="231" w:lineRule="auto"/>
        <w:rPr>
          <w:sz w:val="20"/>
          <w:szCs w:val="20"/>
          <w:color w:val="auto"/>
        </w:rPr>
      </w:pPr>
      <w:r>
        <w:rPr>
          <w:rFonts w:ascii="Times New Roman" w:cs="Times New Roman" w:eastAsia="Times New Roman" w:hAnsi="Times New Roman"/>
          <w:sz w:val="14"/>
          <w:szCs w:val="14"/>
          <w:color w:val="auto"/>
        </w:rPr>
        <w:t>We own or have rights to trademarks, trade names and service marks that we use in connection with the operation of our business (including, but not limited to, our Blaize technology and units). Our name, logos and website name and address are our trademarks or service marks. Solely for convenience, in some cases, the trademarks, trade names and service marks referred to in this prospectus are listed without the applicable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SM symbols, but we will assert, to the fullest extent under applicable law, our rights to these trademarks, trade names and service marks. Other trademarks, trade names and service marks appearing in this prospectus are the property of their respective owners.</w:t>
      </w:r>
    </w:p>
    <w:p>
      <w:pPr>
        <w:spacing w:after="0" w:line="157"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All references herein to the “Board” refer to the board of directors of the Company.</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7"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This prospectus includes, and any amendment or supplement to this prospectus may include, estimates regarding market and industry data and forecasts, which are based on our own estimates utilizing our management’s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40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knowledge of and experience in, as well as information obtained from our subscribers, trade and business organizations, and other contacts in the market sectors in which we compete, and from statistical information obtained from publicly available information, industry publications and surveys, reports from government agencies and reports by market research firms. We confirm that, where such information is reproduced herein, such information has been accurately reproduced and that, so far as we are aware and are able to ascertain from information published by publicly available sources and other publications, no facts have been omitted that would render the reproduced information inaccurate or misleading. Industry publications, reports and other published data generally state that the information contained therein has been obtained from sources believed to be reliable, but we cannot assure you that the information contained in these reports, and therefore the information contained in this prospectus or any amendment or supplement to this prospectus that is derived therefrom, is accurate or complete. Our estimates of our market position may prove to be inaccurate because of the method by which we obtain some of the data for our estimates or because this information cannot always be verified with complete certainty due to the limits on the availability and reliability of raw data, the voluntary nature of the data gathering process and other limitations and uncertainties. As a result, although we believe our sources are reliable, we have not independently verified the information and cannot guarantee its accuracy and completeness.</w:t>
      </w:r>
    </w:p>
    <w:p>
      <w:pPr>
        <w:spacing w:after="0" w:line="31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“Risk Factors.” These forward-looking statements are subject to numerous risks, including, without limitation, the following:</w:t>
      </w:r>
    </w:p>
    <w:p>
      <w:pPr>
        <w:spacing w:after="0" w:line="72" w:lineRule="exact"/>
        <w:rPr>
          <w:sz w:val="20"/>
          <w:szCs w:val="20"/>
          <w:color w:val="auto"/>
        </w:rPr>
      </w:pPr>
    </w:p>
    <w:p>
      <w:pPr>
        <w:ind w:left="2120" w:hanging="345"/>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achieve or sustain profitability;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or regulations;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realize the anticipated benefits of the Business Combination;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maintain the listing of the shares of Common Stock and Warrants on Nasdaq;</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loss of one or more key employees or failure to attract and retain highly skilled employees;</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Company’s software or hardware containing serious errors or defects, which may result in lost revenue and market acceptance and costs to defend or settle claims with customers;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40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cost, interruptions in service, latency or poor service from third-party data center providers;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global nature of our business, including the various laws and regulations applicable to us and fluctuations between foreign currencies and the U.S. dollar, including the imposition of new or increased tariffs or export controls;</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failure to acquire new customers, retain existing customers, terminate existing customer or partnership contracts or expand sales to existing customers;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described in this registration statement, including those under the section entitled “Risk Factors.”</w:t>
      </w:r>
    </w:p>
    <w:p>
      <w:pPr>
        <w:spacing w:after="0" w:line="175"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You should read this prospectus completely and with the understanding that our actual future results may be materially different from what we expect.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qualify all of our forward-looking statements by these cautionary statements.</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10159"/>
          </w:cols>
          <w:pgMar w:left="300" w:top="40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32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3380" cy="483235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1500" w:right="399"/>
        <w:spacing w:after="0" w:line="25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may not contain all of the information that is important to you in making an investment decision. Before investing in our securities, you should read this entire document carefully, including our financial statements and the related notes included in this prospectus and the information set forth under the headings “Risk Factors” and “Management’s Discussion and Analysis of Financial Condition and Results of Operations.” Some of the statements in this prospectus constitute forward- looking statements. See “Cautionary Note Regarding Forward-Looking Statements.”</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500" w:right="479"/>
        <w:spacing w:after="0" w:line="261" w:lineRule="auto"/>
        <w:rPr>
          <w:sz w:val="20"/>
          <w:szCs w:val="20"/>
          <w:color w:val="auto"/>
        </w:rPr>
      </w:pPr>
      <w:r>
        <w:rPr>
          <w:rFonts w:ascii="Times New Roman" w:cs="Times New Roman" w:eastAsia="Times New Roman" w:hAnsi="Times New Roman"/>
          <w:sz w:val="14"/>
          <w:szCs w:val="14"/>
          <w:color w:val="auto"/>
        </w:rPr>
        <w:t>Blaize provides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Background</w:t>
      </w:r>
    </w:p>
    <w:p>
      <w:pPr>
        <w:spacing w:after="0" w:line="93"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Committed Equity Facility</w:t>
      </w:r>
    </w:p>
    <w:p>
      <w:pPr>
        <w:spacing w:after="0" w:line="93" w:lineRule="exact"/>
        <w:rPr>
          <w:sz w:val="20"/>
          <w:szCs w:val="20"/>
          <w:color w:val="auto"/>
        </w:rPr>
      </w:pPr>
    </w:p>
    <w:p>
      <w:pPr>
        <w:ind w:left="1500" w:right="379"/>
        <w:spacing w:after="0" w:line="256" w:lineRule="auto"/>
        <w:rPr>
          <w:sz w:val="20"/>
          <w:szCs w:val="20"/>
          <w:color w:val="auto"/>
        </w:rPr>
      </w:pPr>
      <w:r>
        <w:rPr>
          <w:rFonts w:ascii="Times New Roman" w:cs="Times New Roman" w:eastAsia="Times New Roman" w:hAnsi="Times New Roman"/>
          <w:sz w:val="14"/>
          <w:szCs w:val="14"/>
          <w:color w:val="auto"/>
        </w:rPr>
        <w:t>On July 14, 2025, the Company entered into a Common Stock Purchase Agreement (the “Purchase Agreement”) and a related Registration Rights Agreement (the “Registration Rights Agreement”) with B. Riley Principal Capital II, LLC (“B. Riley”). Upon the terms and subject to the satisfaction of the conditions set forth in the Purchase Agreement, the Company will have the right, in its sole discretion, to sell to B. Riley up to an aggregate of $50,000,000 of newly issued shares of Common Stock, subject to certain conditions and limitations contained in the Purchase Agreement, from time to time during the term of the Purchase Agreement. Sales of shares of the Common Stock to B. Riley under the Purchase Agreement, and the timing of any such sales, are solely at the Company’s option, and the Company is under no obligation to sell any securities to B. Riley under the Purchase Agreement.</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Polar Private Placement</w:t>
      </w:r>
    </w:p>
    <w:p>
      <w:pPr>
        <w:spacing w:after="0" w:line="93" w:lineRule="exact"/>
        <w:rPr>
          <w:sz w:val="20"/>
          <w:szCs w:val="20"/>
          <w:color w:val="auto"/>
        </w:rPr>
      </w:pPr>
    </w:p>
    <w:p>
      <w:pPr>
        <w:ind w:left="1500" w:right="659"/>
        <w:spacing w:after="0" w:line="283" w:lineRule="auto"/>
        <w:rPr>
          <w:sz w:val="20"/>
          <w:szCs w:val="20"/>
          <w:color w:val="auto"/>
        </w:rPr>
      </w:pPr>
      <w:r>
        <w:rPr>
          <w:rFonts w:ascii="Times New Roman" w:cs="Times New Roman" w:eastAsia="Times New Roman" w:hAnsi="Times New Roman"/>
          <w:sz w:val="14"/>
          <w:szCs w:val="14"/>
          <w:color w:val="auto"/>
        </w:rPr>
        <w:t>On November 10, 2025, Blaize Holdings, Inc. (the “Company”) entered into a securities purchase agreement (the “Purchase Agreement”) with affiliates of Polar Multi-Strategy Master Fund and Polar Long/Short Master Fund (collectively, “Polar”), for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40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039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3380" cy="5039360"/>
                    </a:xfrm>
                    <a:prstGeom prst="rect">
                      <a:avLst/>
                    </a:prstGeom>
                    <a:noFill/>
                  </pic:spPr>
                </pic:pic>
              </a:graphicData>
            </a:graphic>
          </wp:anchor>
        </w:drawing>
      </w:r>
    </w:p>
    <w:p>
      <w:pPr>
        <w:spacing w:after="0" w:line="3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the private placement (the “Polar Private Placement”) of (i) 9,375,000 shares of Common Stock, at a purchase price of $3.20 per Share and</w:t>
      </w:r>
    </w:p>
    <w:p>
      <w:pPr>
        <w:spacing w:after="0" w:line="22" w:lineRule="exact"/>
        <w:rPr>
          <w:sz w:val="20"/>
          <w:szCs w:val="20"/>
          <w:color w:val="auto"/>
        </w:rPr>
      </w:pPr>
    </w:p>
    <w:p>
      <w:pPr>
        <w:ind w:left="1500" w:right="379" w:hanging="3"/>
        <w:spacing w:after="0" w:line="261" w:lineRule="auto"/>
        <w:tabs>
          <w:tab w:leader="none" w:pos="170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9,375,000 Warrants. The Warrants have a term of five years and an exercise price of $5.00 per share. The aggregate gross proceeds for the Polar Private Placement were $30.0 million, before deducting offering expenses.</w:t>
      </w:r>
    </w:p>
    <w:p>
      <w:pPr>
        <w:spacing w:after="0" w:line="2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93" w:lineRule="exact"/>
        <w:rPr>
          <w:sz w:val="20"/>
          <w:szCs w:val="20"/>
          <w:color w:val="auto"/>
        </w:rPr>
      </w:pPr>
    </w:p>
    <w:p>
      <w:pPr>
        <w:ind w:left="1500" w:right="379"/>
        <w:spacing w:after="0" w:line="323" w:lineRule="auto"/>
        <w:rPr>
          <w:sz w:val="20"/>
          <w:szCs w:val="20"/>
          <w:color w:val="auto"/>
        </w:rPr>
      </w:pPr>
      <w:r>
        <w:rPr>
          <w:rFonts w:ascii="Times New Roman" w:cs="Times New Roman" w:eastAsia="Times New Roman" w:hAnsi="Times New Roman"/>
          <w:sz w:val="13"/>
          <w:szCs w:val="13"/>
          <w:color w:val="auto"/>
        </w:rPr>
        <w:t>Our business is subject to a number of risks of which you should be aware before making an investment decision. In particular, you should consider the risk factors described in the section entitled “Risk Factors” beginning on page 8. Such risks include, but are not limited to, the following:</w:t>
      </w:r>
    </w:p>
    <w:p>
      <w:pPr>
        <w:spacing w:after="0" w:line="29" w:lineRule="exact"/>
        <w:rPr>
          <w:sz w:val="20"/>
          <w:szCs w:val="20"/>
          <w:color w:val="auto"/>
        </w:rPr>
      </w:pPr>
    </w:p>
    <w:p>
      <w:pPr>
        <w:ind w:left="2220" w:right="51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registered public accounting firm’s report contains an explanatory paragraph that expresses substantial doubt about our ability to continue as a going concern.</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operating losses, and we may not be able to generate sufficient revenue to achieve and sustain profitability.</w:t>
      </w:r>
    </w:p>
    <w:p>
      <w:pPr>
        <w:spacing w:after="0" w:line="101" w:lineRule="exact"/>
        <w:rPr>
          <w:rFonts w:ascii="Times New Roman" w:cs="Times New Roman" w:eastAsia="Times New Roman" w:hAnsi="Times New Roman"/>
          <w:sz w:val="14"/>
          <w:szCs w:val="14"/>
          <w:color w:val="auto"/>
        </w:rPr>
      </w:pPr>
    </w:p>
    <w:p>
      <w:pPr>
        <w:ind w:left="2220" w:right="85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a small number of customers for a significant portion of our revenue. Any failure or delay in payments by these customers would have a material adverse effect on our revenues and financial condition.</w:t>
      </w:r>
    </w:p>
    <w:p>
      <w:pPr>
        <w:spacing w:after="0" w:line="51" w:lineRule="exact"/>
        <w:rPr>
          <w:rFonts w:ascii="Times New Roman" w:cs="Times New Roman" w:eastAsia="Times New Roman" w:hAnsi="Times New Roman"/>
          <w:sz w:val="14"/>
          <w:szCs w:val="14"/>
          <w:color w:val="auto"/>
        </w:rPr>
      </w:pPr>
    </w:p>
    <w:p>
      <w:pPr>
        <w:ind w:left="2220" w:right="71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automotive OEMs (as defined below) and Tier-1 suppliers are long-term in nature and we will not receive legally binding purchase order commitments until we deliver our auto-grade chip.</w:t>
      </w:r>
    </w:p>
    <w:p>
      <w:pPr>
        <w:spacing w:after="0" w:line="51" w:lineRule="exact"/>
        <w:rPr>
          <w:rFonts w:ascii="Times New Roman" w:cs="Times New Roman" w:eastAsia="Times New Roman" w:hAnsi="Times New Roman"/>
          <w:sz w:val="14"/>
          <w:szCs w:val="14"/>
          <w:color w:val="auto"/>
        </w:rPr>
      </w:pPr>
    </w:p>
    <w:p>
      <w:pPr>
        <w:ind w:left="2220" w:right="77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revenue and operating results will be harmed if we are unable to acquire new customers, retain existing customers or expand sales to our existing customers.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successfully implement our growth strategy on a timely basis or at all.</w:t>
      </w:r>
    </w:p>
    <w:p>
      <w:pPr>
        <w:spacing w:after="0" w:line="101" w:lineRule="exact"/>
        <w:rPr>
          <w:rFonts w:ascii="Times New Roman" w:cs="Times New Roman" w:eastAsia="Times New Roman" w:hAnsi="Times New Roman"/>
          <w:sz w:val="14"/>
          <w:szCs w:val="14"/>
          <w:color w:val="auto"/>
        </w:rPr>
      </w:pPr>
    </w:p>
    <w:p>
      <w:pPr>
        <w:ind w:left="2220" w:right="57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political and other risks associated with our international business opportunities could adversely affect our revenues and international growth prospects.</w:t>
      </w:r>
    </w:p>
    <w:p>
      <w:pPr>
        <w:spacing w:after="0" w:line="51" w:lineRule="exact"/>
        <w:rPr>
          <w:rFonts w:ascii="Times New Roman" w:cs="Times New Roman" w:eastAsia="Times New Roman" w:hAnsi="Times New Roman"/>
          <w:sz w:val="14"/>
          <w:szCs w:val="14"/>
          <w:color w:val="auto"/>
        </w:rPr>
      </w:pPr>
    </w:p>
    <w:p>
      <w:pPr>
        <w:ind w:left="2220" w:right="59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effectively develop and expand our marketing and sales capabilities could harm our ability to increase our customer base and achieve broader market acceptance of our platform and products.</w:t>
      </w:r>
    </w:p>
    <w:p>
      <w:pPr>
        <w:spacing w:after="0" w:line="51" w:lineRule="exact"/>
        <w:rPr>
          <w:rFonts w:ascii="Times New Roman" w:cs="Times New Roman" w:eastAsia="Times New Roman" w:hAnsi="Times New Roman"/>
          <w:sz w:val="14"/>
          <w:szCs w:val="14"/>
          <w:color w:val="auto"/>
        </w:rPr>
      </w:pPr>
    </w:p>
    <w:p>
      <w:pPr>
        <w:ind w:left="2220" w:right="43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timely supply of materials sourced from a limited number of suppliers, and are directly impacted by unexpected delays or problems from our third-party manufacturers.</w:t>
      </w:r>
    </w:p>
    <w:p>
      <w:pPr>
        <w:spacing w:after="0" w:line="51" w:lineRule="exact"/>
        <w:rPr>
          <w:rFonts w:ascii="Times New Roman" w:cs="Times New Roman" w:eastAsia="Times New Roman" w:hAnsi="Times New Roman"/>
          <w:sz w:val="14"/>
          <w:szCs w:val="14"/>
          <w:color w:val="auto"/>
        </w:rPr>
      </w:pPr>
    </w:p>
    <w:p>
      <w:pPr>
        <w:ind w:left="2220" w:right="53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improve and enhance the functionality, performance, reliability, design, security and scalability of our platform and products and to innovate and introduce new solutions in a manner that responds to our customers’ evolving needs, our business may be adversely affected.</w:t>
      </w:r>
    </w:p>
    <w:p>
      <w:pPr>
        <w:spacing w:after="0" w:line="61" w:lineRule="exact"/>
        <w:rPr>
          <w:rFonts w:ascii="Times New Roman" w:cs="Times New Roman" w:eastAsia="Times New Roman" w:hAnsi="Times New Roman"/>
          <w:sz w:val="14"/>
          <w:szCs w:val="14"/>
          <w:color w:val="auto"/>
        </w:rPr>
      </w:pPr>
    </w:p>
    <w:p>
      <w:pPr>
        <w:ind w:left="2220" w:right="79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maintain high levels of service and customer satisfaction or adequately address competitive challenges.</w:t>
      </w:r>
    </w:p>
    <w:p>
      <w:pPr>
        <w:spacing w:after="0" w:line="51" w:lineRule="exact"/>
        <w:rPr>
          <w:rFonts w:ascii="Times New Roman" w:cs="Times New Roman" w:eastAsia="Times New Roman" w:hAnsi="Times New Roman"/>
          <w:sz w:val="14"/>
          <w:szCs w:val="14"/>
          <w:color w:val="auto"/>
        </w:rPr>
      </w:pPr>
    </w:p>
    <w:p>
      <w:pPr>
        <w:ind w:left="2220" w:right="63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6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reduce or change our pricing model to remain competitive.</w:t>
      </w:r>
    </w:p>
    <w:p>
      <w:pPr>
        <w:spacing w:after="0" w:line="10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adapt and respond effectively to rapidly changing technology, evolving industry standards, and changing customer needs or preferences, our platform and products may become less competitive.</w:t>
      </w:r>
    </w:p>
    <w:p>
      <w:pPr>
        <w:spacing w:after="0" w:line="51" w:lineRule="exact"/>
        <w:rPr>
          <w:rFonts w:ascii="Times New Roman" w:cs="Times New Roman" w:eastAsia="Times New Roman" w:hAnsi="Times New Roman"/>
          <w:sz w:val="14"/>
          <w:szCs w:val="14"/>
          <w:color w:val="auto"/>
        </w:rPr>
      </w:pPr>
    </w:p>
    <w:p>
      <w:pPr>
        <w:ind w:left="2220" w:right="71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senior management team and the loss of one or more key employees or an inability to attract and retain highly skilled employees may adversely affect our business.</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40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72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3380" cy="4772025"/>
                    </a:xfrm>
                    <a:prstGeom prst="rect">
                      <a:avLst/>
                    </a:prstGeom>
                    <a:noFill/>
                  </pic:spPr>
                </pic:pic>
              </a:graphicData>
            </a:graphic>
          </wp:anchor>
        </w:drawing>
      </w:r>
    </w:p>
    <w:p>
      <w:pPr>
        <w:spacing w:after="0" w:line="368" w:lineRule="exact"/>
        <w:rPr>
          <w:sz w:val="20"/>
          <w:szCs w:val="20"/>
          <w:color w:val="auto"/>
        </w:rPr>
      </w:pPr>
    </w:p>
    <w:p>
      <w:pPr>
        <w:ind w:left="2220" w:right="65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software or hardware contains serious errors or defects, we may lose revenue and market acceptance and may incur costs to defend or settle claims with our customers.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third parties.</w:t>
      </w:r>
    </w:p>
    <w:p>
      <w:pPr>
        <w:spacing w:after="0" w:line="101" w:lineRule="exact"/>
        <w:rPr>
          <w:rFonts w:ascii="Times New Roman" w:cs="Times New Roman" w:eastAsia="Times New Roman" w:hAnsi="Times New Roman"/>
          <w:sz w:val="14"/>
          <w:szCs w:val="14"/>
          <w:color w:val="auto"/>
        </w:rPr>
      </w:pPr>
    </w:p>
    <w:p>
      <w:pPr>
        <w:jc w:val="both"/>
        <w:ind w:left="2220" w:right="599" w:hanging="313"/>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w:t>
      </w:r>
    </w:p>
    <w:p>
      <w:pPr>
        <w:spacing w:after="0" w:line="93" w:lineRule="exact"/>
        <w:rPr>
          <w:sz w:val="20"/>
          <w:szCs w:val="20"/>
          <w:color w:val="auto"/>
        </w:rPr>
      </w:pPr>
    </w:p>
    <w:p>
      <w:pPr>
        <w:ind w:left="1500" w:right="539"/>
        <w:spacing w:after="0" w:line="267" w:lineRule="auto"/>
        <w:rPr>
          <w:sz w:val="20"/>
          <w:szCs w:val="20"/>
          <w:color w:val="auto"/>
        </w:rPr>
      </w:pPr>
      <w:r>
        <w:rPr>
          <w:rFonts w:ascii="Times New Roman" w:cs="Times New Roman" w:eastAsia="Times New Roman" w:hAnsi="Times New Roman"/>
          <w:sz w:val="14"/>
          <w:szCs w:val="14"/>
          <w:color w:val="auto"/>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spacing w:after="0" w:line="62" w:lineRule="exact"/>
        <w:rPr>
          <w:sz w:val="20"/>
          <w:szCs w:val="20"/>
          <w:color w:val="auto"/>
        </w:rPr>
      </w:pPr>
    </w:p>
    <w:p>
      <w:pPr>
        <w:ind w:left="2220" w:right="699" w:hanging="313"/>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to present only two years of audited financial statements and only two years of related “Management’s Discussion and Analysis of Financial Condition and Results of Operations” in this prospectus;</w:t>
      </w:r>
    </w:p>
    <w:p>
      <w:pPr>
        <w:spacing w:after="0" w:line="51" w:lineRule="exact"/>
        <w:rPr>
          <w:rFonts w:ascii="Times New Roman" w:cs="Times New Roman" w:eastAsia="Times New Roman" w:hAnsi="Times New Roman"/>
          <w:sz w:val="14"/>
          <w:szCs w:val="14"/>
          <w:color w:val="auto"/>
        </w:rPr>
      </w:pPr>
    </w:p>
    <w:p>
      <w:pPr>
        <w:ind w:left="2220" w:right="399" w:hanging="313"/>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of Section 404 of the Sarbanes- Oxley Act of 2002, as amended (the “Sarbanes-Oxley Act”);</w:t>
      </w:r>
    </w:p>
    <w:p>
      <w:pPr>
        <w:spacing w:after="0" w:line="51" w:lineRule="exact"/>
        <w:rPr>
          <w:rFonts w:ascii="Times New Roman" w:cs="Times New Roman" w:eastAsia="Times New Roman" w:hAnsi="Times New Roman"/>
          <w:sz w:val="14"/>
          <w:szCs w:val="14"/>
          <w:color w:val="auto"/>
        </w:rPr>
      </w:pPr>
    </w:p>
    <w:p>
      <w:pPr>
        <w:ind w:left="2220" w:right="539" w:hanging="313"/>
        <w:spacing w:after="0" w:line="267"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61" w:lineRule="exact"/>
        <w:rPr>
          <w:rFonts w:ascii="Times New Roman" w:cs="Times New Roman" w:eastAsia="Times New Roman" w:hAnsi="Times New Roman"/>
          <w:sz w:val="14"/>
          <w:szCs w:val="14"/>
          <w:color w:val="auto"/>
        </w:rPr>
      </w:pPr>
    </w:p>
    <w:p>
      <w:pPr>
        <w:ind w:left="2220" w:right="399" w:hanging="313"/>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proxy statements and registration statements; and</w:t>
      </w:r>
    </w:p>
    <w:p>
      <w:pPr>
        <w:spacing w:after="0" w:line="51" w:lineRule="exact"/>
        <w:rPr>
          <w:rFonts w:ascii="Times New Roman" w:cs="Times New Roman" w:eastAsia="Times New Roman" w:hAnsi="Times New Roman"/>
          <w:sz w:val="14"/>
          <w:szCs w:val="14"/>
          <w:color w:val="auto"/>
        </w:rPr>
      </w:pPr>
    </w:p>
    <w:p>
      <w:pPr>
        <w:ind w:left="2220" w:right="459" w:hanging="313"/>
        <w:spacing w:after="0" w:line="267"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spacing w:after="0" w:line="136" w:lineRule="exact"/>
        <w:rPr>
          <w:sz w:val="20"/>
          <w:szCs w:val="20"/>
          <w:color w:val="auto"/>
        </w:rPr>
      </w:pPr>
    </w:p>
    <w:p>
      <w:pPr>
        <w:ind w:left="1500" w:right="399"/>
        <w:spacing w:after="0" w:line="275" w:lineRule="auto"/>
        <w:rPr>
          <w:sz w:val="20"/>
          <w:szCs w:val="20"/>
          <w:color w:val="auto"/>
        </w:rPr>
      </w:pPr>
      <w:r>
        <w:rPr>
          <w:rFonts w:ascii="Times New Roman" w:cs="Times New Roman" w:eastAsia="Times New Roman" w:hAnsi="Times New Roman"/>
          <w:sz w:val="13"/>
          <w:szCs w:val="13"/>
          <w:color w:val="auto"/>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w:t>
      </w:r>
    </w:p>
    <w:p>
      <w:pPr>
        <w:spacing w:after="0" w:line="2" w:lineRule="exact"/>
        <w:rPr>
          <w:sz w:val="20"/>
          <w:szCs w:val="20"/>
          <w:color w:val="auto"/>
        </w:rPr>
      </w:pPr>
    </w:p>
    <w:p>
      <w:pPr>
        <w:jc w:val="both"/>
        <w:ind w:left="1500" w:right="459" w:hanging="3"/>
        <w:spacing w:after="0" w:line="256" w:lineRule="auto"/>
        <w:tabs>
          <w:tab w:leader="none" w:pos="169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43" w:lineRule="exact"/>
        <w:rPr>
          <w:sz w:val="20"/>
          <w:szCs w:val="20"/>
          <w:color w:val="auto"/>
        </w:rPr>
      </w:pPr>
    </w:p>
    <w:p>
      <w:pPr>
        <w:ind w:left="1500" w:right="599"/>
        <w:spacing w:after="0" w:line="267" w:lineRule="auto"/>
        <w:rPr>
          <w:sz w:val="20"/>
          <w:szCs w:val="20"/>
          <w:color w:val="auto"/>
        </w:rPr>
      </w:pPr>
      <w:r>
        <w:rPr>
          <w:rFonts w:ascii="Times New Roman" w:cs="Times New Roman" w:eastAsia="Times New Roman" w:hAnsi="Times New Roman"/>
          <w:sz w:val="14"/>
          <w:szCs w:val="14"/>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36" w:lineRule="exact"/>
        <w:rPr>
          <w:sz w:val="20"/>
          <w:szCs w:val="20"/>
          <w:color w:val="auto"/>
        </w:rPr>
      </w:pPr>
    </w:p>
    <w:p>
      <w:pPr>
        <w:ind w:left="1500" w:right="439"/>
        <w:spacing w:after="0" w:line="283"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We have elected to use the extended</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407"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1474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3380" cy="1147445"/>
                    </a:xfrm>
                    <a:prstGeom prst="rect">
                      <a:avLst/>
                    </a:prstGeom>
                    <a:noFill/>
                  </pic:spPr>
                </pic:pic>
              </a:graphicData>
            </a:graphic>
          </wp:anchor>
        </w:drawing>
      </w:r>
    </w:p>
    <w:p>
      <w:pPr>
        <w:spacing w:after="0" w:line="368" w:lineRule="exact"/>
        <w:rPr>
          <w:sz w:val="20"/>
          <w:szCs w:val="20"/>
          <w:color w:val="auto"/>
        </w:rPr>
      </w:pPr>
    </w:p>
    <w:p>
      <w:pPr>
        <w:ind w:left="1500" w:right="939"/>
        <w:spacing w:after="0" w:line="283" w:lineRule="auto"/>
        <w:rPr>
          <w:sz w:val="20"/>
          <w:szCs w:val="20"/>
          <w:color w:val="auto"/>
        </w:rPr>
      </w:pPr>
      <w:r>
        <w:rPr>
          <w:rFonts w:ascii="Times New Roman" w:cs="Times New Roman" w:eastAsia="Times New Roman" w:hAnsi="Times New Roman"/>
          <w:sz w:val="14"/>
          <w:szCs w:val="14"/>
          <w:color w:val="auto"/>
        </w:rPr>
        <w:t>transition period for complying with new or revised accounting standards. As a result of this election, our financial statements may not be comparable to companies that comply with public company effective dates.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500" w:right="439"/>
        <w:spacing w:after="0" w:line="261" w:lineRule="auto"/>
        <w:rPr>
          <w:sz w:val="20"/>
          <w:szCs w:val="20"/>
          <w:color w:val="auto"/>
        </w:rPr>
      </w:pPr>
      <w:r>
        <w:rPr>
          <w:rFonts w:ascii="Times New Roman" w:cs="Times New Roman" w:eastAsia="Times New Roman" w:hAnsi="Times New Roman"/>
          <w:sz w:val="14"/>
          <w:szCs w:val="14"/>
          <w:color w:val="auto"/>
        </w:rPr>
        <w:t>Our Common Stock is listed on Nasdaq under the symbol “BZAI.” Our principal executive offices are located at 4659 Golden Foothill Parkway in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40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92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3380" cy="4692015"/>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Summary Financial Data</w:t>
      </w:r>
    </w:p>
    <w:p>
      <w:pPr>
        <w:spacing w:after="0" w:line="177" w:lineRule="exact"/>
        <w:rPr>
          <w:sz w:val="20"/>
          <w:szCs w:val="20"/>
          <w:color w:val="auto"/>
        </w:rPr>
      </w:pPr>
    </w:p>
    <w:p>
      <w:pPr>
        <w:ind w:left="1500" w:right="379"/>
        <w:spacing w:after="0" w:line="254" w:lineRule="auto"/>
        <w:rPr>
          <w:sz w:val="20"/>
          <w:szCs w:val="20"/>
          <w:color w:val="auto"/>
        </w:rPr>
      </w:pPr>
      <w:r>
        <w:rPr>
          <w:rFonts w:ascii="Times New Roman" w:cs="Times New Roman" w:eastAsia="Times New Roman" w:hAnsi="Times New Roman"/>
          <w:sz w:val="14"/>
          <w:szCs w:val="14"/>
          <w:color w:val="auto"/>
        </w:rPr>
        <w:t>The following tables set forth a summary of our historical financial data as of, and for the periods ended on, the dates indicated. We have derived the summary statements of operations and comprehensive loss data for the years ended December 21, 2024 and 2023 from our audited consolidated financial statements included elsewhere in this prospectus. We have derived the summary statements of operations for the three and nine months ended September 30, 2025 and 2024 and the summary balance sheet data as of September 30, 2025 from our unaudited condensed financial statements contained included elsewhere in this prospectus. The unaudited condensed financial statements have been prepared on a basis consistent with our audited consolidated financial statements and, in the opinion of management, reflect all adjustments, consisting only of normal recurring adjustments, necessary to fairly state the financial information in those statements. You should read these data together with our financial statements and related notes thereto and the section titled “Management’s Discussion and Analysis of Financial Condition and Results of Operations,” included elsewhere in this prospectus. Our historical results for any prior period are not necessarily indicative of our future results, and our interim results are not necessarily indicative of our expected results for the year ended December 31, 2025.</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800" w:type="dxa"/>
            <w:vAlign w:val="bottom"/>
          </w:tcPr>
          <w:p>
            <w:pPr>
              <w:spacing w:after="0"/>
              <w:rPr>
                <w:sz w:val="11"/>
                <w:szCs w:val="11"/>
                <w:color w:val="auto"/>
              </w:rPr>
            </w:pPr>
          </w:p>
        </w:tc>
        <w:tc>
          <w:tcPr>
            <w:tcW w:w="500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 and per share amounts)</w:t>
            </w:r>
          </w:p>
        </w:tc>
        <w:tc>
          <w:tcPr>
            <w:tcW w:w="60" w:type="dxa"/>
            <w:vAlign w:val="bottom"/>
          </w:tcPr>
          <w:p>
            <w:pPr>
              <w:spacing w:after="0"/>
              <w:rPr>
                <w:sz w:val="11"/>
                <w:szCs w:val="11"/>
                <w:color w:val="auto"/>
              </w:rPr>
            </w:pPr>
          </w:p>
        </w:tc>
        <w:tc>
          <w:tcPr>
            <w:tcW w:w="2720" w:type="dxa"/>
            <w:vAlign w:val="bottom"/>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800" w:type="dxa"/>
            <w:vAlign w:val="bottom"/>
          </w:tcPr>
          <w:p>
            <w:pPr>
              <w:spacing w:after="0"/>
              <w:rPr>
                <w:sz w:val="9"/>
                <w:szCs w:val="9"/>
                <w:color w:val="auto"/>
              </w:rPr>
            </w:pPr>
          </w:p>
        </w:tc>
        <w:tc>
          <w:tcPr>
            <w:tcW w:w="5000" w:type="dxa"/>
            <w:vAlign w:val="bottom"/>
            <w:tcBorders>
              <w:bottom w:val="single" w:sz="8" w:color="CCEEFF"/>
            </w:tcBorders>
            <w:vMerge w:val="continue"/>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31"/>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00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Revenue:</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Engineering services revenue – related party</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3,840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Hardware revenue</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5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3,656</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25,094</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18,115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22,413</w:t>
            </w: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17,303</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2,040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Loss on purchase commitments</w:t>
            </w:r>
          </w:p>
        </w:tc>
        <w:tc>
          <w:tcPr>
            <w:tcW w:w="6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Total costs and expenses</w:t>
            </w:r>
          </w:p>
        </w:tc>
        <w:tc>
          <w:tcPr>
            <w:tcW w:w="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49,189</w:t>
            </w: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42,384</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(47,635)</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(expenses), net: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financing charge</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Debt financing charge on convertible notes</w:t>
            </w:r>
          </w:p>
        </w:tc>
        <w:tc>
          <w:tcPr>
            <w:tcW w:w="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1,903</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foreign exchange transactions</w:t>
            </w:r>
          </w:p>
        </w:tc>
        <w:tc>
          <w:tcPr>
            <w:tcW w:w="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(10,022)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(5,701)</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(14,512)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(49,659)</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6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(62,147)</w:t>
            </w: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(88,187)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(952)</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(61,195</w:t>
            </w:r>
          </w:p>
        </w:tc>
        <w:tc>
          <w:tcPr>
            <w:tcW w:w="540" w:type="dxa"/>
            <w:vAlign w:val="bottom"/>
          </w:tcPr>
          <w:p>
            <w:pPr>
              <w:jc w:val="right"/>
              <w:ind w:right="4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(87,589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0" w:type="dxa"/>
            <w:vAlign w:val="bottom"/>
          </w:tcPr>
          <w:p>
            <w:pPr>
              <w:spacing w:after="0"/>
              <w:rPr>
                <w:sz w:val="13"/>
                <w:szCs w:val="13"/>
                <w:color w:val="auto"/>
              </w:rPr>
            </w:pPr>
          </w:p>
        </w:tc>
        <w:tc>
          <w:tcPr>
            <w:tcW w:w="50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460"/>
              <w:spacing w:after="0" w:line="150" w:lineRule="exact"/>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(20.79)</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50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stockholders, basic and diluted</w:t>
            </w:r>
          </w:p>
        </w:tc>
        <w:tc>
          <w:tcPr>
            <w:tcW w:w="6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w w:val="98"/>
              </w:rPr>
              <w:t>17,476,105</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4,213,244</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80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5800" w:type="dxa"/>
            <w:vAlign w:val="bottom"/>
            <w:gridSpan w:val="2"/>
          </w:tcPr>
          <w:p>
            <w:pPr>
              <w:jc w:val="right"/>
              <w:ind w:right="1410"/>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70" w:type="dxa"/>
        <w:tblCellMar>
          <w:top w:w="0" w:type="dxa"/>
          <w:left w:w="0" w:type="dxa"/>
          <w:bottom w:w="0" w:type="dxa"/>
          <w:right w:w="0" w:type="dxa"/>
        </w:tblCellMar>
      </w:tblPr>
      <w:tr>
        <w:trPr>
          <w:trHeight w:val="238"/>
        </w:trPr>
        <w:tc>
          <w:tcPr>
            <w:tcW w:w="480" w:type="dxa"/>
            <w:vAlign w:val="bottom"/>
            <w:tcBorders>
              <w:top w:val="single" w:sz="8" w:color="auto"/>
              <w:left w:val="single" w:sz="8" w:color="auto"/>
            </w:tcBorders>
          </w:tcPr>
          <w:p>
            <w:pPr>
              <w:spacing w:after="0"/>
              <w:rPr>
                <w:sz w:val="20"/>
                <w:szCs w:val="20"/>
                <w:color w:val="auto"/>
              </w:rPr>
            </w:pPr>
          </w:p>
        </w:tc>
        <w:tc>
          <w:tcPr>
            <w:tcW w:w="30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6"/>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4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1"/>
                <w:szCs w:val="11"/>
                <w:i w:val="1"/>
                <w:iCs w:val="1"/>
                <w:color w:val="auto"/>
              </w:rPr>
              <w:t>(Amounts in thousands, except shares and per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gridSpan w:val="6"/>
          </w:tcPr>
          <w:p>
            <w:pPr>
              <w:jc w:val="right"/>
              <w:ind w:right="79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4"/>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540" w:type="dxa"/>
            <w:vAlign w:val="bottom"/>
            <w:tcBorders>
              <w:lef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tcBorders>
            <w:gridSpan w:val="2"/>
          </w:tcPr>
          <w:p>
            <w:pPr>
              <w:ind w:left="480"/>
              <w:spacing w:after="0"/>
              <w:rPr>
                <w:sz w:val="20"/>
                <w:szCs w:val="20"/>
                <w:color w:val="auto"/>
              </w:rPr>
            </w:pPr>
            <w:r>
              <w:rPr>
                <w:rFonts w:ascii="Times New Roman" w:cs="Times New Roman" w:eastAsia="Times New Roman" w:hAnsi="Times New Roman"/>
                <w:sz w:val="11"/>
                <w:szCs w:val="11"/>
                <w:i w:val="1"/>
                <w:iCs w:val="1"/>
                <w:color w:val="auto"/>
              </w:rPr>
              <w:t>share amounts)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Borders>
              <w:left w:val="single" w:sz="8" w:color="auto"/>
            </w:tcBorders>
          </w:tcPr>
          <w:p>
            <w:pPr>
              <w:spacing w:after="0"/>
              <w:rPr>
                <w:sz w:val="12"/>
                <w:szCs w:val="12"/>
                <w:color w:val="auto"/>
              </w:rPr>
            </w:pPr>
          </w:p>
        </w:tc>
        <w:tc>
          <w:tcPr>
            <w:tcW w:w="30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Hardware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240" w:type="dxa"/>
            <w:vAlign w:val="bottom"/>
          </w:tcPr>
          <w:p>
            <w:pPr>
              <w:spacing w:after="0"/>
              <w:rPr>
                <w:sz w:val="14"/>
                <w:szCs w:val="14"/>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revenue</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Hardware revenue – related party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revenue – related party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478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Engineering services revenue – related party</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14,856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32,407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15,765</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40,207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14,538</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 related party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455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1,011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12,043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40" w:type="dxa"/>
            <w:vAlign w:val="bottom"/>
            <w:tcBorders>
              <w:left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31,154</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(22,585)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(11,368)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(82,489)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(30,640)</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financing charge on convertible notes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Gain (loss) on foreign exchange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(15,398)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(165,703)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(25,921)</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(60,345)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other earnout shares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(3,798)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80" w:type="dxa"/>
            <w:vAlign w:val="bottom"/>
            <w:tcBorders>
              <w:left w:val="single" w:sz="8" w:color="auto"/>
            </w:tcBorders>
          </w:tcPr>
          <w:p>
            <w:pPr>
              <w:spacing w:after="0"/>
              <w:rPr>
                <w:sz w:val="13"/>
                <w:szCs w:val="13"/>
                <w:color w:val="auto"/>
              </w:rPr>
            </w:pPr>
          </w:p>
        </w:tc>
        <w:tc>
          <w:tcPr>
            <w:tcW w:w="30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Change in fair value of unissued shares of common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(244)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right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committed equity facility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149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left w:val="single" w:sz="8" w:color="auto"/>
            </w:tcBorders>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0" w:type="dxa"/>
            <w:vAlign w:val="bottom"/>
            <w:tcBorders>
              <w:left w:val="single" w:sz="8" w:color="auto"/>
            </w:tcBorders>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(3,652)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(14,184)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(120,897)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(23,515)</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Borders>
              <w:left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(203,386)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(54,155)</w:t>
            </w:r>
          </w:p>
        </w:tc>
        <w:tc>
          <w:tcPr>
            <w:tcW w:w="8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0" w:type="dxa"/>
            <w:vAlign w:val="bottom"/>
            <w:tcBorders>
              <w:left w:val="single" w:sz="8" w:color="auto"/>
            </w:tcBorders>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222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tcBorders>
              <w:left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(26,258)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(25,607</w:t>
            </w: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(203,608</w:t>
            </w:r>
          </w:p>
        </w:tc>
        <w:tc>
          <w:tcPr>
            <w:tcW w:w="2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(54,503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80" w:type="dxa"/>
            <w:vAlign w:val="bottom"/>
            <w:tcBorders>
              <w:left w:val="single" w:sz="8" w:color="auto"/>
            </w:tcBorders>
          </w:tcPr>
          <w:p>
            <w:pPr>
              <w:spacing w:after="0"/>
              <w:rPr>
                <w:sz w:val="13"/>
                <w:szCs w:val="13"/>
                <w:color w:val="auto"/>
              </w:rPr>
            </w:pPr>
          </w:p>
        </w:tc>
        <w:tc>
          <w:tcPr>
            <w:tcW w:w="30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Net loss per share – basic and diluted</w:t>
            </w:r>
          </w:p>
        </w:tc>
        <w:tc>
          <w:tcPr>
            <w:tcW w:w="2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50" w:lineRule="exact"/>
              <w:rPr>
                <w:sz w:val="20"/>
                <w:szCs w:val="20"/>
                <w:color w:val="auto"/>
              </w:rPr>
            </w:pPr>
            <w:r>
              <w:rPr>
                <w:rFonts w:ascii="Times New Roman" w:cs="Times New Roman" w:eastAsia="Times New Roman" w:hAnsi="Times New Roman"/>
                <w:sz w:val="14"/>
                <w:szCs w:val="14"/>
                <w:color w:val="auto"/>
              </w:rPr>
              <w:t>(0.25)</w:t>
            </w:r>
          </w:p>
        </w:tc>
        <w:tc>
          <w:tcPr>
            <w:tcW w:w="28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10"/>
              <w:spacing w:after="0" w:line="150" w:lineRule="exact"/>
              <w:rPr>
                <w:sz w:val="20"/>
                <w:szCs w:val="20"/>
                <w:color w:val="auto"/>
              </w:rPr>
            </w:pPr>
            <w:r>
              <w:rPr>
                <w:rFonts w:ascii="Times New Roman" w:cs="Times New Roman" w:eastAsia="Times New Roman" w:hAnsi="Times New Roman"/>
                <w:sz w:val="14"/>
                <w:szCs w:val="14"/>
                <w:color w:val="auto"/>
              </w:rPr>
              <w:t>(1.47)</w:t>
            </w:r>
          </w:p>
        </w:tc>
        <w:tc>
          <w:tcPr>
            <w:tcW w:w="28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10"/>
              <w:spacing w:after="0" w:line="150" w:lineRule="exact"/>
              <w:rPr>
                <w:sz w:val="20"/>
                <w:szCs w:val="20"/>
                <w:color w:val="auto"/>
              </w:rPr>
            </w:pPr>
            <w:r>
              <w:rPr>
                <w:rFonts w:ascii="Times New Roman" w:cs="Times New Roman" w:eastAsia="Times New Roman" w:hAnsi="Times New Roman"/>
                <w:sz w:val="14"/>
                <w:szCs w:val="14"/>
                <w:color w:val="auto"/>
              </w:rPr>
              <w:t>(2.03)</w:t>
            </w:r>
          </w:p>
        </w:tc>
        <w:tc>
          <w:tcPr>
            <w:tcW w:w="440" w:type="dxa"/>
            <w:vAlign w:val="bottom"/>
            <w:gridSpan w:val="2"/>
            <w:shd w:val="clear" w:color="auto" w:fill="CCEEFF"/>
          </w:tcPr>
          <w:p>
            <w:pPr>
              <w:jc w:val="right"/>
              <w:ind w:right="90"/>
              <w:spacing w:after="0" w:line="150"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(3.12)</w:t>
            </w:r>
          </w:p>
        </w:tc>
        <w:tc>
          <w:tcPr>
            <w:tcW w:w="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Borders>
              <w:lef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Weighted average shares outstanding – basic and</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540" w:type="dxa"/>
            <w:vAlign w:val="bottom"/>
            <w:tcBorders>
              <w:left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103,585,681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17,478,371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100,130,737</w:t>
            </w:r>
          </w:p>
        </w:tc>
        <w:tc>
          <w:tcPr>
            <w:tcW w:w="24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17,466,606</w:t>
            </w:r>
          </w:p>
        </w:tc>
        <w:tc>
          <w:tcPr>
            <w:tcW w:w="8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80" w:type="dxa"/>
            <w:vAlign w:val="bottom"/>
            <w:tcBorders>
              <w:left w:val="single" w:sz="8" w:color="auto"/>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70" w:type="dxa"/>
        <w:tblCellMar>
          <w:top w:w="0" w:type="dxa"/>
          <w:left w:w="0" w:type="dxa"/>
          <w:bottom w:w="0" w:type="dxa"/>
          <w:right w:w="0" w:type="dxa"/>
        </w:tblCellMar>
      </w:tblPr>
      <w:tr>
        <w:trPr>
          <w:trHeight w:val="238"/>
        </w:trPr>
        <w:tc>
          <w:tcPr>
            <w:tcW w:w="800" w:type="dxa"/>
            <w:vAlign w:val="bottom"/>
            <w:tcBorders>
              <w:top w:val="single" w:sz="8" w:color="auto"/>
              <w:left w:val="single" w:sz="8" w:color="auto"/>
            </w:tcBorders>
          </w:tcPr>
          <w:p>
            <w:pPr>
              <w:spacing w:after="0"/>
              <w:rPr>
                <w:sz w:val="20"/>
                <w:szCs w:val="20"/>
                <w:color w:val="auto"/>
              </w:rPr>
            </w:pPr>
          </w:p>
        </w:tc>
        <w:tc>
          <w:tcPr>
            <w:tcW w:w="49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35"/>
        </w:trPr>
        <w:tc>
          <w:tcPr>
            <w:tcW w:w="800" w:type="dxa"/>
            <w:vAlign w:val="bottom"/>
            <w:tcBorders>
              <w:left w:val="single" w:sz="8" w:color="auto"/>
            </w:tcBorders>
          </w:tcPr>
          <w:p>
            <w:pPr>
              <w:spacing w:after="0"/>
              <w:rPr>
                <w:sz w:val="11"/>
                <w:szCs w:val="11"/>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 and per share amounts)</w:t>
            </w:r>
          </w:p>
        </w:tc>
        <w:tc>
          <w:tcPr>
            <w:tcW w:w="12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5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800" w:type="dxa"/>
            <w:vAlign w:val="bottom"/>
            <w:tcBorders>
              <w:left w:val="single" w:sz="8" w:color="auto"/>
            </w:tcBorders>
          </w:tcPr>
          <w:p>
            <w:pPr>
              <w:spacing w:after="0"/>
              <w:rPr>
                <w:sz w:val="9"/>
                <w:szCs w:val="9"/>
                <w:color w:val="auto"/>
              </w:rPr>
            </w:pPr>
          </w:p>
        </w:tc>
        <w:tc>
          <w:tcPr>
            <w:tcW w:w="4960" w:type="dxa"/>
            <w:vAlign w:val="bottom"/>
            <w:tcBorders>
              <w:bottom w:val="single" w:sz="8" w:color="CCEEFF"/>
            </w:tcBorders>
            <w:vMerge w:val="continue"/>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ind w:right="1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CCEEFF"/>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ind w:right="15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800" w:type="dxa"/>
            <w:vAlign w:val="bottom"/>
            <w:tcBorders>
              <w:left w:val="single" w:sz="8" w:color="auto"/>
            </w:tcBorders>
          </w:tcPr>
          <w:p>
            <w:pPr>
              <w:spacing w:after="0"/>
              <w:rPr>
                <w:sz w:val="12"/>
                <w:szCs w:val="12"/>
                <w:color w:val="auto"/>
              </w:rPr>
            </w:pPr>
          </w:p>
        </w:tc>
        <w:tc>
          <w:tcPr>
            <w:tcW w:w="49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24,001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50,237</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10,218</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related party, net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3,363</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8,782</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8,561</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8,418</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14,837</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5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73,690</w:t>
            </w: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2,081</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2,363</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2,157</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1,692</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1,773</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60,904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80,516</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00" w:type="dxa"/>
            <w:vAlign w:val="bottom"/>
            <w:tcBorders>
              <w:left w:val="single" w:sz="8" w:color="auto"/>
            </w:tcBorders>
          </w:tcPr>
          <w:p>
            <w:pPr>
              <w:spacing w:after="0"/>
              <w:rPr>
                <w:sz w:val="13"/>
                <w:szCs w:val="13"/>
                <w:color w:val="auto"/>
              </w:rPr>
            </w:pPr>
          </w:p>
        </w:tc>
        <w:tc>
          <w:tcPr>
            <w:tcW w:w="4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15,112</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7,904</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10,537</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11,996</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 related party</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loss on purchase commitments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603</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2,610</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1,613</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payable</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2,518</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2,109</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578</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 loan – related party</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Advances from related party</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2,857</w:t>
            </w: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14,711</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148,629</w:t>
            </w: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36,797</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188,143</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1,166</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earnout shares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20,561</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59,598</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190,979</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0" w:type="dxa"/>
            <w:vAlign w:val="bottom"/>
            <w:tcBorders>
              <w:left w:val="single" w:sz="8" w:color="auto"/>
            </w:tcBorders>
          </w:tcPr>
          <w:p>
            <w:pPr>
              <w:spacing w:after="0"/>
              <w:rPr>
                <w:sz w:val="13"/>
                <w:szCs w:val="13"/>
                <w:color w:val="auto"/>
              </w:rPr>
            </w:pPr>
          </w:p>
        </w:tc>
        <w:tc>
          <w:tcPr>
            <w:tcW w:w="49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stock – $0.0001 par value; 600,000,000 and 136,562,809 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authorized as of September 30, 2025 and December 31, 2024, respectively,</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106,754,588 and 48,376,052 shares issued and outstanding as of</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Borders>
              <w:left w:val="single" w:sz="8" w:color="auto"/>
            </w:tcBorders>
          </w:tcPr>
          <w:p>
            <w:pPr>
              <w:spacing w:after="0"/>
              <w:rPr>
                <w:sz w:val="15"/>
                <w:szCs w:val="15"/>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12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4"/>
                <w:szCs w:val="14"/>
                <w:color w:val="auto"/>
              </w:rPr>
              <w:t>634,154</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318,783</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(632,859)</w:t>
            </w:r>
          </w:p>
        </w:tc>
        <w:tc>
          <w:tcPr>
            <w:tcW w:w="1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(429,251)</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Borders>
              <w:left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0" w:type="dxa"/>
            <w:vAlign w:val="bottom"/>
            <w:tcBorders>
              <w:left w:val="single" w:sz="8" w:color="auto"/>
            </w:tcBorders>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1,306</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(110,463)</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Borders>
              <w:left w:val="single" w:sz="8" w:color="auto"/>
            </w:tcBorders>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60,904</w:t>
            </w:r>
          </w:p>
        </w:tc>
        <w:tc>
          <w:tcPr>
            <w:tcW w:w="5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80,516</w:t>
            </w: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left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00" w:type="dxa"/>
            <w:vAlign w:val="bottom"/>
            <w:tcBorders>
              <w:left w:val="single" w:sz="8" w:color="auto"/>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5760" w:type="dxa"/>
            <w:vAlign w:val="bottom"/>
            <w:gridSpan w:val="2"/>
          </w:tcPr>
          <w:p>
            <w:pPr>
              <w:jc w:val="right"/>
              <w:ind w:right="137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i w:val="1"/>
          <w:iCs w:val="1"/>
          <w:color w:val="auto"/>
        </w:rPr>
        <w:t>You should carefully consider the risks and uncertainties described below and the other information in this prospectus before making an investment in our Common Stock. Our business, financial condition, results of operations, or prospects could be materially and adversely affected if any of these risks occur, and as a result, the market price of our Common Stock could decline, and you could lose all or part of your investment. This prospectus also contains forward-looking statements that are subject to risks and uncertainties. See “Cautionary Note Regarding Forward-Looking Statements.” Our actual results could differ materially and adversely from those anticipated in these forward-looking statements as a result of certain factors, including those set forth below.</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 by the Selling Securityholders</w:t>
      </w:r>
    </w:p>
    <w:p>
      <w:pPr>
        <w:spacing w:after="0" w:line="91" w:lineRule="exact"/>
        <w:rPr>
          <w:sz w:val="20"/>
          <w:szCs w:val="20"/>
          <w:color w:val="auto"/>
        </w:rPr>
      </w:pPr>
    </w:p>
    <w:p>
      <w:pPr>
        <w:ind w:left="1360" w:right="5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securities in the public market by the Selling Securityholders and/or by our existing securityholders could cause the price of our shares of Common Stock and Warrants to fall.</w:t>
      </w:r>
    </w:p>
    <w:p>
      <w:pPr>
        <w:spacing w:after="0" w:line="39"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Selling Securityholders can sell, under this prospectus, up to 18,750,000 shares of Common Stock constituting approximately 15.6% of our issued and outstanding shares of Common Stock (assuming the exercise of all of the Warrants).</w:t>
      </w:r>
    </w:p>
    <w:p>
      <w:pPr>
        <w:spacing w:after="0" w:line="125"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Sales of a substantial number of our shares of Common Stock in the public market by the Selling Securityholders and/or by our other existing securityholders, or the perception that those sales might occur, could depress the market price of our shares of Common Stock and could impair our ability to raise capital through the sale of additional equity securities. We are unable to predict the effect that such sales may have on the prevailing market price of our shares of Common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91"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independent registered public accounting firm’s report contains an explanatory paragraph that expresses substantial doubt about our ability to continue as a going concern.</w:t>
      </w:r>
    </w:p>
    <w:p>
      <w:pPr>
        <w:spacing w:after="0" w:line="39"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Our independent registered public accounting firm has included in its report for the year ended December 31, 2024 an explanatory paragraph expressing substantial doubt about our ability to continue as a going concern. Our consolidated financial statements have been prepared on a going concern basis as we have incurred recurring operating losses and negative cash flows from operations, have an accumulated deficit, and have historically relied on cash proceeds from financing activities to fund operations. These conditions raise substantial doubt about our ability to continue as a going concern. 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In order to finance our operations, we will need to raise additional financing. We intend to raise such capital through issuances of additional debt financing and public or private equity offerings or other means. We may not be able to raise such financing on terms acceptable to us or at all. If we are unable to raise additional capital, our business, results of operations and financial condition would be materially and adversely affected. These factors raise substantial doubt about our ability to continue as a going concern. If we cannot continue as a viable entity, this could materially adversely affect the value of our securities.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operating losses, and we may not be able to generate sufficient revenue to achieve and sustain profitability.</w:t>
      </w:r>
    </w:p>
    <w:p>
      <w:pPr>
        <w:spacing w:after="0" w:line="9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We have not yet achieved profitability. During the years ended December 31, 2024 and 2023, we incurred operating losses of $47.6 million and $38.5 million, respectively, and used cash in operating activities of $53.5 million and $28.0 million, respectively. As of December 31, 2024, we had an accumulated deficit of $429.3 million. In recent periods, including in the years ended December 31, 2024 and December 31, 2023, our</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40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revenue growth has been attributed to engineering services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If our revenue declines or fails to grow at a rate faster than these increases in our operating expenses, we will not be able to achieve and maintain profitability in future periods. As a result, we may continue to incur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 Additionally, our partnerships with certain automotive OEMs and Tier-1 suppliers are long-term in nature and we will not receive firm purchase order commitments until we deliver our auto-grade chip.</w:t>
      </w:r>
    </w:p>
    <w:p>
      <w:pPr>
        <w:spacing w:after="0" w:line="232"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depend on a small number of customers, including related parties, for a significant portion of our revenue, and our accounts receivable balances are similarly concentrated.</w:t>
      </w:r>
    </w:p>
    <w:p>
      <w:pPr>
        <w:spacing w:after="0" w:line="39" w:lineRule="exact"/>
        <w:rPr>
          <w:sz w:val="20"/>
          <w:szCs w:val="20"/>
          <w:color w:val="auto"/>
        </w:rPr>
      </w:pPr>
    </w:p>
    <w:p>
      <w:pPr>
        <w:ind w:left="1360" w:right="219"/>
        <w:spacing w:after="0" w:line="252" w:lineRule="auto"/>
        <w:rPr>
          <w:sz w:val="20"/>
          <w:szCs w:val="20"/>
          <w:color w:val="auto"/>
        </w:rPr>
      </w:pPr>
      <w:r>
        <w:rPr>
          <w:rFonts w:ascii="Times New Roman" w:cs="Times New Roman" w:eastAsia="Times New Roman" w:hAnsi="Times New Roman"/>
          <w:sz w:val="14"/>
          <w:szCs w:val="14"/>
          <w:color w:val="auto"/>
        </w:rPr>
        <w:t>A relatively small number of customers account, and have accounted, for a significant portion of our revenue and accounts receivable balance. In the current year, during the three and nine months ended September 30, 2025, two customers, one a related party and one a third-party customer, account for approximately 99% and approximately 90%, respectively, of our revenue, of which approximately 11% and approximately 20%, respectively, is from the related party. As of September 30, 2025, two customers, one a related party and one a third-party customer, comprised approximately 90% of our accounts receivable balance, of which approximately 25% is from the related party. In the prior year during the three months ended September 30, 2024, one customer, a related party, accounted for approximately 97% of our revenue and during the nine months ended September 30, 2024, two customers, both related parties, accounted for approximately 98% of our revenue. As of December 31, 2024, one customer, a third-party customer, accounted for approximately 98% of our accounts receivable balance. This customer concentration exposes us to a material adverse effect if any of these significant customers, for any reason, were to significantly reduce purchases, or favor competitors or new market participants. We can provide no assurance that any of these significant customers, or any of our other customers, will continue to utilize our products or services at current levels. Our customer concentration may also subject us to perceived or actual bargaining leverage that our significant customers may have, given their importance to us. If our significant customers seek to renegotiate their agreements on terms that are less favorable to us, and we accept such unfavorable terms, such unfavorable terms may have a material adverse effect on our business, results of operations and financial condition. Furthermore, industry consolidation and company failures could decrease the number of potential customers for our products and services. A decrease in the number of potential customers will increase our reliance on our current significant customers and, due to their relative importance to us, may further negatively affect our bargaining position with them, and thus our profitability. If we were to lose one or more of our significant customers, or have one or more of our significant customers cancel key programs or otherwise significantly reduce their volumes of business with us, or if one or more of our significant customer were to fail to pay us in full for the goods and services purchased from us, our sales and profitability would be materially reduced and our business and financial condition would be seriously harmed.</w:t>
      </w:r>
    </w:p>
    <w:p>
      <w:pPr>
        <w:spacing w:after="0" w:line="2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recent growth rates may not be indicative of our future growth.</w:t>
      </w:r>
    </w:p>
    <w:p>
      <w:pPr>
        <w:spacing w:after="0" w:line="9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Our prior years’ revenue, including in the years ended December 31, 2024 and December 31, 2023, has largely consisted of engineering services revenue received from our automotive partners. We have developed a customer pipeline in recent years and are commencing the delivery of hardware and software solutions based on our</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407"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production chip that came to market at the end of 2022. This pipeline is expected to convert into revenues from 2026/2027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a customer is ready to deploy AI solutions. Furthermore, we believe our revenue growth depends on a number of factors, including our ability to:</w:t>
      </w:r>
    </w:p>
    <w:p>
      <w:pPr>
        <w:spacing w:after="0" w:line="67" w:lineRule="exact"/>
        <w:rPr>
          <w:sz w:val="20"/>
          <w:szCs w:val="20"/>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eco-system of partners for hardware and software solutions;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retain and increase sales to existing customers;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expand our relationships with our customers;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our existing platform and products, introduce new functionality to our platform and develop new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into new market segments and internationally;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 long-term revenue commitments from automotive Original Equipment Manufacturers (“OEMs”) and Tier-1 suppliers.</w:t>
      </w:r>
    </w:p>
    <w:p>
      <w:pPr>
        <w:spacing w:after="0" w:line="175" w:lineRule="exact"/>
        <w:rPr>
          <w:sz w:val="20"/>
          <w:szCs w:val="20"/>
          <w:color w:val="auto"/>
        </w:rPr>
      </w:pPr>
    </w:p>
    <w:p>
      <w:pPr>
        <w:jc w:val="both"/>
        <w:ind w:left="1360" w:right="239"/>
        <w:spacing w:after="0" w:line="261" w:lineRule="auto"/>
        <w:rPr>
          <w:sz w:val="20"/>
          <w:szCs w:val="20"/>
          <w:color w:val="auto"/>
        </w:rPr>
      </w:pPr>
      <w:r>
        <w:rPr>
          <w:rFonts w:ascii="Times New Roman" w:cs="Times New Roman" w:eastAsia="Times New Roman" w:hAnsi="Times New Roman"/>
          <w:sz w:val="14"/>
          <w:szCs w:val="14"/>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23" w:lineRule="exact"/>
        <w:rPr>
          <w:sz w:val="20"/>
          <w:szCs w:val="20"/>
          <w:color w:val="auto"/>
        </w:rPr>
      </w:pPr>
    </w:p>
    <w:p>
      <w:pPr>
        <w:ind w:left="1360" w:right="8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partnerships with certain automotive OEMs and Tier-1 suppliers are long-term in nature and we will not receive firm purchase order commitments until we deliver our auto-grade chip.</w:t>
      </w:r>
    </w:p>
    <w:p>
      <w:pPr>
        <w:spacing w:after="0" w:line="39" w:lineRule="exact"/>
        <w:rPr>
          <w:sz w:val="20"/>
          <w:szCs w:val="20"/>
          <w:color w:val="auto"/>
        </w:rPr>
      </w:pPr>
    </w:p>
    <w:p>
      <w:pPr>
        <w:ind w:left="1360" w:right="599"/>
        <w:spacing w:after="0" w:line="267" w:lineRule="auto"/>
        <w:rPr>
          <w:sz w:val="20"/>
          <w:szCs w:val="20"/>
          <w:color w:val="auto"/>
        </w:rPr>
      </w:pPr>
      <w:r>
        <w:rPr>
          <w:rFonts w:ascii="Times New Roman" w:cs="Times New Roman" w:eastAsia="Times New Roman" w:hAnsi="Times New Roman"/>
          <w:sz w:val="14"/>
          <w:szCs w:val="14"/>
          <w:color w:val="auto"/>
        </w:rPr>
        <w:t>We have been working with automotive partners for several years and intend to deliver automotive-grade chips to them. The nature of Advanced Driving Assistance Systems (“ADAS”) is still evolving with OEMs continuing to develop their strategies. We do not control the pace at which the industry is moving to deploy ADAS of increasing complexity into their vehicles.</w:t>
      </w:r>
    </w:p>
    <w:p>
      <w:pPr>
        <w:spacing w:after="0" w:line="13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We have not yet entered into any contractual arrangements for these products and ADAS solutions based on our technology are not expected to be in production until near the end of the decade.</w:t>
      </w:r>
    </w:p>
    <w:p>
      <w:pPr>
        <w:spacing w:after="0" w:line="125"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Our ability to continue to invest in developing automotive-grade chips and software depends upon having access to a large amount of capital that is expected to be sourced from revenues into other non-automotive markets, based on our current set of products. A shortfall in those revenues will significantly impact our automotive roadmap and automotive OEMs and Tier-1 and Tier-2 partners may choose to adopt competing technologies. If this occurs, it will be extremely difficult to retain our specialist automotive skills and there is a high risk of losing that expertise altogether.</w:t>
      </w:r>
    </w:p>
    <w:p>
      <w:pPr>
        <w:spacing w:after="0" w:line="223" w:lineRule="exact"/>
        <w:rPr>
          <w:sz w:val="20"/>
          <w:szCs w:val="20"/>
          <w:color w:val="auto"/>
        </w:rPr>
      </w:pPr>
    </w:p>
    <w:p>
      <w:pPr>
        <w:ind w:left="1360" w:right="3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future revenue and operating results will be harmed if we are unable to acquire new customers, retain existing customers, expand sales to our existing customers, terminate existing customer or partnership contracts or expand sales to our existing customers.</w:t>
      </w:r>
    </w:p>
    <w:p>
      <w:pPr>
        <w:spacing w:after="0" w:line="39"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Our ability to increase revenue depends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40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to a default, and, in the future, if the portion of contracts that are subject to termination at the election of us or counterparties are material, any such termination may increase our costs and seriously harm our business, results of operations and financial condition.</w:t>
      </w:r>
    </w:p>
    <w:p>
      <w:pPr>
        <w:spacing w:after="0" w:line="125"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implement our growth strategy on a timely basis or at all.</w:t>
      </w:r>
    </w:p>
    <w:p>
      <w:pPr>
        <w:spacing w:after="0" w:line="93"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Our future growth, profitability and cash flows depend upon our ability to successfully implement our growth strategy, which, in turn, is dependent upon a number of factors, including our ability to:</w:t>
      </w:r>
    </w:p>
    <w:p>
      <w:pPr>
        <w:spacing w:after="0" w:line="51" w:lineRule="exact"/>
        <w:rPr>
          <w:sz w:val="20"/>
          <w:szCs w:val="20"/>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our current customer base;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new customers;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our business model;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customer location footprint;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a consistent and timely supply chain;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presence within verticals;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innovate our product offerings;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selectively pursue strategic and value-enhancing acquisitions.</w:t>
      </w:r>
    </w:p>
    <w:p>
      <w:pPr>
        <w:spacing w:after="0" w:line="175"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23"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Economic, political and other risks associated with our international business opportunities could adversely affect our revenues and international growth prospects.</w:t>
      </w:r>
    </w:p>
    <w:p>
      <w:pPr>
        <w:spacing w:after="0" w:line="39"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We intend to expand our international presence as part of our business strategy. Our international business opportunities are subject to a number of risks inherent to operating in foreign countries, and any expansion of our international operations will amplify the effects of these risks and potentially increase our costs of doing business, which include, among others:</w:t>
      </w:r>
    </w:p>
    <w:p>
      <w:pPr>
        <w:spacing w:after="0" w:line="62" w:lineRule="exact"/>
        <w:rPr>
          <w:sz w:val="20"/>
          <w:szCs w:val="20"/>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culture, economic, labor and technology conditions, standards and practices;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policies of the U.S. and foreign governments;</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trade relations and economic instability, including the economic impact of inflation and the possibility of a global economic recession;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enforcement of contract and intellectual property rights;</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social and political unrest and other geopolitical uncertainty and instability, such as the ongoing conflict in Ukraine, resulting sanctions imposed by countries, and retaliatory actions taken by Russia in response to such sanctions;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terrorist attacks, pandemics or other catastrophic events;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40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61"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cybersecurity, intellectual property, environmental, sanctions and anti-corruption compliance, including the Foreign Corrupt Practices Act;</w:t>
      </w:r>
    </w:p>
    <w:p>
      <w:pPr>
        <w:spacing w:after="0" w:line="67"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enforcing intellectual property rights and contractual rights, including such rights in connection with our terms of service and other agreements, and weaker laws protecting such rights;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managing technology partners;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adverse tax consequences;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different sources of competition;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difficulty in accounts receivable collections and longer collection periods.</w:t>
      </w:r>
    </w:p>
    <w:p>
      <w:pPr>
        <w:spacing w:after="0" w:line="175"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We are also affected by domestic and international laws and regulations applicable to companies doing business abroad or importing and exporting goods and materials. These include tax laws, laws regulating competition, anti-bribery/anti-corruption and other business practices, and trade regulations, including duties and tariffs. Compliance with these laws is costly, and future changes to these laws may require significant management attention and disrupt our operations. Additionally, while it is difficult to assess what changes may occur and the relative effect on our international tax structure, significant changes in how U.S. and foreign jurisdictions tax cross-border transactions could materially and adversely affect our results of operations and financial position.</w:t>
      </w:r>
    </w:p>
    <w:p>
      <w:pPr>
        <w:spacing w:after="0" w:line="14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There are other risks that are inherent in international operations, including the potential for changes in socio-economic conditions, laws and regulations, including, among others, competition, import, export, labor and environmental, health and safety laws and regulations, and monetary and fiscal policies, protectionist measures that may prohibit acquisitions or joint ventures, or impact trade volumes, unsettled political conditions; government-imposed plant or other operational shutdowns, backlash from foreign labor organizations related to our restructuring actions, corruption; natural and man-made disasters, hazards and losses, violence, civil and labor unrest, and possible terrorist attacks.</w:t>
      </w:r>
    </w:p>
    <w:p>
      <w:pPr>
        <w:spacing w:after="0" w:line="144"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Additionally, our lack of experience operating in new international markets and our lack of familiarity with local economic, political and regulatory systems could prevent us from achieving the results that we expect on our anticipated time frame or at all. If we are unsuccessful in expanding into new international markets, it could adversely affect our operating results and financial condition. Our international business opportunities may also require significant management attention and financial resources. Any negative impact from our international business efforts could adversely affect our business, operating results and financial condition.</w:t>
      </w:r>
    </w:p>
    <w:p>
      <w:pPr>
        <w:spacing w:after="0" w:line="226"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develop and expand our marketing and sales capabilities could harm our ability to increase our customer base and achieve broader market acceptance of our platform and products.</w:t>
      </w:r>
    </w:p>
    <w:p>
      <w:pPr>
        <w:spacing w:after="0" w:line="3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40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sales cycle with large enterprise customers can be long and unpredictable, and our sales efforts require considerable time and expense.</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67" w:lineRule="exact"/>
        <w:rPr>
          <w:sz w:val="20"/>
          <w:szCs w:val="20"/>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force as we hire and train our new salespeople to sell to large enterprise customers;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discretionary nature of purchasing and budget cycles and decisions;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obstacles placed by customers’ procurement process;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and other factors impacting customer budgets;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integration complexity;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familiarity with edge computing solutions;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evaluation of competing products during the purchasing process;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customer demands;</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and implementation of regulations that affect our ability to obtain customers in certain regions of the world outside of the United States;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and implementation of regulations within the United States that impose supply chain and manufacturing location restrictions.</w:t>
      </w:r>
    </w:p>
    <w:p>
      <w:pPr>
        <w:spacing w:after="0" w:line="175"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w:t>
      </w:r>
    </w:p>
    <w:p>
      <w:pPr>
        <w:spacing w:after="0" w:line="218"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or grow our brand recognition, our ability to expand our customer base will be impaired and our financial condition may suffer.</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 building efforts, and our business could suffer.</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40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 quality support, our business and reputation could suffer.</w:t>
      </w:r>
    </w:p>
    <w:p>
      <w:pPr>
        <w:spacing w:after="0" w:line="93" w:lineRule="exact"/>
        <w:rPr>
          <w:sz w:val="20"/>
          <w:szCs w:val="20"/>
          <w:color w:val="auto"/>
        </w:rPr>
      </w:pPr>
    </w:p>
    <w:p>
      <w:pPr>
        <w:jc w:val="both"/>
        <w:ind w:left="1360" w:right="359"/>
        <w:spacing w:after="0" w:line="258" w:lineRule="auto"/>
        <w:rPr>
          <w:sz w:val="20"/>
          <w:szCs w:val="20"/>
          <w:color w:val="auto"/>
        </w:rPr>
      </w:pPr>
      <w:r>
        <w:rPr>
          <w:rFonts w:ascii="Times New Roman" w:cs="Times New Roman" w:eastAsia="Times New Roman" w:hAnsi="Times New Roman"/>
          <w:sz w:val="14"/>
          <w:szCs w:val="14"/>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w:t>
      </w:r>
    </w:p>
    <w:p>
      <w:pPr>
        <w:spacing w:after="0" w:line="144"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Our inability to hire technical support staff in a timely manner, whether due to market conditions or our own budget constraints, would also affect the quality of support for our customers and partners and could potentially result in business and reputational harm.</w:t>
      </w:r>
    </w:p>
    <w:p>
      <w:pPr>
        <w:spacing w:after="0" w:line="207" w:lineRule="exact"/>
        <w:rPr>
          <w:sz w:val="20"/>
          <w:szCs w:val="20"/>
          <w:color w:val="auto"/>
        </w:rPr>
      </w:pPr>
    </w:p>
    <w:p>
      <w:pPr>
        <w:ind w:left="1360" w:right="2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depend on timely supply of materials sourced from a limited number of suppliers and are directly affected by unexpected delays or problems from our third-party manufacturers.</w:t>
      </w:r>
    </w:p>
    <w:p>
      <w:pPr>
        <w:spacing w:after="0" w:line="39"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Any disruption in the supply chain, such as shortages, unexpected delays or price increases, could significantly affect our manufacturing process and financial stability. Additionally, we are highly dependent on third-party manufacturers for complex processes like wafer fabrication and assembly; therefore, any problems or unexpected delays from these third-party manufacturers could also negatively affect our business and financial performance.</w:t>
      </w:r>
    </w:p>
    <w:p>
      <w:pPr>
        <w:spacing w:after="0" w:line="218" w:lineRule="exact"/>
        <w:rPr>
          <w:sz w:val="20"/>
          <w:szCs w:val="20"/>
          <w:color w:val="auto"/>
        </w:rPr>
      </w:pPr>
    </w:p>
    <w:p>
      <w:pPr>
        <w:ind w:left="1360" w:right="5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39"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Our success depends to a significant extent on our ability to attract and retain talent, specifically in senior management and skilled technical, engineering, project management and other key roles. Macroeconomic conditions, specifically labor shortages, increased competition for employees and wage inflation could have a material impact on our ability to attract and retain talent, our turnover rate and the cost of operating our business. If we are unable to attract and retain sufficient talent, minimize employee turnover or manage wage inflation, it could have a material adverse effect on our business, financial condition, results of operations or prospects.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Adverse macroeconomic conditions could materially adversely affect our business, financial condition, results of operations, and prospects.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Macroeconomic conditions, such as persistent high inflation, changes to monetary policy, high interest rates, volatile currency exchange rates, credit and debt concerns, decreasing consumer confidence and spending, concerns about the stability and liquidity of certain financial institutions, the introduction of or changes in tariffs or trade barriers, pandemics and other health crises, and global recessions can adversely impact demand for our products, which could negatively affect our business, financial condition, results of operations, and prospects.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rely on external partners for critical processes in manufacturing our products.</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rely on certain external partners for critical manufacturing steps for our semiconductor and/or System-on-a-Chip (“SoC”) products, including our wafer fabrication,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reliance on these third-party manufacturers also subjects us to risks that include, but are not limited to:</w:t>
      </w:r>
    </w:p>
    <w:p>
      <w:pPr>
        <w:spacing w:after="0" w:line="102" w:lineRule="exact"/>
        <w:rPr>
          <w:sz w:val="20"/>
          <w:szCs w:val="20"/>
          <w:color w:val="auto"/>
        </w:rPr>
      </w:pPr>
    </w:p>
    <w:p>
      <w:pPr>
        <w:ind w:left="5580" w:right="1419" w:hanging="3805"/>
        <w:spacing w:after="0" w:line="455" w:lineRule="auto"/>
        <w:tabs>
          <w:tab w:leader="none" w:pos="211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in procuring inventory resulting from modifications to or discontinuation of a manufacturer’s operations; 14</w:t>
      </w:r>
    </w:p>
    <w:p>
      <w:pPr>
        <w:sectPr>
          <w:pgSz w:w="11900" w:h="16838" w:orient="portrait"/>
          <w:cols w:equalWidth="0" w:num="1">
            <w:col w:w="10159"/>
          </w:cols>
          <w:pgMar w:left="300" w:top="40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product shipments resulting from uncorrected defects, reliability issues or a manufacturer’s variation in a component;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lack of long-term supply arrangements with our manufacturers;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delay in delivery due to its suppliers’ prioritizing other customer orders over ours;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reputation caused by defective products produced by our suppliers;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 in delivery by our suppliers due to changes in demand from our or their other customers;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shortages, delivery delays, and potential discontinuation of supply as a result of reasons outside of our control;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legal, and economic changes, crises or instability and civil unrest in the jurisdictions where our manufacturers’ plants are located;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conversion risks and exchange rate fluctuations;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U.S. customs and international trade regulations.</w:t>
      </w:r>
    </w:p>
    <w:p>
      <w:pPr>
        <w:spacing w:after="0" w:line="175"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Any of these events could lead to production delays, increased costs, or a compromise in the quality and performance of our products, which could materially adversely affect our business and financial results.</w:t>
      </w:r>
    </w:p>
    <w:p>
      <w:pPr>
        <w:spacing w:after="0" w:line="207"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 the event of a disruption in our supply chain, any efforts to develop alternative supply sources may not be successful or may take longer to take effect than anticipated.</w:t>
      </w:r>
    </w:p>
    <w:p>
      <w:pPr>
        <w:spacing w:after="0" w:line="39" w:lineRule="exact"/>
        <w:rPr>
          <w:sz w:val="20"/>
          <w:szCs w:val="20"/>
          <w:color w:val="auto"/>
        </w:rPr>
      </w:pPr>
    </w:p>
    <w:p>
      <w:pPr>
        <w:ind w:left="1360" w:right="259"/>
        <w:spacing w:after="0" w:line="296" w:lineRule="auto"/>
        <w:rPr>
          <w:sz w:val="20"/>
          <w:szCs w:val="20"/>
          <w:color w:val="auto"/>
        </w:rPr>
      </w:pPr>
      <w:r>
        <w:rPr>
          <w:rFonts w:ascii="Times New Roman" w:cs="Times New Roman" w:eastAsia="Times New Roman" w:hAnsi="Times New Roman"/>
          <w:sz w:val="13"/>
          <w:szCs w:val="13"/>
          <w:color w:val="auto"/>
        </w:rPr>
        <w:t>We have a design, manufacturing, and sales agreement with a third party that provides us with design expertise, support and assistance, and certain deliverables, prototypes, products, and services. We cannot be certain that this third party will remain in business, or that it will not be purchased by one of our competitors or another company that is not interested in continuing to produce these products for our intended purpose or supply us with services.</w:t>
      </w:r>
    </w:p>
    <w:p>
      <w:pPr>
        <w:spacing w:after="0" w:line="120"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we seek alternative sources of supply, or our manufacturers may have to make financial accommodations to other contract manufacturers or otherwise take steps to mitigate supply disruption. Any alternative manufacturers may be unable or unwilling to meet our and our customers’ specifications.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our products could be affected.</w:t>
      </w:r>
    </w:p>
    <w:p>
      <w:pPr>
        <w:spacing w:after="0" w:line="228"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supply chain and production process may be affected by tariffs on equipment or materials that we may rely on or use for our products, which could also cause our costs to increase.</w:t>
      </w:r>
    </w:p>
    <w:p>
      <w:pPr>
        <w:spacing w:after="0" w:line="3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cannot predict what actions, if any, may be taken with respect to tariffs or trade relations between the United States and China, what products may be subject to the imposition of tariffs by the United States, or what actions may be taken by China in retaliation. The adoption and expansion of trade restrictions, the occurrence of a trade war, or other governmental action related to tariffs, trade agreements or related policies have the potential to adversely affect our supply chain and access to equipment, and our costs. Tariffs imposed on components or equipment that we source from China will increase our costs and could have an adverse effect on our operating results and financial conditions in future periods. Our supply chain and product assembly is global in nature. While most of the goods movement, including imports and exports, required to manufacture and test our products is restricted to Asian countries, there are certain components that must enter or exit the United States. Those components are at the highest risk of being affected by the aforementioned changes, and in turn disrupting the supply chain and our product pipeline.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40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improve and enhance the functionality, performance, reliability, design, security and scalability of our platform and products and to innovate and introduce new solutions in a manner that responds to our customers’ evolving needs, our business may be adversely affected.</w:t>
      </w:r>
    </w:p>
    <w:p>
      <w:pPr>
        <w:spacing w:after="0" w:line="39"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w:t>
      </w:r>
    </w:p>
    <w:p>
      <w:pPr>
        <w:spacing w:after="0" w:line="144"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w:t>
      </w:r>
    </w:p>
    <w:p>
      <w:pPr>
        <w:spacing w:after="0" w:line="149"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w:t>
      </w:r>
    </w:p>
    <w:p>
      <w:pPr>
        <w:spacing w:after="0" w:line="223" w:lineRule="exact"/>
        <w:rPr>
          <w:sz w:val="20"/>
          <w:szCs w:val="20"/>
          <w:color w:val="auto"/>
        </w:rPr>
      </w:pPr>
    </w:p>
    <w:p>
      <w:pPr>
        <w:ind w:left="1360" w:right="5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driving the global deployment and customer adoption of digital offerings characterized by digital applications and solutions.</w:t>
      </w:r>
    </w:p>
    <w:p>
      <w:pPr>
        <w:spacing w:after="0" w:line="39"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w:t>
      </w:r>
    </w:p>
    <w:p>
      <w:pPr>
        <w:spacing w:after="0" w:line="67" w:lineRule="exact"/>
        <w:rPr>
          <w:sz w:val="20"/>
          <w:szCs w:val="20"/>
          <w:color w:val="auto"/>
        </w:rPr>
      </w:pPr>
    </w:p>
    <w:p>
      <w:pPr>
        <w:ind w:left="2120" w:right="659" w:hanging="345"/>
        <w:spacing w:after="0" w:line="267"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the utility, compatibility, and performance of our cloud, edge, AI and software solutions (including the reliability of our third-party software vendors, network and cloud providers) on a growing array of medical devices, software and equipment;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40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33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lasting relationships with key server and edge-AI box manufacturers;</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ensuring these solutions meet regulatory requirements in a fast-moving space disrupted by changing regulations around data privacy and the need for innovation, including obtaining marketing authorizations when required;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adapting to ever-changing geopolitical regulations on advanced technologies, including AI technologies.</w:t>
      </w:r>
    </w:p>
    <w:p>
      <w:pPr>
        <w:spacing w:after="0" w:line="175"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146"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229"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39"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43" w:lineRule="exact"/>
        <w:rPr>
          <w:sz w:val="20"/>
          <w:szCs w:val="20"/>
          <w:color w:val="auto"/>
        </w:rPr>
      </w:pPr>
    </w:p>
    <w:p>
      <w:pPr>
        <w:ind w:left="1360" w:right="1059"/>
        <w:spacing w:after="0" w:line="283" w:lineRule="auto"/>
        <w:rPr>
          <w:sz w:val="20"/>
          <w:szCs w:val="20"/>
          <w:color w:val="auto"/>
        </w:rPr>
      </w:pPr>
      <w:r>
        <w:rPr>
          <w:rFonts w:ascii="Times New Roman" w:cs="Times New Roman" w:eastAsia="Times New Roman" w:hAnsi="Times New Roman"/>
          <w:sz w:val="14"/>
          <w:szCs w:val="14"/>
          <w:color w:val="auto"/>
        </w:rPr>
        <w:t>We intend to expand our international operations in the future. Our expansion will continue to place a significant strain on our managerial, administrative, financial and other resources. If we are unable to manage our growth</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40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58" w:lineRule="auto"/>
        <w:rPr>
          <w:sz w:val="20"/>
          <w:szCs w:val="20"/>
          <w:color w:val="auto"/>
        </w:rPr>
      </w:pPr>
      <w:r>
        <w:rPr>
          <w:rFonts w:ascii="Times New Roman" w:cs="Times New Roman" w:eastAsia="Times New Roman" w:hAnsi="Times New Roman"/>
          <w:sz w:val="14"/>
          <w:szCs w:val="14"/>
          <w:color w:val="auto"/>
        </w:rPr>
        <w:t>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w:t>
      </w:r>
    </w:p>
    <w:p>
      <w:pPr>
        <w:spacing w:after="0" w:line="226" w:lineRule="exact"/>
        <w:rPr>
          <w:sz w:val="20"/>
          <w:szCs w:val="20"/>
          <w:color w:val="auto"/>
        </w:rPr>
      </w:pPr>
    </w:p>
    <w:p>
      <w:pPr>
        <w:ind w:left="1360" w:right="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39"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45"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62" w:lineRule="exact"/>
        <w:rPr>
          <w:sz w:val="20"/>
          <w:szCs w:val="20"/>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additional equity securities that would dilute our stockholders;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cash that we may need in the future to operate our business;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debt on terms unfavorable to us or that we are unable to repay;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large charges or substantial liabilities;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encounter difficulties retaining key employees of the acquired company or integrating diverse software codes or business cultures;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 subject to adverse tax consequences, substantial depreciation, or deferred compensation charges.</w:t>
      </w:r>
    </w:p>
    <w:p>
      <w:pPr>
        <w:spacing w:after="0" w:line="258" w:lineRule="exact"/>
        <w:rPr>
          <w:sz w:val="20"/>
          <w:szCs w:val="20"/>
          <w:color w:val="auto"/>
        </w:rPr>
      </w:pPr>
    </w:p>
    <w:p>
      <w:pPr>
        <w:ind w:left="1360" w:right="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5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w:t>
      </w:r>
    </w:p>
    <w:p>
      <w:pPr>
        <w:spacing w:after="0" w:line="136"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However, significant investment is needed to develop cutting-edge technologies and products, and some of our competitors may have greater resources than us. If these competitors ramp up their research and development and marketing efforts, we may struggle to compete effectively.</w:t>
      </w:r>
    </w:p>
    <w:p>
      <w:pPr>
        <w:spacing w:after="0" w:line="125"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The market for edge computing solutions is also evolving and highly competitive. We expect competition to increase in the future from established competitors and new market entrants. With the introduction of new</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40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w:t>
      </w:r>
    </w:p>
    <w:p>
      <w:pPr>
        <w:spacing w:after="0" w:line="136"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w:t>
      </w:r>
    </w:p>
    <w:p>
      <w:pPr>
        <w:spacing w:after="0" w:line="144"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may need to reduce or change our pricing model to remain competitive.</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26"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adapt and respond effectively to rapidly changing technology, evolving industry standards, and changing customer needs or preferences, our platform and products may become less competitive.</w:t>
      </w:r>
    </w:p>
    <w:p>
      <w:pPr>
        <w:spacing w:after="0" w:line="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407"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14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w:t>
      </w:r>
    </w:p>
    <w:p>
      <w:pPr>
        <w:spacing w:after="0" w:line="136"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Our current chip was designed over three years ago and it is possible that in certain situations, it may not be competitive in performance and features. This will impact our ability to deliver the revenue forecast until the next-generation chip is available and we may lose key customer opportunities in the meantime.</w:t>
      </w:r>
    </w:p>
    <w:p>
      <w:pPr>
        <w:spacing w:after="0" w:line="218" w:lineRule="exact"/>
        <w:rPr>
          <w:sz w:val="20"/>
          <w:szCs w:val="20"/>
          <w:color w:val="auto"/>
        </w:rPr>
      </w:pPr>
    </w:p>
    <w:p>
      <w:pPr>
        <w:ind w:left="1360" w:right="4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estimates of market opportunity and forecasts of market growth included in this prospectus may prove to be inaccurate. Even if the market in which we compete achieves the forecasted growth, our business could fail to grow at similar rates, if at all.</w:t>
      </w:r>
    </w:p>
    <w:p>
      <w:pPr>
        <w:spacing w:after="0" w:line="39"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anticipate that our operations will continue to increase in complexity as we grow, which will create management challenges.</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w:t>
      </w:r>
    </w:p>
    <w:p>
      <w:pPr>
        <w:spacing w:after="0" w:line="149" w:lineRule="exact"/>
        <w:rPr>
          <w:sz w:val="20"/>
          <w:szCs w:val="20"/>
          <w:color w:val="auto"/>
        </w:rPr>
      </w:pPr>
    </w:p>
    <w:p>
      <w:pPr>
        <w:jc w:val="both"/>
        <w:ind w:left="1360" w:right="439"/>
        <w:spacing w:after="0" w:line="261" w:lineRule="auto"/>
        <w:rPr>
          <w:sz w:val="20"/>
          <w:szCs w:val="20"/>
          <w:color w:val="auto"/>
        </w:rPr>
      </w:pPr>
      <w:r>
        <w:rPr>
          <w:rFonts w:ascii="Times New Roman" w:cs="Times New Roman" w:eastAsia="Times New Roman" w:hAnsi="Times New Roman"/>
          <w:sz w:val="14"/>
          <w:szCs w:val="14"/>
          <w:color w:val="auto"/>
        </w:rPr>
        <w:t>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407"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address competitive challenges. These factors could impair our ability to attract and retain customers and expand our customers’ use of our platform and products.</w:t>
      </w:r>
    </w:p>
    <w:p>
      <w:pPr>
        <w:spacing w:after="0" w:line="207"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depend on our senior management team and the loss of one or more key employees or an inability to attract and retain highly skilled employees may adversely affect our business.</w:t>
      </w:r>
    </w:p>
    <w:p>
      <w:pPr>
        <w:spacing w:after="0" w:line="39"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w:t>
      </w:r>
    </w:p>
    <w:p>
      <w:pPr>
        <w:spacing w:after="0" w:line="143"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hire, retain and motivate qualified personnel, our business will suffer.</w:t>
      </w:r>
    </w:p>
    <w:p>
      <w:pPr>
        <w:spacing w:after="0" w:line="93"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w:t>
      </w:r>
    </w:p>
    <w:p>
      <w:pPr>
        <w:spacing w:after="0" w:line="144"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407"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39"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23"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our software or hardware contains serious errors or defects, we may lose revenue and market acceptance and may incur costs to defend or settle claims with our customers.</w:t>
      </w:r>
    </w:p>
    <w:p>
      <w:pPr>
        <w:spacing w:after="0" w:line="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w:t>
      </w:r>
    </w:p>
    <w:p>
      <w:pPr>
        <w:spacing w:after="0" w:line="14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w:t>
      </w:r>
    </w:p>
    <w:p>
      <w:pPr>
        <w:spacing w:after="0" w:line="226" w:lineRule="exact"/>
        <w:rPr>
          <w:sz w:val="20"/>
          <w:szCs w:val="20"/>
          <w:color w:val="auto"/>
        </w:rPr>
      </w:pPr>
    </w:p>
    <w:p>
      <w:pPr>
        <w:ind w:left="1360" w:right="25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w:t>
      </w:r>
    </w:p>
    <w:p>
      <w:pPr>
        <w:spacing w:after="0" w:line="56"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w:t>
      </w:r>
    </w:p>
    <w:p>
      <w:pPr>
        <w:spacing w:after="0" w:line="14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40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w:t>
      </w:r>
    </w:p>
    <w:p>
      <w:pPr>
        <w:spacing w:after="0" w:line="13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w:t>
      </w:r>
    </w:p>
    <w:p>
      <w:pPr>
        <w:spacing w:after="0" w:line="136"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w:t>
      </w:r>
    </w:p>
    <w:p>
      <w:pPr>
        <w:spacing w:after="0" w:line="144"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w:t>
      </w:r>
    </w:p>
    <w:p>
      <w:pPr>
        <w:spacing w:after="0" w:line="136"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w:t>
      </w:r>
    </w:p>
    <w:p>
      <w:pPr>
        <w:spacing w:after="0" w:line="144"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226" w:lineRule="exact"/>
        <w:rPr>
          <w:sz w:val="20"/>
          <w:szCs w:val="20"/>
          <w:color w:val="auto"/>
        </w:rPr>
      </w:pPr>
    </w:p>
    <w:p>
      <w:pPr>
        <w:ind w:left="1360" w:right="4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As with many technological innovations, there are significant risks involved in developing, maintaining and deploying these technologies and there can be no assurance that the usage of, or our investments in, such</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40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w:t>
      </w:r>
    </w:p>
    <w:p>
      <w:pPr>
        <w:spacing w:after="0" w:line="144"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w:t>
      </w:r>
    </w:p>
    <w:p>
      <w:pPr>
        <w:spacing w:after="0" w:line="149" w:lineRule="exact"/>
        <w:rPr>
          <w:sz w:val="20"/>
          <w:szCs w:val="20"/>
          <w:color w:val="auto"/>
        </w:rPr>
      </w:pPr>
    </w:p>
    <w:p>
      <w:pPr>
        <w:jc w:val="both"/>
        <w:ind w:left="1360" w:right="379"/>
        <w:spacing w:after="0" w:line="261" w:lineRule="auto"/>
        <w:rPr>
          <w:sz w:val="20"/>
          <w:szCs w:val="20"/>
          <w:color w:val="auto"/>
        </w:rPr>
      </w:pPr>
      <w:r>
        <w:rPr>
          <w:rFonts w:ascii="Times New Roman" w:cs="Times New Roman" w:eastAsia="Times New Roman" w:hAnsi="Times New Roman"/>
          <w:sz w:val="14"/>
          <w:szCs w:val="14"/>
          <w:color w:val="auto"/>
        </w:rPr>
        <w:t>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4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40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3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t>
      </w:r>
    </w:p>
    <w:p>
      <w:pPr>
        <w:spacing w:after="0" w:line="5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We currently serve the majority of our platform functions from third-party data center hosting facilities.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w:t>
      </w:r>
    </w:p>
    <w:p>
      <w:pPr>
        <w:spacing w:after="0" w:line="144"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44"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w:t>
      </w:r>
    </w:p>
    <w:p>
      <w:pPr>
        <w:spacing w:after="0" w:line="225" w:lineRule="exact"/>
        <w:rPr>
          <w:sz w:val="20"/>
          <w:szCs w:val="20"/>
          <w:color w:val="auto"/>
        </w:rPr>
      </w:pPr>
    </w:p>
    <w:p>
      <w:pPr>
        <w:jc w:val="both"/>
        <w:ind w:left="1360" w:right="5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proprietary and open source software for our platform. Our inability to obtain third- party licenses for such software, or obtain them on favorable terms, or any errors, bugs, defects or failures caused by such software could adversely affect our business, results of operations and financial condition.</w:t>
      </w:r>
    </w:p>
    <w:p>
      <w:pPr>
        <w:spacing w:after="0" w:line="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w:t>
      </w:r>
    </w:p>
    <w:p>
      <w:pPr>
        <w:spacing w:after="0" w:line="226"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use of open source software could subject us to possible litigation or cause us to subject our platform or products to unwanted open source license conditions that could negatively impact our sales.</w:t>
      </w:r>
    </w:p>
    <w:p>
      <w:pPr>
        <w:spacing w:after="0" w:line="39"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Our platform and products incorporate open source software, and we expect to incorporate open source software into other offerings or solutions in the future. Such open source software is generally licensed by its authors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40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rely on computer hardware, purchased or leased, and software licensed from and services rendered by third parties in order to run our business.</w:t>
      </w:r>
    </w:p>
    <w:p>
      <w:pPr>
        <w:spacing w:after="0" w:line="93"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with third parties.</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w:t>
      </w:r>
    </w:p>
    <w:p>
      <w:pPr>
        <w:spacing w:after="0" w:line="146" w:lineRule="exact"/>
        <w:rPr>
          <w:sz w:val="20"/>
          <w:szCs w:val="20"/>
          <w:color w:val="auto"/>
        </w:rPr>
      </w:pPr>
    </w:p>
    <w:p>
      <w:pPr>
        <w:ind w:left="1360" w:right="339"/>
        <w:spacing w:after="0" w:line="280" w:lineRule="auto"/>
        <w:rPr>
          <w:sz w:val="20"/>
          <w:szCs w:val="20"/>
          <w:color w:val="auto"/>
        </w:rPr>
      </w:pPr>
      <w:r>
        <w:rPr>
          <w:rFonts w:ascii="Times New Roman" w:cs="Times New Roman" w:eastAsia="Times New Roman" w:hAnsi="Times New Roman"/>
          <w:sz w:val="13"/>
          <w:szCs w:val="13"/>
          <w:color w:val="auto"/>
        </w:rPr>
        <w:t>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40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w:t>
      </w:r>
    </w:p>
    <w:p>
      <w:pPr>
        <w:spacing w:after="0" w:line="14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w:t>
      </w:r>
    </w:p>
    <w:p>
      <w:pPr>
        <w:spacing w:after="0" w:line="225" w:lineRule="exact"/>
        <w:rPr>
          <w:sz w:val="20"/>
          <w:szCs w:val="20"/>
          <w:color w:val="auto"/>
        </w:rPr>
      </w:pPr>
    </w:p>
    <w:p>
      <w:pPr>
        <w:ind w:left="1360" w:right="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could incur substantial costs in protecting or defending our proprietary rights. Failure to adequately protect our rights could impair our competitive position and we could lose valuable assets, experience reduced revenue and incur costly litigation.</w:t>
      </w:r>
    </w:p>
    <w:p>
      <w:pPr>
        <w:spacing w:after="0" w:line="39"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4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44"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40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4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28" w:lineRule="exact"/>
        <w:rPr>
          <w:sz w:val="20"/>
          <w:szCs w:val="20"/>
          <w:color w:val="auto"/>
        </w:rPr>
      </w:pPr>
    </w:p>
    <w:p>
      <w:pPr>
        <w:ind w:left="1360" w:right="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w:t>
      </w:r>
    </w:p>
    <w:p>
      <w:pPr>
        <w:spacing w:after="0" w:line="39"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w:t>
      </w:r>
    </w:p>
    <w:p>
      <w:pPr>
        <w:spacing w:after="0" w:line="145"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 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40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225" w:lineRule="exact"/>
        <w:rPr>
          <w:sz w:val="20"/>
          <w:szCs w:val="20"/>
          <w:color w:val="auto"/>
        </w:rPr>
      </w:pPr>
    </w:p>
    <w:p>
      <w:pPr>
        <w:ind w:left="1360" w:right="3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w:t>
      </w:r>
    </w:p>
    <w:p>
      <w:pPr>
        <w:spacing w:after="0" w:line="141"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w:t>
      </w:r>
    </w:p>
    <w:p>
      <w:pPr>
        <w:spacing w:after="0" w:line="145" w:lineRule="exact"/>
        <w:rPr>
          <w:sz w:val="20"/>
          <w:szCs w:val="20"/>
          <w:color w:val="auto"/>
        </w:rPr>
      </w:pPr>
    </w:p>
    <w:p>
      <w:pPr>
        <w:ind w:left="1360" w:right="279"/>
        <w:spacing w:after="0" w:line="253" w:lineRule="auto"/>
        <w:rPr>
          <w:sz w:val="20"/>
          <w:szCs w:val="20"/>
          <w:color w:val="auto"/>
        </w:rPr>
      </w:pPr>
      <w:r>
        <w:rPr>
          <w:rFonts w:ascii="Times New Roman" w:cs="Times New Roman" w:eastAsia="Times New Roman" w:hAnsi="Times New Roman"/>
          <w:sz w:val="14"/>
          <w:szCs w:val="14"/>
          <w:color w:val="auto"/>
        </w:rPr>
        <w:t>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 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40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conduct a portion of our business with third-party ecosystem partners to provide defensive solutions that incorporate our products to various foreign and domestic government agencies, which are subject to unique risks.</w:t>
      </w:r>
    </w:p>
    <w:p>
      <w:pPr>
        <w:spacing w:after="0" w:line="39"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w:t>
      </w:r>
    </w:p>
    <w:p>
      <w:pPr>
        <w:spacing w:after="0" w:line="136"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In addition, transactions involving government contractors may be subject to government review and approvals and may require the contractor to hold certain national security clearances in order to perform them.</w:t>
      </w:r>
    </w:p>
    <w:p>
      <w:pPr>
        <w:spacing w:after="0" w:line="207"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w:t>
      </w:r>
    </w:p>
    <w:p>
      <w:pPr>
        <w:spacing w:after="0" w:line="144"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w:t>
      </w:r>
    </w:p>
    <w:p>
      <w:pPr>
        <w:spacing w:after="0" w:line="14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25"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40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fluctuations in currency exchange rates, which could negatively affect our operating results.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25"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insurance costs may increase significantly, we may be unable to obtain the same level of insurance coverage and our insurance coverage may not be adequate to cover all possible losses we may suffer.</w:t>
      </w:r>
    </w:p>
    <w:p>
      <w:pPr>
        <w:spacing w:after="0" w:line="39"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w:t>
      </w:r>
    </w:p>
    <w:p>
      <w:pPr>
        <w:spacing w:after="0" w:line="14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w:t>
      </w:r>
    </w:p>
    <w:p>
      <w:pPr>
        <w:spacing w:after="0" w:line="144" w:lineRule="exact"/>
        <w:rPr>
          <w:sz w:val="20"/>
          <w:szCs w:val="20"/>
          <w:color w:val="auto"/>
        </w:rPr>
      </w:pPr>
    </w:p>
    <w:p>
      <w:pPr>
        <w:ind w:left="1360" w:right="419"/>
        <w:spacing w:after="0" w:line="257" w:lineRule="auto"/>
        <w:rPr>
          <w:sz w:val="20"/>
          <w:szCs w:val="20"/>
          <w:color w:val="auto"/>
        </w:rPr>
      </w:pPr>
      <w:r>
        <w:rPr>
          <w:rFonts w:ascii="Times New Roman" w:cs="Times New Roman" w:eastAsia="Times New Roman" w:hAnsi="Times New Roman"/>
          <w:sz w:val="14"/>
          <w:szCs w:val="14"/>
          <w:color w:val="auto"/>
        </w:rPr>
        <w:t>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and certain other attributes may be subject to certain limitations.</w:t>
      </w:r>
    </w:p>
    <w:p>
      <w:pPr>
        <w:spacing w:after="0" w:line="9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As of December 31, 2024, we had approximately $215.5 million of U.S. federal and $149.9 million of state net operating losses, respectively. Certain of our U.S. federal and state net operating loss carryforwards may be carried forward indefinitely, while other of these loss carryforwards are subject to expiration (beginning in 2030). As of December 31, 2024, we had federal tax credit carryforwards of $5.7 million available to offset future U.S. federal income taxes payable, which will begin to expire in the year 2035. As of December 31, 2024, we had state tax credit carryforwards of $4.3 million available to offset future state income taxes payable and foreign tax credits of $97.2 million available to offset future India income taxes payable. It is possible that we will not</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40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w:t>
      </w:r>
    </w:p>
    <w:p>
      <w:pPr>
        <w:spacing w:after="0" w:line="144"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Changes to applicable tax laws and regulations or exposure to additional income tax liabilities could affect our business and future profitability.</w:t>
      </w:r>
    </w:p>
    <w:p>
      <w:pPr>
        <w:spacing w:after="0" w:line="93"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Blaize is a U.S. corporation and thus is subject to U.S. corporate income tax on its worldwide income. Further, since our operations and customers are located throughout the United States, we are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w:t>
      </w:r>
    </w:p>
    <w:p>
      <w:pPr>
        <w:spacing w:after="0" w:line="228" w:lineRule="exact"/>
        <w:rPr>
          <w:sz w:val="20"/>
          <w:szCs w:val="20"/>
          <w:color w:val="auto"/>
        </w:rPr>
      </w:pPr>
    </w:p>
    <w:p>
      <w:pPr>
        <w:ind w:left="1360" w:right="5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additional obligations to collect and remit sales tax and other taxes. We may be subject to tax liability for past sales, which could harm our business.</w:t>
      </w:r>
    </w:p>
    <w:p>
      <w:pPr>
        <w:spacing w:after="0" w:line="39"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40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4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Material weaknesses in our internal control over financial reporting could have a significant adverse effect on our business and the price of our common stock.</w:t>
      </w:r>
    </w:p>
    <w:p>
      <w:pPr>
        <w:spacing w:after="0" w:line="39"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As a public company, we are required to comply with the rules of the SEC implementing Sections 302 and 404 of the Sarbanes-Oxley Act, which require management to certify financial and other information in our quarterly and annual reports and provide an annual management report on the effectiveness of controls over financial reporting. If we identify material weaknesses in our internal control over financial reporting or are unable to comply with the requirements of Section 404 in a timely manner or assert that our internal control over financial reporting is not effective, investors may lose confidence in the accuracy and completeness of our financial reports and the market price of our common stock could be materially adversely affected, and we could become subject to investigations by the stock exchange on which our securities are listed, the SEC or other regulatory authorities, which could require additional financial and management resources.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Our Common Stock and Capital Structure</w:t>
      </w:r>
    </w:p>
    <w:p>
      <w:pPr>
        <w:spacing w:after="0" w:line="91" w:lineRule="exact"/>
        <w:rPr>
          <w:sz w:val="20"/>
          <w:szCs w:val="20"/>
          <w:color w:val="auto"/>
        </w:rPr>
      </w:pPr>
    </w:p>
    <w:p>
      <w:pPr>
        <w:ind w:left="1360" w:right="3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 or may decline regardless of our operating performance. You may lose some or all of your investment.</w:t>
      </w:r>
    </w:p>
    <w:p>
      <w:pPr>
        <w:spacing w:after="0" w:line="39"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trading price of our Common Stock is likely to be volatile. You may not be able to resell your shares at an attractive price due to a number of factors such as those listed in this section and the following:</w:t>
      </w:r>
    </w:p>
    <w:p>
      <w:pPr>
        <w:spacing w:after="0" w:line="51" w:lineRule="exact"/>
        <w:rPr>
          <w:sz w:val="20"/>
          <w:szCs w:val="20"/>
          <w:color w:val="auto"/>
        </w:rPr>
      </w:pPr>
    </w:p>
    <w:p>
      <w:pPr>
        <w:ind w:left="2120" w:right="479" w:hanging="345"/>
        <w:spacing w:after="0" w:line="267"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and financial performance and prospects;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or annual earnings or those of other companies in our industry compared to market expectations;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that impact demand for our products and/or services;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announcements concerning our business, our clients’ businesses or our competitors’ businesses;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reaction to our press releases, other public announcements and filings with the SEC;</w:t>
      </w:r>
    </w:p>
    <w:p>
      <w:pPr>
        <w:spacing w:after="0" w:line="10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market’s reaction to our reduced disclosure and other requirements as a result of being an “emerging growth company” under the Jumpstart Our Business Startups Act (the “JOBS 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our public float;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coverage by or changes in financial estimates by securities analysts or failure to meet their expectations;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and industry perception of our success, or lack thereof, in pursuing our growth strategy;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us or our competitors, such as acquisitions or restructurings;</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 laws, privacy or data breaches, or the loss of data;</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senior management or key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exchanges or sales, or expected issuances, exchanges or sales of our capital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dividend policy;</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40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resolution of new or pending litigation against us; and</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market, economic and political conditions in the United States and global economies or financial markets, including those resulting from natural disasters, terrorist attacks, acts of war and responses to such events.</w:t>
      </w:r>
    </w:p>
    <w:p>
      <w:pPr>
        <w:spacing w:after="0" w:line="125"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36"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18"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shares of Common Stock, warrants or convertible securities may dilute your ownership interest in us and could adversely affect our stock price.</w:t>
      </w:r>
    </w:p>
    <w:p>
      <w:pPr>
        <w:spacing w:after="0" w:line="39" w:lineRule="exact"/>
        <w:rPr>
          <w:sz w:val="20"/>
          <w:szCs w:val="20"/>
          <w:color w:val="auto"/>
        </w:rPr>
      </w:pPr>
    </w:p>
    <w:p>
      <w:pPr>
        <w:ind w:left="1360" w:right="379"/>
        <w:spacing w:after="0" w:line="257" w:lineRule="auto"/>
        <w:rPr>
          <w:sz w:val="20"/>
          <w:szCs w:val="20"/>
          <w:color w:val="auto"/>
        </w:rPr>
      </w:pPr>
      <w:r>
        <w:rPr>
          <w:rFonts w:ascii="Times New Roman" w:cs="Times New Roman" w:eastAsia="Times New Roman" w:hAnsi="Times New Roman"/>
          <w:sz w:val="14"/>
          <w:szCs w:val="14"/>
          <w:color w:val="auto"/>
        </w:rPr>
        <w:t>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w:t>
      </w:r>
    </w:p>
    <w:p>
      <w:pPr>
        <w:spacing w:after="0" w:line="14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w:t>
      </w:r>
    </w:p>
    <w:p>
      <w:pPr>
        <w:spacing w:after="0" w:line="231"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future sales, of our Common Stock by us or our existing securityholders in the public market could cause the market price for our Common Stock to decline.</w:t>
      </w:r>
    </w:p>
    <w:p>
      <w:pPr>
        <w:spacing w:after="0" w:line="39" w:lineRule="exact"/>
        <w:rPr>
          <w:sz w:val="20"/>
          <w:szCs w:val="20"/>
          <w:color w:val="auto"/>
        </w:rPr>
      </w:pPr>
    </w:p>
    <w:p>
      <w:pPr>
        <w:ind w:left="1360" w:right="299"/>
        <w:spacing w:after="0" w:line="280" w:lineRule="auto"/>
        <w:rPr>
          <w:sz w:val="20"/>
          <w:szCs w:val="20"/>
          <w:color w:val="auto"/>
        </w:rPr>
      </w:pPr>
      <w:r>
        <w:rPr>
          <w:rFonts w:ascii="Times New Roman" w:cs="Times New Roman" w:eastAsia="Times New Roman" w:hAnsi="Times New Roman"/>
          <w:sz w:val="13"/>
          <w:szCs w:val="13"/>
          <w:color w:val="auto"/>
        </w:rPr>
        <w:t>We are not restricted from issuing additional shares of Common Stock, including securities that are convertible into or exchangeable for, or that represent a right to receive, Common Stock. Any issuance of additional shares of our Common Stock or convertible securities, including the shares issued pursuant to the Purchase Agreement and Engagement Agreement, will dilute the ownership interest of our existing stockholders. Sales of a substantial number of shares of our Common Stock or other equity-related securities in the public market, or the perception that these sales could occur, could depress the market price of our Common Stock and impair our ability to raise capital through the sale of additional equity securities. We cannot predict the effect that future sales of our Common Stock or other equity-related securities would have on the market price of our Common Stock.</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40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51"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w:t>
      </w:r>
    </w:p>
    <w:p>
      <w:pPr>
        <w:spacing w:after="0" w:line="226"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39" w:lineRule="exact"/>
        <w:rPr>
          <w:sz w:val="20"/>
          <w:szCs w:val="20"/>
          <w:color w:val="auto"/>
        </w:rPr>
      </w:pPr>
    </w:p>
    <w:p>
      <w:pPr>
        <w:ind w:left="1360" w:right="339"/>
        <w:spacing w:after="0" w:line="254" w:lineRule="auto"/>
        <w:rPr>
          <w:sz w:val="20"/>
          <w:szCs w:val="20"/>
          <w:color w:val="auto"/>
        </w:rPr>
      </w:pPr>
      <w:r>
        <w:rPr>
          <w:rFonts w:ascii="Times New Roman" w:cs="Times New Roman" w:eastAsia="Times New Roman" w:hAnsi="Times New Roman"/>
          <w:sz w:val="14"/>
          <w:szCs w:val="14"/>
          <w:color w:val="auto"/>
        </w:rPr>
        <w:t>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September 30 of that fiscal year(b)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5" w:lineRule="exact"/>
        <w:rPr>
          <w:sz w:val="20"/>
          <w:szCs w:val="20"/>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of Section 404 of the Sarbanes- Oxley Act;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and proxy statements; and</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a nonbinding advisory vote of stockholders on executive compensation and stockholder approval of any golden parachute payments not previously approved.</w:t>
      </w:r>
    </w:p>
    <w:p>
      <w:pPr>
        <w:spacing w:after="0" w:line="125" w:lineRule="exact"/>
        <w:rPr>
          <w:sz w:val="20"/>
          <w:szCs w:val="20"/>
          <w:color w:val="auto"/>
        </w:rPr>
      </w:pPr>
    </w:p>
    <w:p>
      <w:pPr>
        <w:ind w:left="1360" w:right="359"/>
        <w:spacing w:after="0" w:line="254"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40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5" w:lineRule="auto"/>
        <w:rPr>
          <w:sz w:val="20"/>
          <w:szCs w:val="20"/>
          <w:color w:val="auto"/>
        </w:rPr>
      </w:pPr>
      <w:r>
        <w:rPr>
          <w:rFonts w:ascii="Times New Roman" w:cs="Times New Roman" w:eastAsia="Times New Roman" w:hAnsi="Times New Roman"/>
          <w:sz w:val="14"/>
          <w:szCs w:val="14"/>
          <w:color w:val="auto"/>
        </w:rPr>
        <w:t>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in our governing documents, as well as provisions of Delaware law, could impair a takeover attempt.</w:t>
      </w:r>
    </w:p>
    <w:p>
      <w:pPr>
        <w:spacing w:after="0" w:line="93"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our bylaws and Delaware law each contain provisions that could have the effect of delaying or preventing changes in control or changes in our management without the consent of our board of directors. These provisions include:</w:t>
      </w:r>
    </w:p>
    <w:p>
      <w:pPr>
        <w:spacing w:after="0" w:line="51" w:lineRule="exact"/>
        <w:rPr>
          <w:sz w:val="20"/>
          <w:szCs w:val="20"/>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cumulative voting in the election of directors, which limits the ability of minority stockholders to elect director candidates;</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6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6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liability of, and providing indemnification to, our directors and officers;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the procedures for the conduct and scheduling of stockholder meetings;</w:t>
      </w:r>
    </w:p>
    <w:p>
      <w:pPr>
        <w:spacing w:after="0" w:line="10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the ability to remove directors with cause by the affirmative vote of 66 2/3% in voting power of the outstanding shares of Common Stock entitled to vote thereon;</w:t>
      </w:r>
    </w:p>
    <w:p>
      <w:pPr>
        <w:spacing w:after="0" w:line="51" w:lineRule="exact"/>
        <w:rPr>
          <w:rFonts w:ascii="Times New Roman" w:cs="Times New Roman" w:eastAsia="Times New Roman" w:hAnsi="Times New Roman"/>
          <w:sz w:val="14"/>
          <w:szCs w:val="14"/>
          <w:color w:val="auto"/>
        </w:rPr>
      </w:pPr>
    </w:p>
    <w:p>
      <w:pPr>
        <w:jc w:val="both"/>
        <w:ind w:left="2120" w:right="23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affirmative vote of at least 66 2/3%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w:t>
      </w:r>
    </w:p>
    <w:p>
      <w:pPr>
        <w:spacing w:after="0" w:line="6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40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These provisions, alone or together, could delay hostile takeovers and changes in control of us or changes in our Board and our management.</w:t>
      </w:r>
    </w:p>
    <w:p>
      <w:pPr>
        <w:spacing w:after="0" w:line="175"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w:t>
      </w:r>
    </w:p>
    <w:p>
      <w:pPr>
        <w:spacing w:after="0" w:line="226"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w:t>
      </w:r>
    </w:p>
    <w:p>
      <w:pPr>
        <w:spacing w:after="0" w:line="5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w:t>
      </w:r>
    </w:p>
    <w:p>
      <w:pPr>
        <w:spacing w:after="0" w:line="144" w:lineRule="exact"/>
        <w:rPr>
          <w:sz w:val="20"/>
          <w:szCs w:val="20"/>
          <w:color w:val="auto"/>
        </w:rPr>
      </w:pPr>
    </w:p>
    <w:p>
      <w:pPr>
        <w:ind w:left="1360" w:right="219"/>
        <w:spacing w:after="0" w:line="258" w:lineRule="auto"/>
        <w:rPr>
          <w:sz w:val="20"/>
          <w:szCs w:val="20"/>
          <w:color w:val="auto"/>
        </w:rPr>
      </w:pPr>
      <w:r>
        <w:rPr>
          <w:rFonts w:ascii="Times New Roman" w:cs="Times New Roman" w:eastAsia="Times New Roman" w:hAnsi="Times New Roman"/>
          <w:sz w:val="14"/>
          <w:szCs w:val="14"/>
          <w:color w:val="auto"/>
        </w:rPr>
        <w:t>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w:t>
      </w:r>
    </w:p>
    <w:p>
      <w:pPr>
        <w:spacing w:after="0" w:line="144" w:lineRule="exact"/>
        <w:rPr>
          <w:sz w:val="20"/>
          <w:szCs w:val="20"/>
          <w:color w:val="auto"/>
        </w:rPr>
      </w:pPr>
    </w:p>
    <w:p>
      <w:pPr>
        <w:ind w:left="1360" w:right="319"/>
        <w:spacing w:after="0" w:line="276" w:lineRule="auto"/>
        <w:rPr>
          <w:sz w:val="20"/>
          <w:szCs w:val="20"/>
          <w:color w:val="auto"/>
        </w:rPr>
      </w:pPr>
      <w:r>
        <w:rPr>
          <w:rFonts w:ascii="Times New Roman" w:cs="Times New Roman" w:eastAsia="Times New Roman" w:hAnsi="Times New Roman"/>
          <w:sz w:val="13"/>
          <w:szCs w:val="13"/>
          <w:color w:val="auto"/>
        </w:rPr>
        <w:t>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40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both"/>
        <w:ind w:left="1360" w:right="21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51" w:lineRule="exact"/>
        <w:rPr>
          <w:sz w:val="20"/>
          <w:szCs w:val="20"/>
          <w:color w:val="auto"/>
        </w:rPr>
      </w:pPr>
    </w:p>
    <w:p>
      <w:pPr>
        <w:ind w:left="1360" w:right="339"/>
        <w:spacing w:after="0" w:line="296" w:lineRule="auto"/>
        <w:rPr>
          <w:sz w:val="20"/>
          <w:szCs w:val="20"/>
          <w:color w:val="auto"/>
        </w:rPr>
      </w:pPr>
      <w:r>
        <w:rPr>
          <w:rFonts w:ascii="Times New Roman" w:cs="Times New Roman" w:eastAsia="Times New Roman" w:hAnsi="Times New Roman"/>
          <w:sz w:val="13"/>
          <w:szCs w:val="13"/>
          <w:color w:val="auto"/>
        </w:rPr>
        <w:t>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20"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for the foreseeable future.</w:t>
      </w:r>
    </w:p>
    <w:p>
      <w:pPr>
        <w:spacing w:after="0" w:line="9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231" w:lineRule="exact"/>
        <w:rPr>
          <w:sz w:val="20"/>
          <w:szCs w:val="20"/>
          <w:color w:val="auto"/>
        </w:rPr>
      </w:pPr>
    </w:p>
    <w:p>
      <w:pPr>
        <w:ind w:left="1360" w:right="2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publish negative reports, the market price of our Common Stock could decline.</w:t>
      </w:r>
    </w:p>
    <w:p>
      <w:pPr>
        <w:spacing w:after="0" w:line="39"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trading market for our Common Stock may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226"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w:t>
      </w:r>
    </w:p>
    <w:p>
      <w:pPr>
        <w:spacing w:after="0" w:line="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We have funded our operations since inception primarily through continued financial support from our shareholders and other related parties. We cannot be certain when or if our operations will generate sufficient cash to fund our ongoing operations or the growth of our business. Additionally, our business plans may change, general economic, financial or political conditions in our markets may deteriorate or other circumstances may arise, in each case that have a material adverse effect on our cash flows and the anticipated cash needs of our</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407"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business.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Any of these events or circumstances could result in significant additional funding needs, requiring us to raise additional capital. We cannot predict the timing or amount of any such capital requirements at this time.</w:t>
      </w:r>
    </w:p>
    <w:p>
      <w:pPr>
        <w:spacing w:after="0" w:line="14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Additional financing may not be available on favorable terms, if at all, and any additional financing through issuances of equity securities may be dilutive to holders of our common stock. If adequate funds are not available on acceptable terms, we may be unable to continue to operate our business. If we incur debt, the terms of such debt, including the accrual of interest at fixed or variable interest rates, could restrict our operations, including our ability to pay dividends on our common stock.</w:t>
      </w:r>
    </w:p>
    <w:p>
      <w:pPr>
        <w:spacing w:after="0" w:line="14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Furthermore, if we incur debt, the debt holders could have rights senior to holders of our Common Stock to make claims on our assets. As a result, our stockholders bear the risk of future issuances of debt securities reducing the value of our Common Stock.</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407"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both"/>
        <w:ind w:left="1360" w:right="559"/>
        <w:spacing w:after="0" w:line="267" w:lineRule="auto"/>
        <w:rPr>
          <w:sz w:val="20"/>
          <w:szCs w:val="20"/>
          <w:color w:val="auto"/>
        </w:rPr>
      </w:pPr>
      <w:r>
        <w:rPr>
          <w:rFonts w:ascii="Times New Roman" w:cs="Times New Roman" w:eastAsia="Times New Roman" w:hAnsi="Times New Roman"/>
          <w:sz w:val="14"/>
          <w:szCs w:val="14"/>
          <w:color w:val="auto"/>
        </w:rPr>
        <w:t>All of the shares of Common Stock offered by the selling stockholders pursuant to this prospectus will be sold by the selling stockholders for their accounts. We will not receive any of the proceeds from these sales. However, we may receive up to approximately $46.9 million in aggregate gross proceeds from the exercise of the Warrants, assuming they are exercised in full and for cash.</w:t>
      </w:r>
    </w:p>
    <w:p>
      <w:pPr>
        <w:spacing w:after="0" w:line="136"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selling stockholders will pay any underwriting discounts and commissions and expenses incurred by it for brokerage, accounting, tax or legal services or any other expenses incurred by it in disposing of the shares. We will bear all other costs, fees and expenses incurred in effecting the registration of the shares covered by this prospectus, including, without limitation, all registration and filing fees, exchange listing fees and fees of our counsel and our independent registered public accountants.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40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ind w:left="1360" w:right="339"/>
        <w:spacing w:after="0" w:line="280" w:lineRule="auto"/>
        <w:rPr>
          <w:sz w:val="20"/>
          <w:szCs w:val="20"/>
          <w:color w:val="auto"/>
        </w:rPr>
      </w:pPr>
      <w:r>
        <w:rPr>
          <w:rFonts w:ascii="Times New Roman" w:cs="Times New Roman" w:eastAsia="Times New Roman" w:hAnsi="Times New Roman"/>
          <w:sz w:val="13"/>
          <w:szCs w:val="13"/>
          <w:color w:val="auto"/>
        </w:rPr>
        <w:t>We have never declared or paid any cash dividends on our Common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40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59"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nine months ended September 30, 2025 and 2024 as well as our audited consolidated financial statements for the years ended December 31, 2024 and 2023.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91"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i w:val="1"/>
          <w:iCs w:val="1"/>
          <w:color w:val="auto"/>
        </w:rPr>
        <w:t>Unless otherwise indicated, references to “we”, “us”, “our”, “Blaize” or the “Company” in this Management’s Discussion and Analysis of Financial Condition and Results of Operations are to Blaize Holdings, Inc. The following discussion and analysis of our financial condition and results of operations should be read in conjunction with our condensed consolidated financial statements and related notes thereto, included in the “Risk Factors” section of this Prospectus, and the information included in our Current Report on Form 8-K/A, as filed with the U.S. Securities and Exchange Commission (“SEC”) on April 15, 2025, and the previous Quarterly Reports on Form 10-Q as filed with the SEC on May 14, 2025 and August 14, 2025, respectively.</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We provide purpose-built, transformative artificial intelligence (“AI”)-enabled edge computing solutions comprised of hardware and software intended to optimize AI from the edge to the core, with a full-stack programmable processor architecture suite and low- 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Trends and Recent Developments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Overall Macroeconomic Environment and its Effect on Blaize</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3"/>
          <w:szCs w:val="13"/>
          <w:color w:val="auto"/>
        </w:rPr>
        <w:t>In the first quarter of 2025, the United States (“U.S.”) government announced the forthcoming imposition of a series of new tariff policies affecting imports from many countries, including China. At the same time, many countries, including China, threatened retaliatory tariff regimes. Subsequently, China announced tighter export controls on certain rare earth metals, which are critical for high-tech manufacturing, and the U.S. government announced additional tariffs. Further, the regulations restricting the export of certain products and technology from the U.S. to China continue to be fluid, which could affect our business in China. These export controls, regulations, and tariffs are currently subject to ongoing negotiation.</w:t>
      </w:r>
    </w:p>
    <w:p>
      <w:pPr>
        <w:spacing w:after="0" w:line="128"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While the legality and ultimate implications of the tariffs imposed by the U.S. government remain unclear, tariffs could materially increase our import costs and potentially lead to higher prices that may reduce consumer demand, and add an overall element of uncertainty to the U.S. economy. We are proactively evaluating strategies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407"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to mitigate the impact of tariffs on our supply chain and costs. These strategies include exploring alternative sourcing outside of China, working with our suppliers to manage cost increases, and implementing price increases. These actions may not fully offset the impact of tariffs and, as a result, our revenues, cost of materials, and overall financial performance may be materially affected.</w:t>
      </w:r>
    </w:p>
    <w:p>
      <w:pPr>
        <w:spacing w:after="0" w:line="136" w:lineRule="exact"/>
        <w:rPr>
          <w:sz w:val="20"/>
          <w:szCs w:val="20"/>
          <w:color w:val="auto"/>
        </w:rPr>
      </w:pPr>
    </w:p>
    <w:p>
      <w:pPr>
        <w:ind w:left="1360" w:right="499"/>
        <w:spacing w:after="0" w:line="261" w:lineRule="auto"/>
        <w:rPr>
          <w:sz w:val="20"/>
          <w:szCs w:val="20"/>
          <w:color w:val="auto"/>
        </w:rPr>
      </w:pPr>
      <w:r>
        <w:rPr>
          <w:rFonts w:ascii="Times New Roman" w:cs="Times New Roman" w:eastAsia="Times New Roman" w:hAnsi="Times New Roman"/>
          <w:sz w:val="14"/>
          <w:szCs w:val="14"/>
          <w:color w:val="auto"/>
        </w:rPr>
        <w:t>Adding to overall economic uncertainty, the U.S. government has ceased all operations but those deemed essential (the “government shutdown”). During a government shutdown, import and export processes can slow, especially if agencies involved reduce staff levels. Further, the SEC does not review registration statements during a government shutdown, which could limit our access to public capital markets until the government resumes normal operations.</w:t>
      </w:r>
    </w:p>
    <w:p>
      <w:pPr>
        <w:spacing w:after="0" w:line="14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On July 4, 2025, the “One Big Beautiful Bill Act” (the “OBBBA”) was signed into law. The OBBBA makes permanent key elements of the Tax Cuts and Jobs Act, including 100% bonus depreciation, domestic research cost expensing, and the business interest expense limitation. In accordance with ASC 740, Income Taxes, the effects of the new tax law will be recognized in the period of enactment. We are in the process of evaluating the impact of OBBBA on our condensed consolidated financial statements. Any results of such evaluations will be reflected on our consolidated financial statements included in our Annual Report on Form 10-K for the year ended December 31, 2025.</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 in Our Business</w:t>
      </w:r>
    </w:p>
    <w:p>
      <w:pPr>
        <w:spacing w:after="0" w:line="93"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On July 14, 2025, we entered into a $50.0 million common stock purchase agreement (“Committed Equity Facility”) with B. Riley Principal Capital II, LLC (“B. Riley”). We expect to use the proceeds from this facility to accelerate commercialization of our South Asia smart infrastructure contract and investment in our next-generation chip, as well as for working capital and general corporate purposes.</w:t>
      </w:r>
    </w:p>
    <w:p>
      <w:pPr>
        <w:spacing w:after="0" w:line="13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On November 10, 2025, Blaize and Polar entered into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Pipeline</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have identified potential future business opportunities that could significantly accelerate growth through near-term customer implementations. Although we have no contractual arrangement(s) with respect to such pipeline and there is no assurance of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Proof of Concept Stage</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September 30, 2025, a total of 53 POCs were initiated or in progress with a potential customer.</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40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Partners</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September 30, 2025, we had a total of 42 Partners.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Design Wins</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September 30, 2025, a total of 26 Design Wins have been confirmed with a Partner or customer.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3"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following tables set forth Blaize’s condensed consolidated statements of operations data for the periods presented, as well as the changes between periods. The period-to-period comparison of financial results is not necessarily indicative of future results.</w:t>
      </w:r>
    </w:p>
    <w:p>
      <w:pPr>
        <w:spacing w:after="0" w:line="1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Three and nine months ended September 30, 2025 compared to three and nine months ended September 30, 2024</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currently derive revenue through a combination of:</w:t>
      </w:r>
    </w:p>
    <w:p>
      <w:pPr>
        <w:spacing w:after="0" w:line="102" w:lineRule="exact"/>
        <w:rPr>
          <w:sz w:val="20"/>
          <w:szCs w:val="20"/>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Hardware revenue — encompasses the sale of our semiconductor products through various supply agreements.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Software revenue — encompasses the sale of our applications and other software products through various licensing agreements.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Engineering services revenue — providing customized design services to our customers, tailored to their specific requirements.</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our revenue for the three and nine months ended September 30, 2025 and 2024:</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gridSpan w:val="2"/>
          </w:tcPr>
          <w:p>
            <w:pPr>
              <w:jc w:val="center"/>
              <w:ind w:left="241"/>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200" w:type="dxa"/>
            <w:vAlign w:val="bottom"/>
          </w:tcPr>
          <w:p>
            <w:pPr>
              <w:spacing w:after="0"/>
              <w:rPr>
                <w:sz w:val="10"/>
                <w:szCs w:val="10"/>
                <w:color w:val="auto"/>
              </w:rPr>
            </w:pP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for percentages)</w:t>
            </w:r>
          </w:p>
        </w:tc>
        <w:tc>
          <w:tcPr>
            <w:tcW w:w="820" w:type="dxa"/>
            <w:vAlign w:val="bottom"/>
          </w:tcPr>
          <w:p>
            <w:pPr>
              <w:spacing w:after="0"/>
              <w:rPr>
                <w:sz w:val="11"/>
                <w:szCs w:val="11"/>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70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66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940" w:type="dxa"/>
            <w:vAlign w:val="bottom"/>
            <w:tcBorders>
              <w:bottom w:val="single" w:sz="8" w:color="CCEEFF"/>
            </w:tcBorders>
            <w:vMerge w:val="continue"/>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6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13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6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bottom w:val="single" w:sz="8" w:color="CCEEFF"/>
            </w:tcBorders>
          </w:tcPr>
          <w:p>
            <w:pPr>
              <w:spacing w:after="0"/>
              <w:rPr>
                <w:sz w:val="9"/>
                <w:szCs w:val="9"/>
                <w:color w:val="auto"/>
              </w:rPr>
            </w:pPr>
          </w:p>
        </w:tc>
        <w:tc>
          <w:tcPr>
            <w:tcW w:w="380" w:type="dxa"/>
            <w:vAlign w:val="bottom"/>
            <w:tcBorders>
              <w:bottom w:val="single" w:sz="8" w:color="auto"/>
            </w:tcBorders>
          </w:tcPr>
          <w:p>
            <w:pPr>
              <w:jc w:val="right"/>
              <w:ind w:right="1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13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9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revenue</w:t>
            </w:r>
          </w:p>
        </w:tc>
        <w:tc>
          <w:tcPr>
            <w:tcW w:w="8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$11,867</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$781</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$11,086</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w w:val="97"/>
              </w:rPr>
              <w:t>1,419%</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$14,856</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$1,553</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$13,303</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857%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For the three months ended September 30, 2025, revenue increased 1,419% to $11.9 million, compared to $0.8 million for the three months ended September 30, 2024. This increase in revenue was primarily due to hardware sold to a new customer which included $10.4 million of revenue for the three months ended September 30, 2025, with the remainder of this increase due to hardware sold to a related party,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144" w:lineRule="exact"/>
        <w:rPr>
          <w:sz w:val="20"/>
          <w:szCs w:val="20"/>
          <w:color w:val="auto"/>
        </w:rPr>
      </w:pPr>
    </w:p>
    <w:p>
      <w:pPr>
        <w:ind w:left="1360" w:right="819"/>
        <w:spacing w:after="0" w:line="283" w:lineRule="auto"/>
        <w:rPr>
          <w:sz w:val="20"/>
          <w:szCs w:val="20"/>
          <w:color w:val="auto"/>
        </w:rPr>
      </w:pPr>
      <w:r>
        <w:rPr>
          <w:rFonts w:ascii="Times New Roman" w:cs="Times New Roman" w:eastAsia="Times New Roman" w:hAnsi="Times New Roman"/>
          <w:sz w:val="14"/>
          <w:szCs w:val="14"/>
          <w:color w:val="auto"/>
        </w:rPr>
        <w:t>For the nine months ended September 30, 2025, revenue increased 857% to $14.9 million compared to $1.6 million for the nine months ended September 30, 2024. The increase was primarily due to hardware sales to</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407"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 new customer in the third quarter of 2025 of $10.4 million, while revenue from the comparable period in 2024 was derived primarily from engineering services provided to a related party. Engineering services revenue with the related party is no longer expected, as the development contract with this party has been completed.</w:t>
      </w:r>
    </w:p>
    <w:p>
      <w:pPr>
        <w:spacing w:after="0" w:line="136"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following table sets forth our revenue by the geographical location of our customers for the three and nine months ended September 30, 2025 and 2024:</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7"/>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9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for percentages)</w:t>
            </w:r>
          </w:p>
        </w:tc>
        <w:tc>
          <w:tcPr>
            <w:tcW w:w="20" w:type="dxa"/>
            <w:vAlign w:val="bottom"/>
          </w:tcPr>
          <w:p>
            <w:pPr>
              <w:spacing w:after="0"/>
              <w:rPr>
                <w:sz w:val="9"/>
                <w:szCs w:val="9"/>
                <w:color w:val="auto"/>
              </w:rPr>
            </w:pPr>
          </w:p>
        </w:tc>
        <w:tc>
          <w:tcPr>
            <w:tcW w:w="640" w:type="dxa"/>
            <w:vAlign w:val="bottom"/>
            <w:tcBorders>
              <w:bottom w:val="single" w:sz="8" w:color="auto"/>
            </w:tcBorders>
            <w:gridSpan w:val="2"/>
          </w:tcPr>
          <w:p>
            <w:pPr>
              <w:jc w:val="right"/>
              <w:ind w:right="2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auto"/>
            </w:tcBorders>
            <w:gridSpan w:val="2"/>
          </w:tcPr>
          <w:p>
            <w:pPr>
              <w:jc w:val="right"/>
              <w:ind w:right="4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980" w:type="dxa"/>
            <w:vAlign w:val="bottom"/>
            <w:tcBorders>
              <w:bottom w:val="single" w:sz="8" w:color="CCEEFF"/>
            </w:tcBorders>
            <w:vMerge w:val="continue"/>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jc w:val="right"/>
              <w:ind w:right="1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9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Asia Pacific</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$10,445</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75"/>
              </w:rPr>
              <w:t>— </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jc w:val="right"/>
              <w:ind w:right="3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$ 11,411</w:t>
            </w: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333</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80" w:type="dxa"/>
            <w:vAlign w:val="bottom"/>
          </w:tcPr>
          <w:p>
            <w:pPr>
              <w:spacing w:after="0"/>
              <w:rPr>
                <w:sz w:val="14"/>
                <w:szCs w:val="14"/>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779</w:t>
            </w:r>
          </w:p>
        </w:tc>
        <w:tc>
          <w:tcPr>
            <w:tcW w:w="200" w:type="dxa"/>
            <w:vAlign w:val="bottom"/>
          </w:tcPr>
          <w:p>
            <w:pPr>
              <w:spacing w:after="0"/>
              <w:rPr>
                <w:sz w:val="14"/>
                <w:szCs w:val="14"/>
                <w:color w:val="auto"/>
              </w:rPr>
            </w:pP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100%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200" w:type="dxa"/>
            <w:vAlign w:val="bottom"/>
          </w:tcPr>
          <w:p>
            <w:pPr>
              <w:spacing w:after="0"/>
              <w:rPr>
                <w:sz w:val="14"/>
                <w:szCs w:val="14"/>
                <w:color w:val="auto"/>
              </w:rPr>
            </w:pP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1,215</w:t>
            </w:r>
          </w:p>
        </w:tc>
        <w:tc>
          <w:tcPr>
            <w:tcW w:w="2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68"/>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93"/>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11,867</w:t>
            </w: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781</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14,856</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1,553</w:t>
            </w:r>
          </w:p>
        </w:tc>
        <w:tc>
          <w:tcPr>
            <w:tcW w:w="2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559"/>
        <w:spacing w:after="0" w:line="267" w:lineRule="auto"/>
        <w:rPr>
          <w:sz w:val="20"/>
          <w:szCs w:val="20"/>
          <w:color w:val="auto"/>
        </w:rPr>
      </w:pPr>
      <w:r>
        <w:rPr>
          <w:rFonts w:ascii="Times New Roman" w:cs="Times New Roman" w:eastAsia="Times New Roman" w:hAnsi="Times New Roman"/>
          <w:sz w:val="14"/>
          <w:szCs w:val="14"/>
          <w:color w:val="auto"/>
        </w:rPr>
        <w:t>Thus far in 2025, our revenue was derived from two significant customers, one significant customer located in the Asia Pacific region, who is not a related party, and one significant customer located in North America, who is a related party. In 2024, our revenue was derived from two different customers, located in both North America and Asia Pacific, and both of whom were related parties.</w:t>
      </w:r>
    </w:p>
    <w:p>
      <w:pPr>
        <w:spacing w:after="0" w:line="136"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We expect our growth to continue in both Asia Pacific and North America. Since our revenue is concentrated among a small number of customers, revenue from any one significant customer may change the geographical mix of our revenue.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Costs and Expenses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associated with the servicing of our engineering services revenue contracts. Engineering services revenue with the related party is no longer expected, as the development contract with this party has been completed. There is no depreciation and amortization allocable to cost of revenue; however, if such depreciation and amortization expense were to be incurred, it would be allocated to cost of revenue.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3"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Selling, General and Administrative</w:t>
      </w:r>
    </w:p>
    <w:p>
      <w:pPr>
        <w:spacing w:after="0" w:line="93" w:lineRule="exact"/>
        <w:rPr>
          <w:sz w:val="20"/>
          <w:szCs w:val="20"/>
          <w:color w:val="auto"/>
        </w:rPr>
      </w:pPr>
    </w:p>
    <w:p>
      <w:pPr>
        <w:jc w:val="both"/>
        <w:ind w:left="1360" w:right="479"/>
        <w:spacing w:after="0" w:line="267" w:lineRule="auto"/>
        <w:rPr>
          <w:sz w:val="20"/>
          <w:szCs w:val="20"/>
          <w:color w:val="auto"/>
        </w:rPr>
      </w:pPr>
      <w:r>
        <w:rPr>
          <w:rFonts w:ascii="Times New Roman" w:cs="Times New Roman" w:eastAsia="Times New Roman" w:hAnsi="Times New Roman"/>
          <w:sz w:val="14"/>
          <w:szCs w:val="14"/>
          <w:color w:val="auto"/>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40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93"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Depreciation and amortization consists of ordinary depreciation and amortization on long-lived assets such as computer equipment, furniture and fixtures, leasehold improvements, and office equipment and is generally not material to us.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Transaction Costs</w:t>
      </w:r>
    </w:p>
    <w:p>
      <w:pPr>
        <w:spacing w:after="0" w:line="93" w:lineRule="exact"/>
        <w:rPr>
          <w:sz w:val="20"/>
          <w:szCs w:val="20"/>
          <w:color w:val="auto"/>
        </w:rPr>
      </w:pPr>
    </w:p>
    <w:p>
      <w:pPr>
        <w:ind w:left="1360" w:right="539"/>
        <w:spacing w:after="0" w:line="281" w:lineRule="auto"/>
        <w:rPr>
          <w:sz w:val="20"/>
          <w:szCs w:val="20"/>
          <w:color w:val="auto"/>
        </w:rPr>
      </w:pPr>
      <w:r>
        <w:rPr>
          <w:rFonts w:ascii="Times New Roman" w:cs="Times New Roman" w:eastAsia="Times New Roman" w:hAnsi="Times New Roman"/>
          <w:sz w:val="13"/>
          <w:szCs w:val="13"/>
          <w:color w:val="auto"/>
        </w:rPr>
        <w:t>Transaction costs consisted of direct incremental legal, consulting, and banking fees related to the consummation of the transactions (the “Merger”) contemplated by the Agreement and Plan of Merger (the “Merger Agreement”), dated as of December 22, 2023 (as amended on April 22,</w:t>
      </w:r>
    </w:p>
    <w:p>
      <w:pPr>
        <w:spacing w:after="0" w:line="1" w:lineRule="exact"/>
        <w:rPr>
          <w:sz w:val="20"/>
          <w:szCs w:val="20"/>
          <w:color w:val="auto"/>
        </w:rPr>
      </w:pPr>
    </w:p>
    <w:p>
      <w:pPr>
        <w:ind w:left="1360" w:right="639"/>
        <w:spacing w:after="0" w:line="261" w:lineRule="auto"/>
        <w:rPr>
          <w:sz w:val="20"/>
          <w:szCs w:val="20"/>
          <w:color w:val="auto"/>
        </w:rPr>
      </w:pPr>
      <w:r>
        <w:rPr>
          <w:rFonts w:ascii="Times New Roman" w:cs="Times New Roman" w:eastAsia="Times New Roman" w:hAnsi="Times New Roman"/>
          <w:sz w:val="14"/>
          <w:szCs w:val="14"/>
          <w:color w:val="auto"/>
        </w:rPr>
        <w:t>2024, October 24, 2024 and November 21, 2024), which was completed in the first quarter of 2025. No additional costs relating to the Merger are expected to be incurred.</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Detail of Costs and Expenses</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our costs and expenses, as described above, for the three and nine months ended September 30, 2025 and 2024:</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for percentages)</w:t>
            </w:r>
          </w:p>
        </w:tc>
        <w:tc>
          <w:tcPr>
            <w:tcW w:w="260" w:type="dxa"/>
            <w:vAlign w:val="bottom"/>
          </w:tcPr>
          <w:p>
            <w:pPr>
              <w:spacing w:after="0"/>
              <w:rPr>
                <w:sz w:val="11"/>
                <w:szCs w:val="11"/>
                <w:color w:val="auto"/>
              </w:rPr>
            </w:pPr>
          </w:p>
        </w:tc>
        <w:tc>
          <w:tcPr>
            <w:tcW w:w="108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1"/>
                <w:szCs w:val="11"/>
                <w:color w:val="auto"/>
              </w:rPr>
            </w:pPr>
          </w:p>
        </w:tc>
        <w:tc>
          <w:tcPr>
            <w:tcW w:w="820" w:type="dxa"/>
            <w:vAlign w:val="bottom"/>
            <w:tcBorders>
              <w:bottom w:val="single" w:sz="8" w:color="auto"/>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1"/>
                <w:szCs w:val="11"/>
                <w:color w:val="auto"/>
              </w:rPr>
            </w:pPr>
          </w:p>
        </w:tc>
        <w:tc>
          <w:tcPr>
            <w:tcW w:w="740" w:type="dxa"/>
            <w:vAlign w:val="bottom"/>
            <w:tcBorders>
              <w:bottom w:val="single" w:sz="8" w:color="auto"/>
            </w:tcBorders>
            <w:gridSpan w:val="2"/>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040" w:type="dxa"/>
            <w:vAlign w:val="bottom"/>
            <w:tcBorders>
              <w:bottom w:val="single" w:sz="8" w:color="CCEEFF"/>
            </w:tcBorders>
            <w:gridSpan w:val="2"/>
            <w:vMerge w:val="continue"/>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78"/>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157"/>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3"/>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6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5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13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CCEEFF"/>
            </w:tcBorders>
          </w:tcPr>
          <w:p>
            <w:pPr>
              <w:spacing w:after="0"/>
              <w:rPr>
                <w:sz w:val="9"/>
                <w:szCs w:val="9"/>
                <w:color w:val="auto"/>
              </w:rPr>
            </w:pPr>
          </w:p>
        </w:tc>
        <w:tc>
          <w:tcPr>
            <w:tcW w:w="4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04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Cost of revenue</w:t>
            </w: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$10,091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476</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$ 9,615</w:t>
            </w:r>
          </w:p>
        </w:tc>
        <w:tc>
          <w:tcPr>
            <w:tcW w:w="3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$11,222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1,039</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$10,183</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68"/>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3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15,765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16,642</w:t>
            </w:r>
          </w:p>
        </w:tc>
        <w:tc>
          <w:tcPr>
            <w:tcW w:w="280" w:type="dxa"/>
            <w:vAlign w:val="bottom"/>
            <w:shd w:val="clear" w:color="auto" w:fill="CCEEFF"/>
          </w:tcPr>
          <w:p>
            <w:pPr>
              <w:spacing w:after="0"/>
              <w:rPr>
                <w:sz w:val="14"/>
                <w:szCs w:val="14"/>
                <w:color w:val="auto"/>
              </w:rPr>
            </w:pPr>
          </w:p>
        </w:tc>
        <w:tc>
          <w:tcPr>
            <w:tcW w:w="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8"/>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14,321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8,775</w:t>
            </w:r>
          </w:p>
        </w:tc>
        <w:tc>
          <w:tcPr>
            <w:tcW w:w="36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40,207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14,538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25,669</w:t>
            </w:r>
          </w:p>
        </w:tc>
        <w:tc>
          <w:tcPr>
            <w:tcW w:w="280" w:type="dxa"/>
            <w:vAlign w:val="bottom"/>
          </w:tcPr>
          <w:p>
            <w:pPr>
              <w:spacing w:after="0"/>
              <w:rPr>
                <w:sz w:val="14"/>
                <w:szCs w:val="14"/>
                <w:color w:val="auto"/>
              </w:rPr>
            </w:pPr>
          </w:p>
        </w:tc>
        <w:tc>
          <w:tcPr>
            <w:tcW w:w="5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68"/>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 related party</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455**</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36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8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(77)**</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11,880**</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11,673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$12,688</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$86,123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31,154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$54,969</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 material</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 meaningful</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9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For the three months ended September 30, 2025, cost of revenue increased by $9.6 million, or 2,020%, to $10.1 million, compared to $0.5 million for the three months ended September 30, 2024. The increase was primarily driven by higher hardware costs required to fulfil sales contracts during the current period.</w:t>
      </w:r>
    </w:p>
    <w:p>
      <w:pPr>
        <w:spacing w:after="0" w:line="136"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For the nine months ended September 30, 2025, cost of revenue increased by $10.2 million, or 980%, to $11.2 million, compared to $1.0 million for the nine months ended September 30, 2024. The increase was primarily driven by higher hardware costs required to fulfil sales contracts during the current period.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R&amp;D</w:t>
      </w:r>
    </w:p>
    <w:p>
      <w:pPr>
        <w:spacing w:after="0" w:line="93"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For the three months ended September 30, 2025, R&amp;D expense increased by $3.9 million, or 67%, to $9.7 million, compared to $5.8 million for the three months ended September 30, 2024. The increase was primarily due to higher stock-based compensation expenses allocated to R&amp;D and the acquisition of third-party intellectual property for new chip development.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40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For the nine months ended September 30, 2025, R&amp;D expense increased by $16.6 million, or 106%, to $32.4 million, compared to $15.8 million for the nine months ended September 30, 2024. The increase was primarily due to higher stock-based compensation expenses allocated to R&amp;D and the acquisition of third-party intellectual property for new chip development.</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increases in R&amp;D expenses described above are expected to continue as we support the development of our next generation of products.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SG&amp;A</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For the three months ended September 30, 2025, SG&amp;A expense increased by $8.8 million, or 158%, to $14.3 million compared to $5.5 million for the three months ended September 30, 2024. This increase was primarily due to stock-based compensation expense, which is the largest component of payroll expense, which is, in turn, the largest component of SG&amp;A.</w:t>
      </w:r>
    </w:p>
    <w:p>
      <w:pPr>
        <w:spacing w:after="0" w:line="136"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For the nine months ended September 30, 2025, SG&amp;A expense increased by $25.7 million, or 177%, reaching $40.2 million, up from $14.5 million for the nine months ended September 30, 2024. This increase was primarily due to stock-based compensation expense, which is the largest component of payroll expense, which is, in turn, the largest component of SG&amp;A.</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the details of our total other expense, net, for the three and nine months ended September 30, 2025 and 2024:</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7"/>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 w:type="dxa"/>
            <w:vAlign w:val="bottom"/>
          </w:tcPr>
          <w:p>
            <w:pPr>
              <w:spacing w:after="0"/>
              <w:rPr>
                <w:sz w:val="11"/>
                <w:szCs w:val="11"/>
                <w:color w:val="auto"/>
              </w:rPr>
            </w:pPr>
          </w:p>
        </w:tc>
        <w:tc>
          <w:tcPr>
            <w:tcW w:w="700" w:type="dxa"/>
            <w:vAlign w:val="bottom"/>
            <w:gridSpan w:val="4"/>
            <w:vMerge w:val="restart"/>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for percentages)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6"/>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55"/>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7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tcBorders>
          </w:tcPr>
          <w:p>
            <w:pPr>
              <w:jc w:val="right"/>
              <w:ind w:right="13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right"/>
              <w:ind w:right="11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75"/>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195"/>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Debt financing charge on convertible notes</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   — </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79"/>
              </w:rPr>
              <w:t>  </w:t>
            </w:r>
          </w:p>
        </w:tc>
        <w:tc>
          <w:tcPr>
            <w:tcW w:w="1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13"/>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(464)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464</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w w:val="79"/>
              </w:rPr>
              <w:t>  </w:t>
            </w:r>
          </w:p>
        </w:tc>
        <w:tc>
          <w:tcPr>
            <w:tcW w:w="18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Gain (loss) on foreign exchange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(119)</w:t>
            </w: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convertible notes</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(15,398)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15,398</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(165,703)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(25,921)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(139,782)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539%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 of warrants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(60,345)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(61,600)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other earnout shares</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(3,798)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(3,798)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105,463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105,463</w:t>
            </w:r>
          </w:p>
        </w:tc>
        <w:tc>
          <w:tcPr>
            <w:tcW w:w="1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 of unissued shares of common stock</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committed equity facility</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3"/>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Other, net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other expense, net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(3,652)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(14,184)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10,532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(120,897)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(23,515)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(97,382)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700" w:hanging="345"/>
        <w:spacing w:after="0"/>
        <w:tabs>
          <w:tab w:leader="none" w:pos="17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meaningful</w:t>
      </w:r>
    </w:p>
    <w:p>
      <w:pPr>
        <w:spacing w:after="0" w:line="172"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Our “other expense, net” for the three and nine months ended September 20, 2025 compared to the three and nine months ended September 30, 2024 was driven by the fair value changes in the different financial instruments in place during each period. In the first quarter of 2025, as a result of the Merger, the convertible notes, convertible preferred stock, and warrants were all converted into shares of our common stock. These instruments were, therefore, only outstanding fully during the comparative period for 2024.</w:t>
      </w:r>
    </w:p>
    <w:p>
      <w:pPr>
        <w:spacing w:after="0" w:line="14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After the Merger, the earnout awards issued to Burkhan that were classified as a derivative liability, and the derivative asset (fair value of the initial put option) and liability (forward contracts at each date of purchase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40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common stock by B. Riley) associated with the Committed Equity Facility were recorded, and subsequently marked to market at the end of each quarterly period. “Other, net” includes fines and penalties as well as the Committed Equity Facility transaction fees.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to year ended December 31, 2023</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Blaize’s consolidated statements of operations data for the years ended December 31, 2024 and 2023, respectively.</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Year Ended December 31, ($ in thousands)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140" w:type="dxa"/>
            <w:vAlign w:val="bottom"/>
          </w:tcPr>
          <w:p>
            <w:pPr>
              <w:spacing w:after="0"/>
              <w:rPr>
                <w:sz w:val="11"/>
                <w:szCs w:val="11"/>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35"/>
        </w:trPr>
        <w:tc>
          <w:tcPr>
            <w:tcW w:w="5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Dollar</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Revenue</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Engineering services revenue – related party</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(2,315)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Hardware revenue</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69"/>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18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(3,077)</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w:t>
            </w:r>
          </w:p>
        </w:tc>
        <w:tc>
          <w:tcPr>
            <w:tcW w:w="1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(1,154)</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Loss on purchase commitments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70"/>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costs and expenses</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42,384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6,805</w:t>
            </w:r>
          </w:p>
        </w:tc>
        <w:tc>
          <w:tcPr>
            <w:tcW w:w="1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(47,635)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(38,528)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9,107</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financing charge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(35,832)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(35,832)</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Debt financing charge on convertible notes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(3,145)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(2,681)</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foreign exchange transactions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(10,022)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(9,532)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(5,701)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4,756</w:t>
            </w:r>
          </w:p>
        </w:tc>
        <w:tc>
          <w:tcPr>
            <w:tcW w:w="18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(14,512)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6"/>
              </w:rPr>
              <w:t>(49,659)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(35,147)</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69"/>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(62,147)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(88,187)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1"/>
              </w:rPr>
              <w:t>(26,040)</w:t>
            </w:r>
          </w:p>
        </w:tc>
        <w:tc>
          <w:tcPr>
            <w:tcW w:w="18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(952)</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(598)</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69"/>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(61,195</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(87,589</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(26,394</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Revenue decreased 60% to $1.6 million for the year ended December 31, 2024 compared to approximately $3.9 million for the year ended</w:t>
      </w:r>
    </w:p>
    <w:p>
      <w:pPr>
        <w:spacing w:after="0" w:line="22" w:lineRule="exact"/>
        <w:rPr>
          <w:sz w:val="20"/>
          <w:szCs w:val="20"/>
          <w:color w:val="auto"/>
        </w:rPr>
      </w:pPr>
    </w:p>
    <w:p>
      <w:pPr>
        <w:jc w:val="both"/>
        <w:ind w:left="1360" w:right="259"/>
        <w:spacing w:after="0" w:line="256" w:lineRule="auto"/>
        <w:rPr>
          <w:sz w:val="20"/>
          <w:szCs w:val="20"/>
          <w:color w:val="auto"/>
        </w:rPr>
      </w:pPr>
      <w:r>
        <w:rPr>
          <w:rFonts w:ascii="Times New Roman" w:cs="Times New Roman" w:eastAsia="Times New Roman" w:hAnsi="Times New Roman"/>
          <w:sz w:val="14"/>
          <w:szCs w:val="14"/>
          <w:color w:val="auto"/>
        </w:rPr>
        <w:t>December 31, 2023, primarily due to us reaching the end of our multi-year license and development contract with a strategic investor resulting in a $2.6 million decrease compared to the year ended December 31, 2023. This reduction was partially offset by $0.3 million associated with a new development arrangement entered into with a separate strategic investor during the year ended December 31, 2024.</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(exclusive of depreciation and amortization)</w:t>
      </w:r>
    </w:p>
    <w:p>
      <w:pPr>
        <w:spacing w:after="0" w:line="93"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Cost of revenue (excluding depreciation and amortization) for the year ended December 31, 2024 reflects a decrease of $3.1 million, or 84%, compared to the year ended December 31, 2023. This decrease was primarily driven by a $2.9 million decrease in charges for excess inventory and a $0.4 million decrease in direct labor costs commensurate with the decrease in engineering services revenue, partially offset by a $0.1 million increase in costs for inventory carrying costs with an outside supplier and a $0.1 reduction in other miscellaneous costs.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40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Research and development expense for the year ended December 31, 2024 increased $7.0 million or 39% compared to the year ended December 31, 2023. The increase was primarily driven by an increase in personnel costs of $4.4 million, an increase in IP licenses and design services of $2.4 million associated with the development of our new chip, an increase in other miscellaneous research and development costs of $0.2 million, and an increase in integration service of $0.6 million, partially offset by a $0.6 million reduction in external engineering services. We expect research and development to continue to increase to support the development of our next generation product portfolio in future years.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Selling, general and administrative expense for the year ended December 31, 2024 increased $5.1 million or 30% compared to the year ended December 31, 2023. The increase was primarily due to a $3.5 million increase in employee related costs, a $1.1 million increase in legal and accounting costs incurred in support of public company readiness efforts, a $0.5 million increase in marketing costs, and a $0.5 million increase in business development costs. The increases were partially offset by a $0.5 million reduction in facility costs.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Depreciation and amortization expense for the year ended December 31, 2024 decreased $1.2 million or 57% compared to the year ended December 31, 2023. The decrease was primarily due to a decrease in depreciation costs for computer equipment and server and network equipment that were fully depreciated in the comparative period.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Loss on purchase commitments</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We did not record a loss on purchase commitments for the year ended December 31, 2024 as compared to $1.2 million for the year ended December 31, 2023 as a result of not having any additional purchase commitments requiring a loss on purchase commitment accrual.</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Total other expense</w:t>
      </w:r>
    </w:p>
    <w:p>
      <w:pPr>
        <w:spacing w:after="0" w:line="93"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Total other expense for the years ended December 31, 2024 and 2023 amounted to a net expense of $14.5 million and $49.7 million, respectively, for a decrease of net expense period over period of $35.1 million.</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Total other expense for the year ended December 31, 2024 was primarily comprised of the total net change in fair value of our convertible notes and warrant liabilities of $15.7 million, additional expenses of $0.7 million, offset by other income from investments of $1.9 million.</w:t>
      </w:r>
    </w:p>
    <w:p>
      <w:pPr>
        <w:spacing w:after="0" w:line="125"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Total 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93" w:lineRule="exact"/>
        <w:rPr>
          <w:sz w:val="20"/>
          <w:szCs w:val="20"/>
          <w:color w:val="auto"/>
        </w:rPr>
      </w:pPr>
    </w:p>
    <w:p>
      <w:pPr>
        <w:jc w:val="both"/>
        <w:ind w:left="1360" w:right="439"/>
        <w:spacing w:after="0" w:line="267" w:lineRule="auto"/>
        <w:rPr>
          <w:sz w:val="20"/>
          <w:szCs w:val="20"/>
          <w:color w:val="auto"/>
        </w:rPr>
      </w:pPr>
      <w:r>
        <w:rPr>
          <w:rFonts w:ascii="Times New Roman" w:cs="Times New Roman" w:eastAsia="Times New Roman" w:hAnsi="Times New Roman"/>
          <w:sz w:val="14"/>
          <w:szCs w:val="14"/>
          <w:color w:val="auto"/>
        </w:rPr>
        <w:t>The benefit from the provision for income taxes amounted to approximately $1.0 million for the year ended December 31, 2024 and our effective tax rate was approximately 1.53%. The effective income tax rate was primarily driven by remeasurement of our warrant liability as well as our valuation allowance which is driven by the deferred tax assets arising from capitalized research and experimental expenditures and the net operating losses.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407"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58" w:lineRule="auto"/>
        <w:rPr>
          <w:sz w:val="20"/>
          <w:szCs w:val="20"/>
          <w:color w:val="auto"/>
        </w:rPr>
      </w:pPr>
      <w:r>
        <w:rPr>
          <w:rFonts w:ascii="Times New Roman" w:cs="Times New Roman" w:eastAsia="Times New Roman" w:hAnsi="Times New Roman"/>
          <w:sz w:val="14"/>
          <w:szCs w:val="14"/>
          <w:color w:val="auto"/>
        </w:rPr>
        <w:t>The benefit from the provision for income taxes amounted to approximately $0.6 million for the year ended December 31, 2023 and our effective tax rate was approximately 0.68%. Income tax benefit for the year ended December 31, 2023 was primarily attributable to foreign taxes payable on net income generated outside the United States. The effective income tax rate was primarily driven by the impact of the tax treatment of the Pay-to-Play equity financing charge and the valuation allowance which is driven by the deferred tax assets arising from capitalized research and experimental expenditures and the net operating losses.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Net loss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Net loss was approximately $61.2 million for the year ended December 31, 2024 compared to net loss of approximately $87.6 million for the year ended December 31, 2023. The decrease in net loss for the year ended December 31, 2024 of $26.4 million compared to the year ended December 31, 2023 was primarily attributable to the nonrecurring Pay-to-Play financing charge of $35.8 million, the decrease in debt financing charge of $2.7 million, and an increase in other income (expense), net of $2.2 million which was partially offset by the $9.1 million increase in loss from operations and the $5.2 million increase in expense associated with the change in fair value of convertible notes and warrant liabilities as discussed above.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Non-GAAP Measures</w:t>
      </w:r>
    </w:p>
    <w:p>
      <w:pPr>
        <w:spacing w:after="0" w:line="93" w:lineRule="exact"/>
        <w:rPr>
          <w:sz w:val="20"/>
          <w:szCs w:val="20"/>
          <w:color w:val="auto"/>
        </w:rPr>
      </w:pPr>
    </w:p>
    <w:p>
      <w:pPr>
        <w:ind w:left="1360" w:right="439"/>
        <w:spacing w:after="0" w:line="257" w:lineRule="auto"/>
        <w:rPr>
          <w:sz w:val="20"/>
          <w:szCs w:val="20"/>
          <w:color w:val="auto"/>
        </w:rPr>
      </w:pPr>
      <w:r>
        <w:rPr>
          <w:rFonts w:ascii="Times New Roman" w:cs="Times New Roman" w:eastAsia="Times New Roman" w:hAnsi="Times New Roman"/>
          <w:sz w:val="14"/>
          <w:szCs w:val="14"/>
          <w:color w:val="auto"/>
        </w:rPr>
        <w:t>In conjunction with net loss calculated in accordance with accounting principles generally accepted in the U.S. (“GAAP”), we also use EBITDA and Adjusted EBITDA to evaluate our ongoing operations and for internal planning and forecasting purposes. Non- GAAP financial information is presented for supplemental informational purposes only, should not be considered in isolation or as a substitute for financial information presented in accordance with GAAP, and may be different from similarly-titled non-GAAP measures used by other companies. We believe that along with our GAAP financial information, our non-GAAP financial information when taken collectively and evaluated appropriately, is helpful to investors in assessing our operating performance.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p>
      <w:pPr>
        <w:spacing w:after="0" w:line="93"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EBITDA is defined as “Earnings before interest, income taxes, depreciation, and amortization”. Adjusted EBITDA is defined as EBITDA adjusted for certain unusual and other significant items and removes the volatility associated with non-cash items such as stock-based compensation, changes in fair value, and operational income and expenses that are not expected to be ongoing, as discussed below in the footnote to “other adjustments”.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40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following table sets forth a reconciliation of net loss to EBITDA and Adjusted EBITDA for the three and nine months ended September 30, 2025 and 2024:</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0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80" w:type="dxa"/>
            <w:vAlign w:val="bottom"/>
          </w:tcPr>
          <w:p>
            <w:pPr>
              <w:spacing w:after="0"/>
              <w:rPr>
                <w:sz w:val="11"/>
                <w:szCs w:val="11"/>
                <w:color w:val="auto"/>
              </w:rPr>
            </w:pPr>
          </w:p>
        </w:tc>
        <w:tc>
          <w:tcPr>
            <w:tcW w:w="138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5"/>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ind w:right="152"/>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top w:val="single" w:sz="8" w:color="auto"/>
            </w:tcBorders>
          </w:tcPr>
          <w:p>
            <w:pPr>
              <w:jc w:val="right"/>
              <w:ind w:right="199"/>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right"/>
              <w:ind w:right="51"/>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$(26,258)</w:t>
            </w:r>
          </w:p>
        </w:tc>
        <w:tc>
          <w:tcPr>
            <w:tcW w:w="1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$(25,607)</w:t>
            </w:r>
          </w:p>
        </w:tc>
        <w:tc>
          <w:tcPr>
            <w:tcW w:w="1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(651)</w:t>
            </w:r>
          </w:p>
        </w:tc>
        <w:tc>
          <w:tcPr>
            <w:tcW w:w="240" w:type="dxa"/>
            <w:vAlign w:val="bottom"/>
            <w:vMerge w:val="continue"/>
            <w:shd w:val="clear" w:color="auto" w:fill="CCEEFF"/>
          </w:tcPr>
          <w:p>
            <w:pPr>
              <w:spacing w:after="0"/>
              <w:rPr>
                <w:sz w:val="13"/>
                <w:szCs w:val="13"/>
                <w:color w:val="auto"/>
              </w:rPr>
            </w:pPr>
          </w:p>
        </w:tc>
        <w:tc>
          <w:tcPr>
            <w:tcW w:w="660" w:type="dxa"/>
            <w:vAlign w:val="bottom"/>
            <w:tcBorders>
              <w:left w:val="single" w:sz="8" w:color="CCEEFF"/>
            </w:tcBorders>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(203,608)</w:t>
            </w:r>
          </w:p>
        </w:tc>
        <w:tc>
          <w:tcPr>
            <w:tcW w:w="12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$(54,503)</w:t>
            </w:r>
          </w:p>
        </w:tc>
        <w:tc>
          <w:tcPr>
            <w:tcW w:w="14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$(149,105)</w:t>
            </w:r>
          </w:p>
        </w:tc>
        <w:tc>
          <w:tcPr>
            <w:tcW w:w="240" w:type="dxa"/>
            <w:vAlign w:val="bottom"/>
            <w:vMerge w:val="continue"/>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6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(126)</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1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(693)</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(1,406)</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(1,677)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w:t>
            </w: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(26,566)</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(26,574)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4"/>
                <w:szCs w:val="14"/>
                <w:color w:val="auto"/>
              </w:rPr>
            </w:pPr>
          </w:p>
        </w:tc>
        <w:tc>
          <w:tcPr>
            <w:tcW w:w="6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(203,781)</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(55,144)</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(148,637)</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2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2,542%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27,050</w:t>
            </w: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2,596%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and financing charges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1"/>
              </w:rPr>
              <w:t>(11,064)</w:t>
            </w:r>
          </w:p>
        </w:tc>
        <w:tc>
          <w:tcPr>
            <w:tcW w:w="6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121,511</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25,130</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96,381</w:t>
            </w: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1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11,880</w:t>
            </w: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7,288%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Non-cash inventory cost realignment</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(316)</w:t>
            </w:r>
          </w:p>
        </w:tc>
        <w:tc>
          <w:tcPr>
            <w:tcW w:w="66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(835)</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Other adjustments</w:t>
            </w:r>
            <w:r>
              <w:rPr>
                <w:rFonts w:ascii="Times New Roman" w:cs="Times New Roman" w:eastAsia="Times New Roman" w:hAnsi="Times New Roman"/>
                <w:sz w:val="19"/>
                <w:szCs w:val="19"/>
                <w:color w:val="auto"/>
                <w:vertAlign w:val="superscript"/>
              </w:rPr>
              <w:t>(1)</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5,080%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(11,066)</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(10,478)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(588)</w:t>
            </w:r>
          </w:p>
        </w:tc>
        <w:tc>
          <w:tcPr>
            <w:tcW w:w="66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(39,372)</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(28,564)</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(10,808)</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459" w:hanging="345"/>
        <w:spacing w:after="0" w:line="227" w:lineRule="auto"/>
        <w:tabs>
          <w:tab w:leader="none" w:pos="170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“Other adjustments” includes, but is not limited to, other non-cash expenses, including foreign exchange gains and losses, and unusual or non-recurring expenses, including litigation expenses, financing advisory fees, and fines and penalties. We believe that these expenses are not reflective of our ongoing operating performance and excluding these costs provides a more meaningful comparison of our results of operations over comparative periods.</w:t>
      </w:r>
    </w:p>
    <w:p>
      <w:pPr>
        <w:spacing w:after="0" w:line="16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11"/>
                <w:szCs w:val="11"/>
                <w:color w:val="auto"/>
              </w:rPr>
            </w:pPr>
          </w:p>
        </w:tc>
        <w:tc>
          <w:tcPr>
            <w:tcW w:w="150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35"/>
        </w:trPr>
        <w:tc>
          <w:tcPr>
            <w:tcW w:w="5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$(61,195)</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$(87,589)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(952)</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Other expenses</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(46,749)</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 cash inventory cost realignment adjustments</w:t>
            </w: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(43,256</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(30,324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579" w:hanging="345"/>
        <w:spacing w:after="0" w:line="209" w:lineRule="auto"/>
        <w:tabs>
          <w:tab w:leader="none" w:pos="170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but not limited to, interest receivable/payable, financing charges, gains/losses on foreign exchanges and movements in fair value of convertible notes and warrants.</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40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Our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spacing w:after="0" w:line="14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Commitments to Issue Shares of Our Common Stock</w:t>
      </w:r>
    </w:p>
    <w:p>
      <w:pPr>
        <w:spacing w:after="0" w:line="9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As of September 30, 2025, we have commitments to issue 29,318,739 shares of common stock to employees and others under stock option awards, and an additional 10,764,848 shares of our common stock under employee and other RSU awards. We have further reserved 3,047,669 shares of our common stock under an employee stock purchase plan, which has not yet commenced.</w:t>
      </w:r>
    </w:p>
    <w:p>
      <w:pPr>
        <w:spacing w:after="0" w:line="13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Additionally, 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These Earnout Shares are dependent upon, among other things, changes in the closing share price of our common stock, the expected timing of settlement, and the probability of achieving certain triggering events.</w:t>
      </w:r>
    </w:p>
    <w:p>
      <w:pPr>
        <w:spacing w:after="0" w:line="14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Further, we have a total of 29,698,250 warrants to purchase shares of our common stock outstanding, exercisable at $11.50 per share, expiring at various dates within the first quarter of 2030.</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have a Sales Partner Referral Agreement with an affiliate that allows for shares of our common stock to be issued to that affiliate in respect of a sales commission. Cash or shares of stock for commission payments are to be released upon our receipt of cash on the sales made under the Sales Partner Referral Agreement. To date, sales have been made to another related party, an affiliate of the sales partner, but no payments have been made on amounts due to us, and therefore, no cash or shares of stock relating to the sales commission have been released.</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We also have commitments to issue shares of our common stock under the Committed Equity Facility and Polar Private Placement, as further described below.</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Currently Available Financing Facilities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On July 14, 2025, we entered into a Committed Equity Facility with B. Riley. Pursuant to the Committed Equity Facility, we have the right, but not the obligation, to sell to B. Riley up to an aggregate of $50.0 million of newly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40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issued shares of our common stock, subject to certain conditions and limitations. As of September 30, 2025, we had settled 5,673,734 shares of our common stock, sold to B. Riley for net proceeds of $20.0 million.</w:t>
      </w:r>
    </w:p>
    <w:p>
      <w:pPr>
        <w:spacing w:after="0" w:line="125" w:lineRule="exact"/>
        <w:rPr>
          <w:sz w:val="20"/>
          <w:szCs w:val="20"/>
          <w:color w:val="auto"/>
        </w:rPr>
      </w:pPr>
    </w:p>
    <w:p>
      <w:pPr>
        <w:jc w:val="both"/>
        <w:ind w:left="1360" w:right="719"/>
        <w:spacing w:after="0" w:line="267" w:lineRule="auto"/>
        <w:rPr>
          <w:sz w:val="20"/>
          <w:szCs w:val="20"/>
          <w:color w:val="auto"/>
        </w:rPr>
      </w:pPr>
      <w:r>
        <w:rPr>
          <w:rFonts w:ascii="Times New Roman" w:cs="Times New Roman" w:eastAsia="Times New Roman" w:hAnsi="Times New Roman"/>
          <w:sz w:val="14"/>
          <w:szCs w:val="14"/>
          <w:color w:val="auto"/>
        </w:rPr>
        <w:t>Subsequent to September 30, 2025, we settled additional shares of newly-issued common stock, sold to B. Riley under this agreement, and as of October 17, 2025, the most recent date of such a sale, we had settled a total of 8,410,321 shares of our common stock, sold to B. Riley under the Committed Equity Facility, for net proceeds of $33.4 million.</w:t>
      </w:r>
    </w:p>
    <w:p>
      <w:pPr>
        <w:spacing w:after="0" w:line="136"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On November 10, 2025, Blaize and Polar entered into the Polar Private Placement. Pursuant to the Polar Private Placement, we agreed to the direct sale of 9,375,000 shares of our common stock at a purchase price of $3.20 per share and the issuance of 9,375,000 warrants to purchase additional shares of our common stock, resulting in aggregate gross proceeds of approximately $30.0 million, before deducting offering expenses. The warrants have a term of five years and are immediately exercisable, with an exercise price of $5.00 per share. We intend to use the net proceeds from the Polar Private Placement for general corporate and working capital purposes.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Previously Utilized Financing Facilities</w:t>
      </w:r>
    </w:p>
    <w:p>
      <w:pPr>
        <w:spacing w:after="0" w:line="93" w:lineRule="exact"/>
        <w:rPr>
          <w:sz w:val="20"/>
          <w:szCs w:val="20"/>
          <w:color w:val="auto"/>
        </w:rPr>
      </w:pPr>
    </w:p>
    <w:p>
      <w:pPr>
        <w:ind w:left="1360" w:right="699"/>
        <w:spacing w:after="0" w:line="323" w:lineRule="auto"/>
        <w:rPr>
          <w:sz w:val="20"/>
          <w:szCs w:val="20"/>
          <w:color w:val="auto"/>
        </w:rPr>
      </w:pPr>
      <w:r>
        <w:rPr>
          <w:rFonts w:ascii="Times New Roman" w:cs="Times New Roman" w:eastAsia="Times New Roman" w:hAnsi="Times New Roman"/>
          <w:sz w:val="13"/>
          <w:szCs w:val="13"/>
          <w:color w:val="auto"/>
        </w:rPr>
        <w:t>Prior to the Merger, and for the year ended December 31, 2024, certain agreements were in place which provided us with funding. Upon the consummation of the Merger, these agreements all converted to equity (shares of our common stock or warrants to purchase our common stock).</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Flows for the Nine Months Ended September 30, 2025 and 2024 and years ended December 31, 2024 and 2023</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summarizes our cash flows from operating, investing, and financing activities: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8"/>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8"/>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39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96"/>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9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(57,290)</w:t>
            </w: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(35,788)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31,773</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0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(26,224</w:t>
            </w: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8"/>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06"/>
        </w:trPr>
        <w:tc>
          <w:tcPr>
            <w:tcW w:w="39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76"/>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73"/>
              <w:spacing w:after="0" w:line="106" w:lineRule="exact"/>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0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(53,532)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(27,955)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(902)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101,709</w:t>
            </w:r>
          </w:p>
        </w:tc>
        <w:tc>
          <w:tcPr>
            <w:tcW w:w="22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Cash Flows used in Operating Activities</w:t>
      </w:r>
    </w:p>
    <w:p>
      <w:pPr>
        <w:spacing w:after="0" w:line="93"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Net cash used in operating activities was $57.3 million for the nine months ended September 30, 2025, compared to $35.8 million for the nine months ended September 30, 2024. The increase in cash used in operating activities was primarily due to an increase of $149.1 million in net loss, partially offset by an increase in adjustments to reconcile net loss to net cash used in operating expenses of $122.0 million and an increase in changes in operating assets and liabilities of $5.6 million.</w:t>
      </w:r>
    </w:p>
    <w:p>
      <w:pPr>
        <w:spacing w:after="0" w:line="14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Net cash used in operating activities was $53.5 million during the year ended December 31, 2024 compared to $28.0 million for the year ended December 31, 2023. For the year ended December 31, 2024, cash used in operating activities resulted from a net loss of $61.2 million, partially offset by $21.0 million in noncash items,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40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largest of which related to the $15.7 million change in the fair value of our convertible notes and warrant liabilities, $3.8 million in stock-based compensation, and $1.5 million of other miscellaneous non-cash expenses including depreciation and amortization, lease expense, deferred income taxes, deferred financing charges on convertible notes, and credit losses, offset by the impact of a net cash outflow of $13.4 million from changes in our net operating assets and liabilities. For the year ended December 31, 2023, cash used in operating activities resulted from a net loss of $87.6 million, offset by $56.3 million of noncash items, the largest two of which related to the Pay-to-Play financing charge of $35.8 million and $3.1 million of debt financing charges on convertible notes, offset by a net cash inflow of $3.4 million from changes in our net operating assets and liabilities.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Cash Flows used in Investing Activities</w:t>
      </w:r>
    </w:p>
    <w:p>
      <w:pPr>
        <w:spacing w:after="0" w:line="93"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For the nine months ended September 30, 2025 and 2024, we used $0.7 million and $1.2 million, respectively, of cash to purchase property and equipment.</w:t>
      </w:r>
    </w:p>
    <w:p>
      <w:pPr>
        <w:spacing w:after="0" w:line="12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For the years ended December 31, 2024 and 2023, we used $0.9 million and $0.2 million of cash to purchase property and equipment, respectively. The increase of $0.7 million during the year ended December 31, 2024 was primarily due to the licensing of software.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Cash Flows provided by Financing Activities</w:t>
      </w:r>
    </w:p>
    <w:p>
      <w:pPr>
        <w:spacing w:after="0" w:line="93" w:lineRule="exact"/>
        <w:rPr>
          <w:sz w:val="20"/>
          <w:szCs w:val="20"/>
          <w:color w:val="auto"/>
        </w:rPr>
      </w:pPr>
    </w:p>
    <w:p>
      <w:pPr>
        <w:jc w:val="both"/>
        <w:ind w:left="1360" w:right="279"/>
        <w:spacing w:after="0" w:line="258" w:lineRule="auto"/>
        <w:rPr>
          <w:sz w:val="20"/>
          <w:szCs w:val="20"/>
          <w:color w:val="auto"/>
        </w:rPr>
      </w:pPr>
      <w:r>
        <w:rPr>
          <w:rFonts w:ascii="Times New Roman" w:cs="Times New Roman" w:eastAsia="Times New Roman" w:hAnsi="Times New Roman"/>
          <w:sz w:val="14"/>
          <w:szCs w:val="14"/>
          <w:color w:val="auto"/>
        </w:rPr>
        <w:t>For the nine months ended September 30, 2025, net cash provided by financing activities was $31.8 million, which primarily consisted of $20.0 million of proceeds from the Committed Equity Facility and $15.9 million of proceeds from the Merger and PIPE financing, partially offset by the $4.3 million payment of deferred offering costs. Net cash provided by financing activities for the nine months ended September 30, 2024 of $102.4 million primarily consisted of $110.7 million in proceeds from the issuance of secured convertible notes under the 2023 Note Purchase Agreement, partially offset by the payment of demand notes of $4.8 million and deferred offering costs of $3.7 million.</w:t>
      </w:r>
    </w:p>
    <w:p>
      <w:pPr>
        <w:spacing w:after="0" w:line="144" w:lineRule="exact"/>
        <w:rPr>
          <w:sz w:val="20"/>
          <w:szCs w:val="20"/>
          <w:color w:val="auto"/>
        </w:rPr>
      </w:pPr>
    </w:p>
    <w:p>
      <w:pPr>
        <w:jc w:val="both"/>
        <w:ind w:left="1360" w:right="319"/>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2024, net cash provided by financing activities was $101.7 million, which primarily consisted of $110.7 million of proceeds from the issuance of secured convertible notes under the 2023 NPA, partially offset by the $4.8 million repayment of the short-term demand notes and $4.4 million payment of deferred offering costs. This compares to net cash provided by financing activities for the year ended December 31, 2023 of $26.5 million, which primarily consisted of $12.3 million in proceeds from the issuance of secured convertible notes under the 2023 NPA, $9.4 million in the issuance of Pay-to-Play convertible notes and $4.9 million raised via the issuance of demand notes.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Material Cash Requirements and Cash Availability</w:t>
      </w:r>
    </w:p>
    <w:p>
      <w:pPr>
        <w:spacing w:after="0" w:line="93"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Material cash requirements generally include the near-term general corporate expenses of the business, such as employee payroll and consulting fees. Additionally, as of September 30, 2025 and December 31, 2024, we had outstanding purchase orders and contractual obligations totaling $0.5 million and $0.2 million, respectively, to procure inventory.</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As of September 30, 2025, we had cash and cash equivalents on hand of $24.0 million, and we had $30.0 million remaining available to draw on the Committed Equity Facility. As of December 31, 2024, we had cash and cash equivalents of approximately $50.2 million, a net working capital deficit of $114.5 million, and an accumulated deficit of $429.3 million.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3"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We are an emerging growth company (“EGC”) as defined in the JOBS Act. The JOBS Act permits companies with EGC status to take advantage of an extended transition period to comply with new or revised accounting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407"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are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44"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45"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will remain an EGC under the JOBS Act until the earliest of (i) December 31, 2026, which is the last day of our first fiscal year following the fifth anniversary of the closing of BurTech’s initial public offering, (ii) the last date of our fiscal year in which we have total annual gross revenue of at least $1.235 billion, (iii) the date on which we are deemed to be a “large 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44"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We have also elected to avail ourselves of smaller reporting company (“SRC”) status, which is currently available to us as our annual revenues are less than $100.0 million, while at the same time, our public float is less than $700.0 million. Should our annual revenues exceed $100.0 million, then we may continue to elect SRC status if our public float is less than $250.0 million. Annual revenues are determined with reference to our full year revenues as reported on Form 10-K each year, and public float is determined annually at a measurement date of June 30 of each year by multiplying the number of shares of common stock held by non-affiliates by the closing share price of our common stock on June 30 of that year. SRC status allows us, but does not require us, to provide scaled disclosures in our annual reports on Form 10-K and our quarterly reports on Form 10-Q.</w:t>
      </w:r>
    </w:p>
    <w:p>
      <w:pPr>
        <w:spacing w:after="0" w:line="14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public float and revenue calculations described above also determine our status as an accelerated or non-accelerated filer. Currently, as our revenues are less than $100.0 million, we are a non-accelerated filer, and as long as we are a non-accelerated filer (as determined each year on June 30 as described above) we are not required to provide an auditor’s attestation report on our system of internal controls over financial reporting pursuant to Section 404(b) of the Sarbanes-Oxley Act. Should our revenues exceed $100.0 million and should our public float continue to be in excess of $75.0 million, we would then become an accelerated filer, commencing with our next Annual Report on Form 10-K.</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3" w:lineRule="exact"/>
        <w:rPr>
          <w:sz w:val="20"/>
          <w:szCs w:val="20"/>
          <w:color w:val="auto"/>
        </w:rPr>
      </w:pPr>
    </w:p>
    <w:p>
      <w:pPr>
        <w:ind w:left="1360" w:right="399"/>
        <w:spacing w:after="0" w:line="296"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GAAP requires us to make estimates and assumptions that affect the reported amounts of assets and liabilities at the date of the condensed consolidated financial statements and the reported amounts of revenues and expenses during the reported periods. Actual results could differ from those estimates. We expect quarter-to-quarter GAAP earnings volatility from our business activities.</w:t>
      </w:r>
    </w:p>
    <w:p>
      <w:pPr>
        <w:spacing w:after="0" w:line="120"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Our critical accounting estimates include estimates related to accounting for the Merger and reverse recapitalization, income taxes, revenue, the net realizable value of inventories, the liability or equity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40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classification and/or valuation of financial instruments, which may be complex financial instruments. Our financial instruments subject to valuation other than a Level 1 valuation technique currently include the Committed Equity Facility, earnout shares, and the valuation of stock-based compensation awards subject to market conditions, and historically included the pre-Merger convertible notes, pre-Merger warrants, and pre-Merger stock-based compensation awards. These estimates and assumptions are based on historical experience and on various other factors which we believe to be reasonable under the circumstances. We engage third-party valuation specialists to assist with estimates related to the valuation of derivative assets or liabilities arising from complex financial instruments.</w:t>
      </w:r>
    </w:p>
    <w:p>
      <w:pPr>
        <w:spacing w:after="0" w:line="143"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Management discusses the ongoing development and selection of these critical accounting policies and estimates with the Audit Committee of our Board of Directors.</w:t>
      </w:r>
    </w:p>
    <w:p>
      <w:pPr>
        <w:spacing w:after="0" w:line="125"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Refer to Note 2 of the Notes to the Condensed Consolidated Financial Statements for the three and nine months ended September 30, 2025 in this Registration Statement for a summary of significant accounting policies.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 and Reverse Recapitalization</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consolidated financial statements reflect the consummation of the Merger and other transactions contemplated by the Merger Agreement (altogether with the Merger, the “Business Combination”), which was accounted for as a reverse recapitalization in accordance with U.S. GAAP. The accounting for the Business Combination required management to make significant estimates and judgments, particularly in identifying the accounting acquirer, determining the fair value of instruments issued, and evaluating the classification of certain financial instruments.</w:t>
      </w:r>
    </w:p>
    <w:p>
      <w:pPr>
        <w:spacing w:after="0" w:line="14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Under the guidance in ASC 805, Business Combinations, the determination of the accounting acquirer required management to consider a variety of factors, including the relative voting rights of the pre-combination shareholders, the composition of the board of directors and senior management of the combined entity, and the intended purpose and substance of the transaction. After considering this guidance, the merger was accounted for as a reverse recapitalization, with no goodwill or intangible assets recognized. The net assets of the combined entity are stated at historical cost, and the shares and per-share information presented in the consolidated financial statements were retroactively adjusted to reflect the exchange ratio established in the merger agreement.</w:t>
      </w:r>
    </w:p>
    <w:p>
      <w:pPr>
        <w:spacing w:after="0" w:line="14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In addition, management evaluated the appropriate classification of certain financial instruments such as contingent earnout liabilities under ASC 480, Distinguishing Liabilities from Equity, and ASC 815, Derivatives and Hedging. This assessment required complex analysis of contractual terms and applicable accounting guidance to determine whether instruments should be recorded as equity or liability-classified. Liability-classified instruments are subsequently remeasured at fair value each reporting period end, with changes recognized in earnings, which may result in significant volatility in our results of operations.</w:t>
      </w:r>
    </w:p>
    <w:p>
      <w:pPr>
        <w:spacing w:after="0" w:line="144"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Because the accounting for the merger and reverse recapitalization involved estimates that relied on management’s assumptions regarding market conditions, valuation methodologies, and the interpretation of complex contractual terms, it represents a critical accounting estimate.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Our deferred tax asset balance is currently subject to a full valuation allowance. In evaluating the need for a valuation allowance, management considers both positive and negative evidence, including historical operating results, forecasts of future taxable income, the reversal of existing temporary differences, tax planning strategies, and the length of carryforward periods. The weight given to each piece of evidence depends on the extent to which it can be objectively verified. The most significant factor in this assessment is management’s projection of future taxable income, which inherently involves estimates and assumptions regarding future business performance, market conditions, and other factors that may affect profitability. Should actual results differ</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40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materially from our estimates of future taxable income, or should there be a change in the weighting of available evidence, our conclusion regarding the need for, or amount of, a valuation allowance could change significantly in future periods.</w:t>
      </w:r>
    </w:p>
    <w:p>
      <w:pPr>
        <w:spacing w:after="0" w:line="125" w:lineRule="exact"/>
        <w:rPr>
          <w:sz w:val="20"/>
          <w:szCs w:val="20"/>
          <w:color w:val="auto"/>
        </w:rPr>
      </w:pPr>
    </w:p>
    <w:p>
      <w:pPr>
        <w:jc w:val="both"/>
        <w:ind w:left="1360" w:right="639"/>
        <w:spacing w:after="0" w:line="267" w:lineRule="auto"/>
        <w:rPr>
          <w:sz w:val="20"/>
          <w:szCs w:val="20"/>
          <w:color w:val="auto"/>
        </w:rPr>
      </w:pPr>
      <w:r>
        <w:rPr>
          <w:rFonts w:ascii="Times New Roman" w:cs="Times New Roman" w:eastAsia="Times New Roman" w:hAnsi="Times New Roman"/>
          <w:sz w:val="14"/>
          <w:szCs w:val="14"/>
          <w:color w:val="auto"/>
        </w:rPr>
        <w:t>While accounting for income taxes involves several areas of judgment, the valuation allowance represents the most significant estimate subject to material variability in future periods. Management reviews the realizability of deferred tax assets at each reporting date and adjusts the valuation allowance as appropriate based on updated information and revised forecasts.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3" w:lineRule="exact"/>
        <w:rPr>
          <w:sz w:val="20"/>
          <w:szCs w:val="20"/>
          <w:color w:val="auto"/>
        </w:rPr>
      </w:pPr>
    </w:p>
    <w:p>
      <w:pPr>
        <w:jc w:val="both"/>
        <w:ind w:left="1360" w:right="259"/>
        <w:spacing w:after="0" w:line="296" w:lineRule="auto"/>
        <w:rPr>
          <w:sz w:val="20"/>
          <w:szCs w:val="20"/>
          <w:color w:val="auto"/>
        </w:rPr>
      </w:pPr>
      <w:r>
        <w:rPr>
          <w:rFonts w:ascii="Times New Roman" w:cs="Times New Roman" w:eastAsia="Times New Roman" w:hAnsi="Times New Roman"/>
          <w:sz w:val="13"/>
          <w:szCs w:val="13"/>
          <w:color w:val="auto"/>
        </w:rPr>
        <w:t>We must make significant estimates and assumptions as we follow the revenue accounting model of ASC 606, Revenue from Contracts with Customers, to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20" w:lineRule="exact"/>
        <w:rPr>
          <w:sz w:val="20"/>
          <w:szCs w:val="20"/>
          <w:color w:val="auto"/>
        </w:rPr>
      </w:pPr>
    </w:p>
    <w:p>
      <w:pPr>
        <w:ind w:left="1360" w:right="359"/>
        <w:spacing w:after="0" w:line="255" w:lineRule="auto"/>
        <w:rPr>
          <w:sz w:val="20"/>
          <w:szCs w:val="20"/>
          <w:color w:val="auto"/>
        </w:rPr>
      </w:pPr>
      <w:r>
        <w:rPr>
          <w:rFonts w:ascii="Times New Roman" w:cs="Times New Roman" w:eastAsia="Times New Roman" w:hAnsi="Times New Roman"/>
          <w:sz w:val="14"/>
          <w:szCs w:val="14"/>
          <w:color w:val="auto"/>
        </w:rPr>
        <w:t>Our contracts may contain more than one performance obligation. Judgment is required in determining whether each performance obligation within a customer contract is distinct. Most of the products and services function on a standalone basis and do not require a significant amount of integration or interdependency. Therefore, multiple performance obligations contained within a customer contract are considered distinct and are not combined for revenue recognition purposes. We allocate the total transaction price to each distinct performance obligation in an arrangement with multiple performance obligations on a relative standalone selling price basis. In certain cases, we can establish standalone selling price based on directly observable prices of products or services sold separately in comparable circumstances to similar customers. If standalone selling price is not directly observable, such as when we do not sell a product or service separately, we determine standalone selling price based on market data and other observable inputs.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Net Realizable Value of Inventories</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determination of the net realizable value (“NRV”) of inventory is a critical accounting estimate that requires management judgment. Inventories are stated at the lower of cost or NRV. Cost is determined using the first-in, first out method. NRV represents the estimated selling price in the ordinary course of business, less reasonably predictable costs of completion, disposal, and transportation.</w:t>
      </w:r>
    </w:p>
    <w:p>
      <w:pPr>
        <w:spacing w:after="0" w:line="136" w:lineRule="exact"/>
        <w:rPr>
          <w:sz w:val="20"/>
          <w:szCs w:val="20"/>
          <w:color w:val="auto"/>
        </w:rPr>
      </w:pPr>
    </w:p>
    <w:p>
      <w:pPr>
        <w:ind w:left="1360" w:right="299"/>
        <w:spacing w:after="0" w:line="296" w:lineRule="auto"/>
        <w:rPr>
          <w:sz w:val="20"/>
          <w:szCs w:val="20"/>
          <w:color w:val="auto"/>
        </w:rPr>
      </w:pPr>
      <w:r>
        <w:rPr>
          <w:rFonts w:ascii="Times New Roman" w:cs="Times New Roman" w:eastAsia="Times New Roman" w:hAnsi="Times New Roman"/>
          <w:sz w:val="13"/>
          <w:szCs w:val="13"/>
          <w:color w:val="auto"/>
        </w:rPr>
        <w:t>Management regularly reviews inventory quantities on hand and compares these amounts to forecasted demand, historical usage, and market conditions to identify excess, slow-moving, obsolete, or otherwise impaired items. When indicators are present that the cost of the inventory exceeds its NRV, we record a write-down. These estimates inherently involve significant judgment, particularly in assessing future demand and technological changes.</w:t>
      </w:r>
    </w:p>
    <w:p>
      <w:pPr>
        <w:spacing w:after="0" w:line="120"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Changes in assumptions or market conditions could materially affect the carrying value of our inventory. Once recorded, write- downs to NRV establish a new cost basis and are not subsequently reversed.</w:t>
      </w:r>
    </w:p>
    <w:p>
      <w:pPr>
        <w:spacing w:after="0" w:line="12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Management believes the assumptions and methodologies used in estimating NRV are reasonable and consistent with industry practice; however, actual results may differ materially from these estimates, which could have a significant impact on our results of operations and financial condition.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Classification of Complex Financial Instruments</w:t>
      </w:r>
    </w:p>
    <w:p>
      <w:pPr>
        <w:spacing w:after="0" w:line="93"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Our financial statements include various instruments with characteristics of both debt and equity, currently including the Committed Equity Facility, earnout shares, and warrants trading under the ticker symbol</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407"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 xml:space="preserve">“BZAIW”, and historically have included convertible notes, redeemable preferred stock, and legacy warrants. The determination of whether these instruments should be classified as liabilities or equity requires significant judgment and the application of complex accounting guidance under ASC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and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Management evaluates the specific terms and features of each instrument, including redemption provisions, conversion features, participation rights, and contingencies that could require cash settlement. Instruments that contain certain cash settlement features are generally classified as liabilities and recorded at fair value, with changes in fair value recognized through earnings. Instruments that are not mandatorily redeemable for cash and that meet the criteria for equity classification are recorded in equity.</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Determining the appropriate classification requires assessing the likelihood and timing of redemption or conversion events, evaluating embedded derivative features where an instrument embedded in a contract is issued for nominal or no apparent consideration, along with the essential characteristics inherent in a derivative instrument of a notional amount, an underlying security, and a mechanism for net settlement, and estimating fair values where bifurcation is required. These assessments rely on market-based assumptions, volatility estimates, discount rates, and, in certain cases, management’s expectations regarding future financing and settlement outcomes. Because these judgments involve estimates that are inherently uncertain, subsequent changes in facts or circumstances could materially impact the classification and measurement of these instruments.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Valuation of Financial Instruments</w:t>
      </w:r>
    </w:p>
    <w:p>
      <w:pPr>
        <w:spacing w:after="0" w:line="93"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Valuation of any financial instrument depends on the underlying characteristics of the instrument, which generally dictate the valuation model to be used. Currently outstanding instruments subject to valuation include the Committed Equity Facility, the earnout shares, and stock options. Previously outstanding instruments subject to valuation have included convertible notes and previously outstanding warrants.</w:t>
      </w:r>
    </w:p>
    <w:p>
      <w:pPr>
        <w:spacing w:after="0" w:line="13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fair value of the put option embedded in the Committed Equity Facility at its inception was determined using a Monte Carlo simulation model. This methodology captures the probabilistic nature of mechanisms for our future exercise of the instrument, share price volatility, and contractual constraints, providing a reasonable estimate of the put option’s expected economic benefit over its remaining term. Monte Carlo simulation is a numerical method used to estimate the value of uncertain outcomes by repeatedly generating random variables to mimic the behavior of a stochastic (i.e., random) process. Over time, the fair value of this put option will revert to zero, as the Committed Equity Facility is either fully utilized or expired.</w:t>
      </w:r>
    </w:p>
    <w:p>
      <w:pPr>
        <w:spacing w:after="0" w:line="144" w:lineRule="exact"/>
        <w:rPr>
          <w:sz w:val="20"/>
          <w:szCs w:val="20"/>
          <w:color w:val="auto"/>
        </w:rPr>
      </w:pPr>
    </w:p>
    <w:p>
      <w:pPr>
        <w:ind w:left="1360" w:right="579"/>
        <w:spacing w:after="0" w:line="267" w:lineRule="auto"/>
        <w:rPr>
          <w:sz w:val="20"/>
          <w:szCs w:val="20"/>
          <w:color w:val="auto"/>
        </w:rPr>
      </w:pPr>
      <w:r>
        <w:rPr>
          <w:rFonts w:ascii="Times New Roman" w:cs="Times New Roman" w:eastAsia="Times New Roman" w:hAnsi="Times New Roman"/>
          <w:sz w:val="14"/>
          <w:szCs w:val="14"/>
          <w:color w:val="auto"/>
        </w:rPr>
        <w:t>The fair value of the forward contract embedded in the Committed Equity Facility at each point of issuance of our common stock to B. Riley is the difference between a volume-weighted average purchase price and the settlement date closing share price of our common stock. The embedded derivative of the forward contract does not involve a complex valuation model.</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earnout shares have been valued using a Monte Carlo simulation model, as described above.</w:t>
      </w:r>
    </w:p>
    <w:p>
      <w:pPr>
        <w:spacing w:after="0" w:line="175"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The fair value of stock options granted is determined using the Black-Scholes-Merton (“Black-Scholes”) option pricing model using various inputs, including management’s estimates of expected share price volatility, term, risk-free rate and future dividends. We have elected the simplified method to determine the expected term of the option grants.</w:t>
      </w:r>
    </w:p>
    <w:p>
      <w:pPr>
        <w:spacing w:after="0" w:line="136"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Our previous issue of legacy warrants was recorded at estimated fair value calculated using the Black-Scholes option pricing model as described above; wherein, depending on the terms of the legacy warrants, certain parameters within the Black-Scholes option pricing model were required to be determined using a Monte Carlo simulation model, as described above.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40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previous issue of convertible notes was valued at an assumed market price, and did not involve a complex valuation model.</w:t>
      </w:r>
    </w:p>
    <w:p>
      <w:pPr>
        <w:spacing w:after="0" w:line="175"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The value of our pre-Merger stock-based compensation awards was determined based on the estimated fair value of shares of common stock at the date of grant, as determined by the Board of Directors, and did not involve a complex valuation model.</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We have considered recently issued accounting pronouncements and are currently evaluating the impact the adoption of such pronouncements will have on our condensed consolidated financial statements.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a smaller reporting company, we are not required to provide this information.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3"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Securities Exchange Act of 1934, as amended (the “Exchange Act”), which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(our Chief Executive Officer) and Principal Financial and Accounting Officer (our Chief Financial Officer), or persons performing similar functions, as appropriate to allow timely decisions regarding required or necessary disclosures.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45"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In accordance with Exchange Act Rules 13a-15 and 15d-15, an evaluation was completed under the supervision and with the participation of our management, including our Chief Executive Officer and Chief Financial Officer, of the effectiveness of the design and operation of our disclosure controls and procedures as of September 30, 2025. Prior to the Merger, when preparing the financial statements for the years ended December 31, 2024, BurTech Acquisition Corp. (“BurTech”) identified a material weakness, as discussed below, in internal control over financial reporting. As of December 31, 2024, Blaize, Inc. (“Legacy Blaize”) did not identify any material weaknesses in internal control over financial reporting. As of September 30, 2025, the material weaknesses of the combined entity were remediated by the Company. As such, our management, including our Chief Executive Officer and Chief Financial Officer, concluded that our disclosure controls and procedures were effective in providing reasonable assurance that the information required to be disclosed in our reports filed or submitted under the Exchange Act was recorded, processed, summarized, and reported within the time periods specified in the SEC’s rules and forms as of September 30, 2025.</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In connection with the continued monitoring and maintenance of our control procedures as part of the implementation of Section 404 of the Sarbanes-Oxley Act of 2002, we continue to review, test, and improve the operation of our internal controls. Other than our remediation of the prior material weakness of the combined company, as referred to above, there have not been any changes in our internal control over financial reporting (as such term is defined in Rules 13a-15(f) and 15d-15(f) under the Exchange Act) that occurred during the nine months ended September 30, 2025, that have materially affected, or are reasonably likely to materially affect, our internal control over financial reporting.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407"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Business Overview</w:t>
      </w:r>
    </w:p>
    <w:p>
      <w:pPr>
        <w:spacing w:after="0" w:line="93"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Blaize is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 no-code software platform that enables AI processing solutions for high-performance computing at the edge and the core. Our solutions aim to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w:t>
      </w:r>
    </w:p>
    <w:p>
      <w:pPr>
        <w:spacing w:after="0" w:line="143"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Blaize AI Platform complements GPU-based systems with power efficient edge inference. This enables real-time multimodal workloads such as video, sensor, and language models with lower latency, improved efficiency, and reduced cost of ownership.</w:t>
      </w:r>
    </w:p>
    <w:p>
      <w:pPr>
        <w:spacing w:after="0" w:line="125"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With over a decade of investment in research and development, we have developed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which we believe delivers significant value to our customers.</w:t>
      </w:r>
    </w:p>
    <w:p>
      <w:pPr>
        <w:spacing w:after="0" w:line="141" w:lineRule="exact"/>
        <w:rPr>
          <w:sz w:val="20"/>
          <w:szCs w:val="20"/>
          <w:color w:val="auto"/>
        </w:rPr>
      </w:pPr>
    </w:p>
    <w:p>
      <w:pPr>
        <w:ind w:left="1360" w:right="539"/>
        <w:spacing w:after="0" w:line="267" w:lineRule="auto"/>
        <w:rPr>
          <w:sz w:val="20"/>
          <w:szCs w:val="20"/>
          <w:color w:val="auto"/>
        </w:rPr>
      </w:pPr>
      <w:r>
        <w:rPr>
          <w:rFonts w:ascii="Times New Roman" w:cs="Times New Roman" w:eastAsia="Times New Roman" w:hAnsi="Times New Roman"/>
          <w:sz w:val="14"/>
          <w:szCs w:val="14"/>
          <w:color w:val="auto"/>
        </w:rPr>
        <w:t>We are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w:t>
      </w:r>
    </w:p>
    <w:p>
      <w:pPr>
        <w:spacing w:after="0" w:line="136"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With a strong focus on innovation, performance, and strategic partnerships, we believe we are well positioned to enable our customers to process and analyze their data in real time from core to edge, unlocking new business opportunities and gaining a competitive advantage in the evolving AI landscape.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Industry Background</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Historically, most processing solutions designed for the edge (“edge applications”) were built around cloud and data center-centric infrastructure.</w:t>
      </w:r>
    </w:p>
    <w:p>
      <w:pPr>
        <w:spacing w:after="0" w:line="175"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In such solutions, data is collected at the edge and is sent back to a centralized location where the real AI processing happens. This approach is power-demanding, adds latency, causes significant data traffic, makes real- 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 (including communication costs), ability to keep data local and avoid the burden of cloud and centralized infrastructure.</w:t>
      </w:r>
    </w:p>
    <w:p>
      <w:pPr>
        <w:spacing w:after="0" w:line="144"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Blaize is engaged in critical industries driving the next wave of AI adoption, including sovereign infrastructure, smart cities, defense, and mobility. The adoption of AI in these industries is growing at an increasing rate and is poised to continue to do so in the long term, supported by strong fundamentals such as the adoption of autonomous solutions and generative AI, decentralization of data and AI for data privacy and data ownership and the drive for sustainability. We believe that we are well positioned to immediately access the rapidly expanding AI accelerator market today with a combination of software and solutions supported by our product roadmap that extends our Serviceable Addressable Market (“SAM”). At the same time, we are capable of capturing the growing demand for hybrid AI platforms by uniting software and silicon to complement existing GPU systems with greater efficiency, lower latency, and reduced cost.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407"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We expect the AI landscape to continue evolving at a rapid pace. Key trends that will impact the future of our industries include adoption of generative AI, large language models (“LLMs”), small language models (“SLMs”), vision transformers and multi-modality. The industry will continue to expand beyond reliance on incumbent GPU and CPU architectures, increasingly turning to hybrid AI approaches that pair training and complex AI in the cloud with efficient, real-time inference at the edge. This is where we believe we deliver clear differentiation in performance-per-watt and total cost of ownership. These characteristics are just as relevant and necessary for data center inference applications as they are for edge AI vision analytics. As the Blaize chip roadmap is enhanced, the inherent advantages of the Graph Streaming Processor (“GSP”) architecture and ease of programmability position us to lead in powering the next generation of AI workloads across edge and cloud.</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93"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w:t>
      </w:r>
    </w:p>
    <w:p>
      <w:pPr>
        <w:spacing w:after="0" w:line="14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We believe our target markets are large and growing, supported by strong fundamentals. Industry outlook points to sustained demand across verticals such as defense, smart cities, industrial, and retail, as well as a rapid scaling of inference workloads, which are expected to outpace training by a wide margin. These drivers including autonomous solutions, generative AI, decentralization of data, and global momentum around sustainability — which we believe reinforce the opportunity for Blaize to expand adoption of the Blaize AI Platform worldwide.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93"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Blaize’s product roadmap focuses on creating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those requirements.</w:t>
      </w:r>
    </w:p>
    <w:p>
      <w:pPr>
        <w:spacing w:after="0" w:line="14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Blaize has created an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through the numerous technical evaluations that customers undertake on their own data. As the demands of edge AI inference continue to increase at a rapid pace, and customer data is evolving and changing frequently, we believe that our GSP has key advantages in enabling customer confidence.</w:t>
      </w:r>
    </w:p>
    <w:p>
      <w:pPr>
        <w:spacing w:after="0" w:line="143"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Blaize’s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407"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w:t>
      </w:r>
    </w:p>
    <w:p>
      <w:pPr>
        <w:spacing w:after="0" w:line="144"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w:t>
      </w:r>
    </w:p>
    <w:p>
      <w:pPr>
        <w:spacing w:after="0" w:line="136"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w:t>
      </w:r>
    </w:p>
    <w:p>
      <w:pPr>
        <w:spacing w:after="0" w:line="136"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We believe that our current hardware products place us in a strong position in the rapidly expanding AI accelerator market today. In addition to hardware sales, we believe we are well positioned for growth in our software sales and services through our comprehensive, pre-integrated software stack, vertically integrated solutions, AI Studio development platform, and analytics framework and toolkit.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Product Target Markets</w:t>
      </w:r>
    </w:p>
    <w:p>
      <w:pPr>
        <w:spacing w:after="0" w:line="93"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Our product targets two of AI’s highest-impact verticals that require AI accelerated computing at the edge: short cycle industrial and long cycle automotive.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Short Cycle Industrial</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believe we are uniquely positioned to provide value to the market due to the following:</w:t>
      </w:r>
    </w:p>
    <w:p>
      <w:pPr>
        <w:spacing w:after="0" w:line="102" w:lineRule="exact"/>
        <w:rPr>
          <w:sz w:val="20"/>
          <w:szCs w:val="20"/>
          <w:color w:val="auto"/>
        </w:rPr>
      </w:pPr>
    </w:p>
    <w:p>
      <w:pPr>
        <w:ind w:left="2120" w:right="31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Blaize programmable hardware and AI Studio software platform enables customers to fully and easily integrate their solutions and deploy to market faster and more efficiently.</w:t>
      </w:r>
    </w:p>
    <w:p>
      <w:pPr>
        <w:spacing w:after="0" w:line="51" w:lineRule="exact"/>
        <w:rPr>
          <w:rFonts w:ascii="Times New Roman" w:cs="Times New Roman" w:eastAsia="Times New Roman" w:hAnsi="Times New Roman"/>
          <w:sz w:val="14"/>
          <w:szCs w:val="14"/>
          <w:color w:val="auto"/>
        </w:rPr>
      </w:pPr>
    </w:p>
    <w:p>
      <w:pPr>
        <w:ind w:left="2120" w:right="259" w:hanging="345"/>
        <w:spacing w:after="0" w:line="267"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w:t>
      </w:r>
    </w:p>
    <w:p>
      <w:pPr>
        <w:spacing w:after="0" w:line="6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Blaize’s dynamic hardware and software solutions enable proactive maintenance, ongoing optimization and enhanced security in tailored applications, such as in full-field asset tracking and monitoring functions related to security and monitoring.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 Cycle Automotive</w:t>
      </w:r>
    </w:p>
    <w:p>
      <w:pPr>
        <w:spacing w:after="0" w:line="93"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Blaize’s GSP provides an efficient way to run standard and customized neural networks in automobiles and other transportation vehicles. We expect to use our GSP-based platforms to replace power-consuming GPU and Field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407"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w:t>
      </w:r>
    </w:p>
    <w:p>
      <w:pPr>
        <w:spacing w:after="0" w:line="136" w:lineRule="exact"/>
        <w:rPr>
          <w:sz w:val="20"/>
          <w:szCs w:val="20"/>
          <w:color w:val="auto"/>
        </w:rPr>
      </w:pPr>
    </w:p>
    <w:p>
      <w:pPr>
        <w:ind w:left="1360" w:right="399"/>
        <w:spacing w:after="0" w:line="261" w:lineRule="auto"/>
        <w:rPr>
          <w:sz w:val="20"/>
          <w:szCs w:val="20"/>
          <w:color w:val="auto"/>
        </w:rPr>
      </w:pPr>
      <w:r>
        <w:rPr>
          <w:rFonts w:ascii="Times New Roman" w:cs="Times New Roman" w:eastAsia="Times New Roman" w:hAnsi="Times New Roman"/>
          <w:sz w:val="14"/>
          <w:szCs w:val="14"/>
          <w:color w:val="auto"/>
        </w:rPr>
        <w:t>We consider our technology to be uniquely positioned to win in this market. The automotive value chain is quickly evolving with profits coming from the ability of automotive OEMs and Tier-1 suppliers to offer software upgrades and new features in the field. We anticipate that our technology can bring considerable advantages in these applications due to the programmability of the hardware, the support for industry standards and the overall advantage in total cost of ownership.</w:t>
      </w:r>
    </w:p>
    <w:p>
      <w:pPr>
        <w:spacing w:after="0" w:line="14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Our technology roadmap is robust and expected to meet the ever-growing complexity and size of models for current and future demands of autonomous driving.</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Product Roadmap</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those requirements.</w:t>
      </w:r>
    </w:p>
    <w:p>
      <w:pPr>
        <w:spacing w:after="0" w:line="14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w:t>
      </w:r>
    </w:p>
    <w:p>
      <w:pPr>
        <w:spacing w:after="0" w:line="136"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w:t>
      </w:r>
    </w:p>
    <w:p>
      <w:pPr>
        <w:spacing w:after="0" w:line="136"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existing products will enable Blaize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9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Our commercial organization utilizes research to identify key markets and sales opportunities across our target markets. Our marketing activities focus on elevating brand, product and value proposition awareness across the broader industry, with prospects in selected target verticals. This includes participation at trade events, demonstrations of Blaize technology, collaborations and co-promotions with ecosystem partners, social campaigns, competitive positioning and other marketing activities.</w:t>
      </w:r>
    </w:p>
    <w:p>
      <w:pPr>
        <w:spacing w:after="0" w:line="14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Our go-to-market (“GTM”) strategy focuses on creating a partnership ecosystem to develop and define a portfolio of end-to-end, market ready solutions powered by our products that addresses enterprise customer requirements in the enterprise, commercial, industrial and defense verticals.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407"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focus our marketing and sales efforts on the following areas:</w:t>
      </w:r>
    </w:p>
    <w:p>
      <w:pPr>
        <w:spacing w:after="0" w:line="173" w:lineRule="exact"/>
        <w:rPr>
          <w:sz w:val="20"/>
          <w:szCs w:val="20"/>
          <w:color w:val="auto"/>
        </w:rPr>
      </w:pPr>
    </w:p>
    <w:p>
      <w:pPr>
        <w:ind w:left="1500" w:hanging="145"/>
        <w:spacing w:after="0"/>
        <w:tabs>
          <w:tab w:leader="none" w:pos="1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Hardware powered by Blaize </w:t>
      </w:r>
      <w:r>
        <w:rPr>
          <w:rFonts w:ascii="Times New Roman" w:cs="Times New Roman" w:eastAsia="Times New Roman" w:hAnsi="Times New Roman"/>
          <w:sz w:val="14"/>
          <w:szCs w:val="14"/>
          <w:color w:val="auto"/>
        </w:rPr>
        <w:t>— we build, qualify, and quantify market ready hardware solutions with a large number of OEMs;</w:t>
      </w:r>
    </w:p>
    <w:p>
      <w:pPr>
        <w:spacing w:after="0" w:line="175" w:lineRule="exact"/>
        <w:rPr>
          <w:rFonts w:ascii="Times New Roman" w:cs="Times New Roman" w:eastAsia="Times New Roman" w:hAnsi="Times New Roman"/>
          <w:sz w:val="14"/>
          <w:szCs w:val="14"/>
          <w:color w:val="auto"/>
        </w:rPr>
      </w:pPr>
    </w:p>
    <w:p>
      <w:pPr>
        <w:ind w:left="1360" w:right="219" w:hanging="5"/>
        <w:spacing w:after="0" w:line="262" w:lineRule="auto"/>
        <w:tabs>
          <w:tab w:leader="none" w:pos="1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Our full stack approach </w:t>
      </w:r>
      <w:r>
        <w:rPr>
          <w:rFonts w:ascii="Times New Roman" w:cs="Times New Roman" w:eastAsia="Times New Roman" w:hAnsi="Times New Roman"/>
          <w:sz w:val="14"/>
          <w:szCs w:val="14"/>
          <w:color w:val="auto"/>
        </w:rPr>
        <w:t>— we are well positioned to deliver a fully integrated software and hardware solutions which include innovative developer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w:t>
      </w:r>
    </w:p>
    <w:p>
      <w:pPr>
        <w:spacing w:after="0" w:line="138" w:lineRule="exact"/>
        <w:rPr>
          <w:rFonts w:ascii="Times New Roman" w:cs="Times New Roman" w:eastAsia="Times New Roman" w:hAnsi="Times New Roman"/>
          <w:sz w:val="14"/>
          <w:szCs w:val="14"/>
          <w:color w:val="auto"/>
        </w:rPr>
      </w:pPr>
    </w:p>
    <w:p>
      <w:pPr>
        <w:ind w:left="1360" w:right="279" w:hanging="5"/>
        <w:spacing w:after="0" w:line="286" w:lineRule="auto"/>
        <w:tabs>
          <w:tab w:leader="none" w:pos="1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Applications powered by Blaize </w:t>
      </w:r>
      <w:r>
        <w:rPr>
          <w:rFonts w:ascii="Times New Roman" w:cs="Times New Roman" w:eastAsia="Times New Roman" w:hAnsi="Times New Roman"/>
          <w:sz w:val="14"/>
          <w:szCs w:val="14"/>
          <w:color w:val="auto"/>
        </w:rPr>
        <w:t>— our team concentrates on qualifying with application partners that deliver customer-facing software and services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our focused verticals;</w:t>
      </w:r>
    </w:p>
    <w:p>
      <w:pPr>
        <w:spacing w:after="0" w:line="120" w:lineRule="exact"/>
        <w:rPr>
          <w:rFonts w:ascii="Times New Roman" w:cs="Times New Roman" w:eastAsia="Times New Roman" w:hAnsi="Times New Roman"/>
          <w:sz w:val="14"/>
          <w:szCs w:val="14"/>
          <w:color w:val="auto"/>
        </w:rPr>
      </w:pPr>
    </w:p>
    <w:p>
      <w:pPr>
        <w:ind w:left="1500" w:hanging="145"/>
        <w:spacing w:after="0"/>
        <w:tabs>
          <w:tab w:leader="none" w:pos="1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Ecosystem channel delivery </w:t>
      </w:r>
      <w:r>
        <w:rPr>
          <w:rFonts w:ascii="Times New Roman" w:cs="Times New Roman" w:eastAsia="Times New Roman" w:hAnsi="Times New Roman"/>
          <w:sz w:val="14"/>
          <w:szCs w:val="14"/>
          <w:color w:val="auto"/>
        </w:rPr>
        <w:t>— we contract with cloud, distribution, integration, and value-add resellers already supporting our target markets; and</w:t>
      </w:r>
    </w:p>
    <w:p>
      <w:pPr>
        <w:spacing w:after="0" w:line="175" w:lineRule="exact"/>
        <w:rPr>
          <w:rFonts w:ascii="Times New Roman" w:cs="Times New Roman" w:eastAsia="Times New Roman" w:hAnsi="Times New Roman"/>
          <w:sz w:val="14"/>
          <w:szCs w:val="14"/>
          <w:color w:val="auto"/>
        </w:rPr>
      </w:pPr>
    </w:p>
    <w:p>
      <w:pPr>
        <w:ind w:left="1360" w:right="419" w:hanging="5"/>
        <w:spacing w:after="0" w:line="286" w:lineRule="auto"/>
        <w:tabs>
          <w:tab w:leader="none" w:pos="1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Enterprise adoption </w:t>
      </w:r>
      <w:r>
        <w:rPr>
          <w:rFonts w:ascii="Times New Roman" w:cs="Times New Roman" w:eastAsia="Times New Roman" w:hAnsi="Times New Roman"/>
          <w:sz w:val="14"/>
          <w:szCs w:val="14"/>
          <w:color w:val="auto"/>
        </w:rPr>
        <w:t>— we promote market ready solutions powered by Blaize and present use cases that meet our customers’ varying budget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deployment requirements.</w:t>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Historical Revenue and Growth Expectations</w:t>
      </w:r>
    </w:p>
    <w:p>
      <w:pPr>
        <w:spacing w:after="0" w:line="93" w:lineRule="exact"/>
        <w:rPr>
          <w:sz w:val="20"/>
          <w:szCs w:val="20"/>
          <w:color w:val="auto"/>
        </w:rPr>
      </w:pPr>
    </w:p>
    <w:p>
      <w:pPr>
        <w:jc w:val="both"/>
        <w:ind w:left="1360" w:right="279"/>
        <w:spacing w:after="0" w:line="258" w:lineRule="auto"/>
        <w:rPr>
          <w:sz w:val="20"/>
          <w:szCs w:val="20"/>
          <w:color w:val="auto"/>
        </w:rPr>
      </w:pPr>
      <w:r>
        <w:rPr>
          <w:rFonts w:ascii="Times New Roman" w:cs="Times New Roman" w:eastAsia="Times New Roman" w:hAnsi="Times New Roman"/>
          <w:sz w:val="14"/>
          <w:szCs w:val="14"/>
          <w:color w:val="auto"/>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spacing w:after="0" w:line="144" w:lineRule="exact"/>
        <w:rPr>
          <w:sz w:val="20"/>
          <w:szCs w:val="20"/>
          <w:color w:val="auto"/>
        </w:rPr>
      </w:pPr>
    </w:p>
    <w:p>
      <w:pPr>
        <w:jc w:val="both"/>
        <w:ind w:left="1360" w:right="259"/>
        <w:spacing w:after="0" w:line="283" w:lineRule="auto"/>
        <w:rPr>
          <w:sz w:val="20"/>
          <w:szCs w:val="20"/>
          <w:color w:val="auto"/>
        </w:rPr>
      </w:pPr>
      <w:r>
        <w:rPr>
          <w:rFonts w:ascii="Times New Roman" w:cs="Times New Roman" w:eastAsia="Times New Roman" w:hAnsi="Times New Roman"/>
          <w:sz w:val="14"/>
          <w:szCs w:val="14"/>
          <w:color w:val="auto"/>
        </w:rPr>
        <w:t>In 2024, 98% of our revenue was derived from two different customers, located in both North America and Asia Pacific, and both of whom were related parties. In 2024, substantially all of our revenue was derived from services revenue, and these development services contracts have expired.</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expect our growth to continue in both Asia-Pacific, North America, and the Persian Gulf region, as further described, below.</w:t>
      </w:r>
    </w:p>
    <w:p>
      <w:pPr>
        <w:spacing w:after="0" w:line="175"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Since our revenue is currently concentrated among a small number of customers, revenue recognized from any one significant customer may change the geographical mix of our revenue. Going forward, we expect to derive revenue primarily from sales of our hardware and software products and also from professional services.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Purchase Order Contract Agreement (the “POCA”) in the Persian Gulf Region</w:t>
      </w:r>
    </w:p>
    <w:p>
      <w:pPr>
        <w:spacing w:after="0" w:line="93"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407"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59"/>
        <w:spacing w:after="0" w:line="258" w:lineRule="auto"/>
        <w:rPr>
          <w:sz w:val="20"/>
          <w:szCs w:val="20"/>
          <w:color w:val="auto"/>
        </w:rPr>
      </w:pPr>
      <w:r>
        <w:rPr>
          <w:rFonts w:ascii="Times New Roman" w:cs="Times New Roman" w:eastAsia="Times New Roman" w:hAnsi="Times New Roman"/>
          <w:sz w:val="14"/>
          <w:szCs w:val="14"/>
          <w:color w:val="auto"/>
        </w:rPr>
        <w:t>supplier of equipment, software and/or managed services to TSP for the purpose of installation, provision, operations and/or maintenance of TSP’s networks (in such capacity, the “Vendor”), agreed that the Vendor will supply equipment and services for consideration of up to $104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144"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spacing w:after="0" w:line="136"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Performance of the parties’ obligations under the POCA has been delayed as the Customer changed its initial field trial priorities. As of November 28, 2025,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spacing w:after="0" w:line="144" w:lineRule="exact"/>
        <w:rPr>
          <w:sz w:val="20"/>
          <w:szCs w:val="20"/>
          <w:color w:val="auto"/>
        </w:rPr>
      </w:pPr>
    </w:p>
    <w:p>
      <w:pPr>
        <w:ind w:left="1360" w:right="219"/>
        <w:spacing w:after="0" w:line="267" w:lineRule="auto"/>
        <w:rPr>
          <w:sz w:val="20"/>
          <w:szCs w:val="20"/>
          <w:color w:val="auto"/>
        </w:rPr>
      </w:pPr>
      <w:r>
        <w:rPr>
          <w:rFonts w:ascii="Times New Roman" w:cs="Times New Roman" w:eastAsia="Times New Roman" w:hAnsi="Times New Roman"/>
          <w:sz w:val="14"/>
          <w:szCs w:val="14"/>
          <w:color w:val="auto"/>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believe the following key strengths will help us maintain our unique product solutions and continue our growth trajectory moving forward:</w:t>
      </w:r>
    </w:p>
    <w:p>
      <w:pPr>
        <w:spacing w:after="0" w:line="100" w:lineRule="exact"/>
        <w:rPr>
          <w:sz w:val="20"/>
          <w:szCs w:val="20"/>
          <w:color w:val="auto"/>
        </w:rPr>
      </w:pPr>
    </w:p>
    <w:p>
      <w:pPr>
        <w:ind w:left="2120" w:right="419" w:hanging="345"/>
        <w:spacing w:after="0" w:line="257"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Architecture. </w:t>
      </w:r>
      <w:r>
        <w:rPr>
          <w:rFonts w:ascii="Times New Roman" w:cs="Times New Roman" w:eastAsia="Times New Roman" w:hAnsi="Times New Roman"/>
          <w:sz w:val="14"/>
          <w:szCs w:val="14"/>
          <w:color w:val="auto"/>
        </w:rPr>
        <w:t>We believe our innovative full-stack solution, incorporating and bundling silicon, hardware, and software, at the edge,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w:t>
      </w:r>
    </w:p>
    <w:p>
      <w:pPr>
        <w:spacing w:after="0" w:line="69" w:lineRule="exact"/>
        <w:rPr>
          <w:rFonts w:ascii="Times New Roman" w:cs="Times New Roman" w:eastAsia="Times New Roman" w:hAnsi="Times New Roman"/>
          <w:sz w:val="14"/>
          <w:szCs w:val="14"/>
          <w:color w:val="auto"/>
        </w:rPr>
      </w:pPr>
    </w:p>
    <w:p>
      <w:pPr>
        <w:ind w:left="2120" w:right="279" w:hanging="345"/>
        <w:spacing w:after="0" w:line="273" w:lineRule="auto"/>
        <w:tabs>
          <w:tab w:leader="none" w:pos="21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Efficient and Programmable Graph Streaming Processor. </w:t>
      </w:r>
      <w:r>
        <w:rPr>
          <w:rFonts w:ascii="Times New Roman" w:cs="Times New Roman" w:eastAsia="Times New Roman" w:hAnsi="Times New Roman"/>
          <w:sz w:val="13"/>
          <w:szCs w:val="13"/>
          <w:color w:val="auto"/>
        </w:rPr>
        <w:t>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w:t>
      </w:r>
    </w:p>
    <w:p>
      <w:pPr>
        <w:spacing w:after="0" w:line="1" w:lineRule="exact"/>
        <w:rPr>
          <w:rFonts w:ascii="Times New Roman" w:cs="Times New Roman" w:eastAsia="Times New Roman" w:hAnsi="Times New Roman"/>
          <w:sz w:val="13"/>
          <w:szCs w:val="13"/>
          <w:color w:val="auto"/>
        </w:rPr>
      </w:pPr>
    </w:p>
    <w:p>
      <w:pPr>
        <w:ind w:left="21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(4) fully programmable.</w:t>
      </w:r>
    </w:p>
    <w:p>
      <w:pPr>
        <w:spacing w:after="0" w:line="85" w:lineRule="exact"/>
        <w:rPr>
          <w:rFonts w:ascii="Times New Roman" w:cs="Times New Roman" w:eastAsia="Times New Roman" w:hAnsi="Times New Roman"/>
          <w:sz w:val="13"/>
          <w:szCs w:val="13"/>
          <w:color w:val="auto"/>
        </w:rPr>
      </w:pPr>
    </w:p>
    <w:p>
      <w:pPr>
        <w:ind w:left="2120" w:right="239" w:hanging="345"/>
        <w:spacing w:after="0" w:line="286"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Task-Level Parallelism through Highly Efficient Streaming of Neural Network Graphs. </w:t>
      </w:r>
      <w:r>
        <w:rPr>
          <w:rFonts w:ascii="Times New Roman" w:cs="Times New Roman" w:eastAsia="Times New Roman" w:hAnsi="Times New Roman"/>
          <w:sz w:val="14"/>
          <w:szCs w:val="14"/>
          <w:color w:val="auto"/>
        </w:rPr>
        <w:t>Neural network processing lends itself well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four different levels of parallelism: instruction-level, data-level,</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407"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thread level, and task-level. Our GSP architecture is the only one in the industry to provide all four levels of parallelism:</w:t>
      </w:r>
    </w:p>
    <w:p>
      <w:pPr>
        <w:spacing w:after="0" w:line="17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GSPs offer instruction-level parallelism by scheduling instructions as soon as their dependencies have been met. Each processor executes its instructions independently of any other processor.</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GSPs offer thread parallelism, with multiple hardware threads per processor. Within a single clock cycle, our processor can change context either by switching threads or by dispatching a new thread.</w:t>
      </w:r>
    </w:p>
    <w:p>
      <w:pPr>
        <w:spacing w:after="0" w:line="51" w:lineRule="exact"/>
        <w:rPr>
          <w:sz w:val="20"/>
          <w:szCs w:val="20"/>
          <w:color w:val="auto"/>
        </w:rPr>
      </w:pPr>
    </w:p>
    <w:p>
      <w:pPr>
        <w:jc w:val="both"/>
        <w:ind w:left="2120" w:right="639" w:hanging="345"/>
        <w:spacing w:after="0" w:line="323" w:lineRule="auto"/>
        <w:tabs>
          <w:tab w:leader="none" w:pos="212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GSPs offer data parallelism through special instructions that can operate directly on unaligned blocks of data in a register file. These instructions include 2D block instructions, such as block move and block add, as well as reduction instructions, such as dot product.</w:t>
      </w:r>
    </w:p>
    <w:p>
      <w:pPr>
        <w:spacing w:after="0" w:line="28" w:lineRule="exact"/>
        <w:rPr>
          <w:rFonts w:ascii="Times New Roman" w:cs="Times New Roman" w:eastAsia="Times New Roman" w:hAnsi="Times New Roman"/>
          <w:sz w:val="13"/>
          <w:szCs w:val="13"/>
          <w:color w:val="auto"/>
        </w:rPr>
      </w:pPr>
    </w:p>
    <w:p>
      <w:pPr>
        <w:ind w:left="2120" w:right="319" w:hanging="345"/>
        <w:spacing w:after="0" w:line="261"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w:t>
      </w:r>
    </w:p>
    <w:p>
      <w:pPr>
        <w:spacing w:after="0" w:line="139" w:lineRule="exact"/>
        <w:rPr>
          <w:sz w:val="20"/>
          <w:szCs w:val="20"/>
          <w:color w:val="auto"/>
        </w:rPr>
      </w:pPr>
    </w:p>
    <w:p>
      <w:pPr>
        <w:ind w:left="1360" w:right="519"/>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Fully Programmable Architecture with Efficient End-to-end Applications. </w:t>
      </w:r>
      <w:r>
        <w:rPr>
          <w:rFonts w:ascii="Times New Roman" w:cs="Times New Roman" w:eastAsia="Times New Roman" w:hAnsi="Times New Roman"/>
          <w:sz w:val="14"/>
          <w:szCs w:val="14"/>
          <w:color w:val="auto"/>
        </w:rPr>
        <w:t>AI developers today face three major challenges when deploying AI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applications in the real-world:</w:t>
      </w:r>
    </w:p>
    <w:p>
      <w:pPr>
        <w:spacing w:after="0" w:line="121" w:lineRule="exact"/>
        <w:rPr>
          <w:sz w:val="20"/>
          <w:szCs w:val="20"/>
          <w:color w:val="auto"/>
        </w:rPr>
      </w:pPr>
    </w:p>
    <w:p>
      <w:pPr>
        <w:ind w:left="1360" w:right="699" w:hanging="5"/>
        <w:spacing w:after="0" w:line="286" w:lineRule="auto"/>
        <w:tabs>
          <w:tab w:leader="none" w:pos="1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Integration. </w:t>
      </w:r>
      <w:r>
        <w:rPr>
          <w:rFonts w:ascii="Times New Roman" w:cs="Times New Roman" w:eastAsia="Times New Roman" w:hAnsi="Times New Roman"/>
          <w:sz w:val="14"/>
          <w:szCs w:val="14"/>
          <w:color w:val="auto"/>
        </w:rPr>
        <w:t>Neural network functions are usually part of an overall application; therefore, developers need to be able to easily and efficiently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integrate both the neural network and non-neural network functions;</w:t>
      </w:r>
    </w:p>
    <w:p>
      <w:pPr>
        <w:spacing w:after="0" w:line="120" w:lineRule="exact"/>
        <w:rPr>
          <w:rFonts w:ascii="Times New Roman" w:cs="Times New Roman" w:eastAsia="Times New Roman" w:hAnsi="Times New Roman"/>
          <w:sz w:val="14"/>
          <w:szCs w:val="14"/>
          <w:color w:val="auto"/>
        </w:rPr>
      </w:pPr>
    </w:p>
    <w:p>
      <w:pPr>
        <w:ind w:left="1500" w:hanging="145"/>
        <w:spacing w:after="0"/>
        <w:tabs>
          <w:tab w:leader="none" w:pos="1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Efficiency. </w:t>
      </w:r>
      <w:r>
        <w:rPr>
          <w:rFonts w:ascii="Times New Roman" w:cs="Times New Roman" w:eastAsia="Times New Roman" w:hAnsi="Times New Roman"/>
          <w:sz w:val="14"/>
          <w:szCs w:val="14"/>
          <w:color w:val="auto"/>
        </w:rPr>
        <w:t>The entire AI application must run efficiently on the hardware deployed, with high performance, low latency and low power; and</w:t>
      </w:r>
    </w:p>
    <w:p>
      <w:pPr>
        <w:spacing w:after="0" w:line="175" w:lineRule="exact"/>
        <w:rPr>
          <w:rFonts w:ascii="Times New Roman" w:cs="Times New Roman" w:eastAsia="Times New Roman" w:hAnsi="Times New Roman"/>
          <w:sz w:val="14"/>
          <w:szCs w:val="14"/>
          <w:color w:val="auto"/>
        </w:rPr>
      </w:pPr>
    </w:p>
    <w:p>
      <w:pPr>
        <w:ind w:left="1360" w:right="479" w:hanging="5"/>
        <w:spacing w:after="0" w:line="286" w:lineRule="auto"/>
        <w:tabs>
          <w:tab w:leader="none" w:pos="1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Periodic Updates. </w:t>
      </w:r>
      <w:r>
        <w:rPr>
          <w:rFonts w:ascii="Times New Roman" w:cs="Times New Roman" w:eastAsia="Times New Roman" w:hAnsi="Times New Roman"/>
          <w:sz w:val="14"/>
          <w:szCs w:val="14"/>
          <w:color w:val="auto"/>
        </w:rPr>
        <w:t>It is crucial to be able to update applications and neural networks as more data is collected in the field and new neural network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innovations rapidly evolve.</w:t>
      </w:r>
    </w:p>
    <w:p>
      <w:pPr>
        <w:spacing w:after="0" w:line="1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believe our GSP solves these three major challenges in the following ways:</w:t>
      </w:r>
    </w:p>
    <w:p>
      <w:pPr>
        <w:spacing w:after="0" w:line="173" w:lineRule="exact"/>
        <w:rPr>
          <w:sz w:val="20"/>
          <w:szCs w:val="20"/>
          <w:color w:val="auto"/>
        </w:rPr>
      </w:pPr>
    </w:p>
    <w:p>
      <w:pPr>
        <w:ind w:left="1360" w:right="259" w:hanging="5"/>
        <w:spacing w:after="0" w:line="268" w:lineRule="auto"/>
        <w:tabs>
          <w:tab w:leader="none" w:pos="1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Integration. </w:t>
      </w:r>
      <w:r>
        <w:rPr>
          <w:rFonts w:ascii="Times New Roman" w:cs="Times New Roman" w:eastAsia="Times New Roman" w:hAnsi="Times New Roman"/>
          <w:sz w:val="14"/>
          <w:szCs w:val="14"/>
          <w:color w:val="auto"/>
        </w:rPr>
        <w:t>The GSP architecture is fully programmable, which enables developers to build end-to-end AI applications, integrate non-neural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network functions (such as Image Signal Processing) and neural network functions that are built in any Machine Learning framework, and execute these on the same hardware.</w:t>
      </w:r>
    </w:p>
    <w:p>
      <w:pPr>
        <w:spacing w:after="0" w:line="133" w:lineRule="exact"/>
        <w:rPr>
          <w:rFonts w:ascii="Times New Roman" w:cs="Times New Roman" w:eastAsia="Times New Roman" w:hAnsi="Times New Roman"/>
          <w:sz w:val="14"/>
          <w:szCs w:val="14"/>
          <w:color w:val="auto"/>
        </w:rPr>
      </w:pPr>
    </w:p>
    <w:p>
      <w:pPr>
        <w:ind w:left="1360" w:right="419" w:hanging="5"/>
        <w:spacing w:after="0" w:line="286" w:lineRule="auto"/>
        <w:tabs>
          <w:tab w:leader="none" w:pos="1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Efficiency</w:t>
      </w:r>
      <w:r>
        <w:rPr>
          <w:rFonts w:ascii="Times New Roman" w:cs="Times New Roman" w:eastAsia="Times New Roman" w:hAnsi="Times New Roman"/>
          <w:sz w:val="14"/>
          <w:szCs w:val="14"/>
          <w:color w:val="auto"/>
        </w:rPr>
        <w:t>. The fully integrated Picasso software development platform and graph framework take care of translating these complex end-to-end AI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applications into graphs that run efficiently and performantly on the underlying hardware.</w:t>
      </w:r>
    </w:p>
    <w:p>
      <w:pPr>
        <w:spacing w:after="0" w:line="120" w:lineRule="exact"/>
        <w:rPr>
          <w:rFonts w:ascii="Times New Roman" w:cs="Times New Roman" w:eastAsia="Times New Roman" w:hAnsi="Times New Roman"/>
          <w:sz w:val="14"/>
          <w:szCs w:val="14"/>
          <w:color w:val="auto"/>
        </w:rPr>
      </w:pPr>
    </w:p>
    <w:p>
      <w:pPr>
        <w:ind w:left="1360" w:right="379" w:hanging="5"/>
        <w:spacing w:after="0" w:line="286" w:lineRule="auto"/>
        <w:tabs>
          <w:tab w:leader="none" w:pos="1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Periodic updates. </w:t>
      </w:r>
      <w:r>
        <w:rPr>
          <w:rFonts w:ascii="Times New Roman" w:cs="Times New Roman" w:eastAsia="Times New Roman" w:hAnsi="Times New Roman"/>
          <w:sz w:val="14"/>
          <w:szCs w:val="14"/>
          <w:color w:val="auto"/>
        </w:rPr>
        <w:t>As the neural network and workflow evolves, and as new data is collected, the AI models can be re-trained and re-deployed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ease and speed, using the integrated Picasso toolkit.</w:t>
      </w:r>
    </w:p>
    <w:p>
      <w:pPr>
        <w:spacing w:after="0" w:line="47" w:lineRule="exact"/>
        <w:rPr>
          <w:rFonts w:ascii="Times New Roman" w:cs="Times New Roman" w:eastAsia="Times New Roman" w:hAnsi="Times New Roman"/>
          <w:sz w:val="14"/>
          <w:szCs w:val="14"/>
          <w:color w:val="auto"/>
        </w:rPr>
      </w:pPr>
    </w:p>
    <w:p>
      <w:pPr>
        <w:ind w:left="2120" w:right="239" w:hanging="345"/>
        <w:spacing w:after="0" w:line="286" w:lineRule="auto"/>
        <w:tabs>
          <w:tab w:leader="none" w:pos="21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Low Capex and De-Risked Business Model. </w:t>
      </w:r>
      <w:r>
        <w:rPr>
          <w:rFonts w:ascii="Times New Roman" w:cs="Times New Roman" w:eastAsia="Times New Roman" w:hAnsi="Times New Roman"/>
          <w:sz w:val="14"/>
          <w:szCs w:val="14"/>
          <w:color w:val="auto"/>
        </w:rPr>
        <w:t>While we design and sell our hardware and semiconductor chips, we do not manufacture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silicon wafers or chips used in our products. Instead, we outsource the fabrication of these products to a manufacturing plant.</w:t>
      </w:r>
    </w:p>
    <w:p>
      <w:pPr>
        <w:spacing w:after="0" w:line="47" w:lineRule="exact"/>
        <w:rPr>
          <w:rFonts w:ascii="Times New Roman" w:cs="Times New Roman" w:eastAsia="Times New Roman" w:hAnsi="Times New Roman"/>
          <w:sz w:val="14"/>
          <w:szCs w:val="14"/>
          <w:color w:val="auto"/>
        </w:rPr>
      </w:pPr>
    </w:p>
    <w:p>
      <w:pPr>
        <w:ind w:left="2120" w:right="399" w:hanging="345"/>
        <w:spacing w:after="0" w:line="262" w:lineRule="auto"/>
        <w:tabs>
          <w:tab w:leader="none" w:pos="21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Cost Efficiency. </w:t>
      </w:r>
      <w:r>
        <w:rPr>
          <w:rFonts w:ascii="Times New Roman" w:cs="Times New Roman" w:eastAsia="Times New Roman" w:hAnsi="Times New Roman"/>
          <w:sz w:val="14"/>
          <w:szCs w:val="14"/>
          <w:color w:val="auto"/>
        </w:rPr>
        <w:t>As a fabless manufacturing company, we avoid potentially high capital investments that would be required to build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407"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2120" w:right="419" w:hanging="345"/>
        <w:spacing w:after="0" w:line="268"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Flexibility and Scalability. </w:t>
      </w:r>
      <w:r>
        <w:rPr>
          <w:rFonts w:ascii="Times New Roman" w:cs="Times New Roman" w:eastAsia="Times New Roman" w:hAnsi="Times New Roman"/>
          <w:sz w:val="14"/>
          <w:szCs w:val="14"/>
          <w:color w:val="auto"/>
        </w:rPr>
        <w:t>We can scale production quickly without having to invest in additional manufacturing facilities. As a result,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respond to market demand fluctuations by leveraging the capacity and capabilities of external foundries. We believe this flexibility allows us to adapt to market conditions and rapidly bring new products to market.</w:t>
      </w:r>
    </w:p>
    <w:p>
      <w:pPr>
        <w:spacing w:after="0" w:line="59" w:lineRule="exact"/>
        <w:rPr>
          <w:rFonts w:ascii="Times New Roman" w:cs="Times New Roman" w:eastAsia="Times New Roman" w:hAnsi="Times New Roman"/>
          <w:sz w:val="14"/>
          <w:szCs w:val="14"/>
          <w:color w:val="auto"/>
        </w:rPr>
      </w:pPr>
    </w:p>
    <w:p>
      <w:pPr>
        <w:ind w:left="2120" w:right="319" w:hanging="345"/>
        <w:spacing w:after="0" w:line="262"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Technological Expertise. </w:t>
      </w:r>
      <w:r>
        <w:rPr>
          <w:rFonts w:ascii="Times New Roman" w:cs="Times New Roman" w:eastAsia="Times New Roman" w:hAnsi="Times New Roman"/>
          <w:sz w:val="14"/>
          <w:szCs w:val="14"/>
          <w:color w:val="auto"/>
        </w:rPr>
        <w:t>We focus on concentrating all efforts on research, development, and innovation, without being burdened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complexities of semiconductor manufacturing. Our teams of experts are solely focused on designing advanced chips and pushing technological boundaries. We believe this specialization has enabled our development of more cutting- edge products and faster time-to-market.</w:t>
      </w:r>
    </w:p>
    <w:p>
      <w:pPr>
        <w:spacing w:after="0" w:line="64" w:lineRule="exact"/>
        <w:rPr>
          <w:rFonts w:ascii="Times New Roman" w:cs="Times New Roman" w:eastAsia="Times New Roman" w:hAnsi="Times New Roman"/>
          <w:sz w:val="14"/>
          <w:szCs w:val="14"/>
          <w:color w:val="auto"/>
        </w:rPr>
      </w:pPr>
    </w:p>
    <w:p>
      <w:pPr>
        <w:ind w:left="2120" w:right="239" w:hanging="345"/>
        <w:spacing w:after="0" w:line="268"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Access to Advanced Processes. </w:t>
      </w:r>
      <w:r>
        <w:rPr>
          <w:rFonts w:ascii="Times New Roman" w:cs="Times New Roman" w:eastAsia="Times New Roman" w:hAnsi="Times New Roman"/>
          <w:sz w:val="14"/>
          <w:szCs w:val="14"/>
          <w:color w:val="auto"/>
        </w:rPr>
        <w:t>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w:t>
      </w:r>
    </w:p>
    <w:p>
      <w:pPr>
        <w:spacing w:after="0" w:line="59" w:lineRule="exact"/>
        <w:rPr>
          <w:rFonts w:ascii="Times New Roman" w:cs="Times New Roman" w:eastAsia="Times New Roman" w:hAnsi="Times New Roman"/>
          <w:sz w:val="14"/>
          <w:szCs w:val="14"/>
          <w:color w:val="auto"/>
        </w:rPr>
      </w:pPr>
    </w:p>
    <w:p>
      <w:pPr>
        <w:ind w:left="2120" w:right="239" w:hanging="345"/>
        <w:spacing w:after="0" w:line="268"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Global Supply Chain. </w:t>
      </w:r>
      <w:r>
        <w:rPr>
          <w:rFonts w:ascii="Times New Roman" w:cs="Times New Roman" w:eastAsia="Times New Roman" w:hAnsi="Times New Roman"/>
          <w:sz w:val="14"/>
          <w:szCs w:val="14"/>
          <w:color w:val="auto"/>
        </w:rPr>
        <w:t>Our fabless approach gives us the ability to tap into a global network of foundries, enabling our selection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most suitable manufacturing partner based on the specific requirements. We believe this global supply chain, in turn, also offers geographic diversification, reducing the risk of disruptions caused by regional issues, such as natural disasters or geopolitical factors.</w:t>
      </w:r>
    </w:p>
    <w:p>
      <w:pPr>
        <w:spacing w:after="0" w:line="59" w:lineRule="exact"/>
        <w:rPr>
          <w:rFonts w:ascii="Times New Roman" w:cs="Times New Roman" w:eastAsia="Times New Roman" w:hAnsi="Times New Roman"/>
          <w:sz w:val="14"/>
          <w:szCs w:val="14"/>
          <w:color w:val="auto"/>
        </w:rPr>
      </w:pPr>
    </w:p>
    <w:p>
      <w:pPr>
        <w:ind w:left="2120" w:right="279" w:hanging="345"/>
        <w:spacing w:after="0" w:line="268"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Focus on Differentiation. </w:t>
      </w:r>
      <w:r>
        <w:rPr>
          <w:rFonts w:ascii="Times New Roman" w:cs="Times New Roman" w:eastAsia="Times New Roman" w:hAnsi="Times New Roman"/>
          <w:sz w:val="14"/>
          <w:szCs w:val="14"/>
          <w:color w:val="auto"/>
        </w:rPr>
        <w:t>With manufacturing outsourced, we have the capacity to heavily focus on developing unique features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intellectual property (“IP”). We are investing in specialized design teams, software development, and system integration to create products that stand out in the market and provide a competitive advantage.</w:t>
      </w:r>
    </w:p>
    <w:p>
      <w:pPr>
        <w:spacing w:after="0" w:line="59" w:lineRule="exact"/>
        <w:rPr>
          <w:rFonts w:ascii="Times New Roman" w:cs="Times New Roman" w:eastAsia="Times New Roman" w:hAnsi="Times New Roman"/>
          <w:sz w:val="14"/>
          <w:szCs w:val="14"/>
          <w:color w:val="auto"/>
        </w:rPr>
      </w:pPr>
    </w:p>
    <w:p>
      <w:pPr>
        <w:ind w:left="2120" w:right="459" w:hanging="345"/>
        <w:spacing w:after="0" w:line="268"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Reduced Time-to-Market. </w:t>
      </w:r>
      <w:r>
        <w:rPr>
          <w:rFonts w:ascii="Times New Roman" w:cs="Times New Roman" w:eastAsia="Times New Roman" w:hAnsi="Times New Roman"/>
          <w:sz w:val="14"/>
          <w:szCs w:val="14"/>
          <w:color w:val="auto"/>
        </w:rPr>
        <w:t>We believe the fabless manufacturing model allows us to expedite our product development cycles.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partnering with external foundries, we parallelize design and fabrication processes, reducing time-consuming steps and accelerating the overall time-to-market.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Growth Strategies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key elements of our strategy for growth include focusing on the following areas:</w:t>
      </w:r>
    </w:p>
    <w:p>
      <w:pPr>
        <w:spacing w:after="0" w:line="102" w:lineRule="exact"/>
        <w:rPr>
          <w:sz w:val="20"/>
          <w:szCs w:val="20"/>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Scaling through expansion of our current products to reach deeper into our own industry’s verticals and expanding into adjacent verticals.</w:t>
      </w:r>
    </w:p>
    <w:p>
      <w:pPr>
        <w:spacing w:after="0" w:line="10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our ecosystem of hardware manufacturers and independent software vendors specializing across a variety of industry verticals and form new partnerships with them to bring innovative turn-key solutions to market.</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enhance the features available in AI Studio in order to target a wider community of developers, including universities and other institutes of higher education.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Incorporating market AI trends into the design of our next-generation SoC to further expand our addressable TAM.</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currently outsource all of our manufacturing and leverage partnerships with several global manufacturing and assembly providers.</w:t>
      </w:r>
    </w:p>
    <w:p>
      <w:pPr>
        <w:spacing w:after="0" w:line="175"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407"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Foundry and our Taiwanese packaging partners. The raw materials and components used include silicon, polymers, copper, aluminum, other metal alloys, and plastics, which are generally available throughout the world but largely provided by companies in China.</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w:t>
      </w:r>
    </w:p>
    <w:p>
      <w:pPr>
        <w:spacing w:after="0" w:line="14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scalable and programmable architecture enables us to sell into a broad set of markets and applications.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a result, our competitors vary depending on the target market segment.</w:t>
      </w:r>
    </w:p>
    <w:p>
      <w:pPr>
        <w:spacing w:after="0" w:line="100" w:lineRule="exact"/>
        <w:rPr>
          <w:sz w:val="20"/>
          <w:szCs w:val="20"/>
          <w:color w:val="auto"/>
        </w:rPr>
      </w:pPr>
    </w:p>
    <w:p>
      <w:pPr>
        <w:ind w:left="2120" w:right="359" w:hanging="345"/>
        <w:spacing w:after="0" w:line="268"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Data Center and Edge. </w:t>
      </w:r>
      <w:r>
        <w:rPr>
          <w:rFonts w:ascii="Times New Roman" w:cs="Times New Roman" w:eastAsia="Times New Roman" w:hAnsi="Times New Roman"/>
          <w:sz w:val="14"/>
          <w:szCs w:val="14"/>
          <w:color w:val="auto"/>
        </w:rPr>
        <w:t>We believe our main competitors come from producers of graphics processing units (“GPUs”), such as NVIDIA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Corporation (“NVIDIA”), and GPU-derived application-specific- standard products (“ASSPs”). As we continue to grow, we predict additional competition will come from in-CPU acceleration provided by established vendors, including Intel and AMD.</w:t>
      </w:r>
    </w:p>
    <w:p>
      <w:pPr>
        <w:spacing w:after="0" w:line="59" w:lineRule="exact"/>
        <w:rPr>
          <w:rFonts w:ascii="Times New Roman" w:cs="Times New Roman" w:eastAsia="Times New Roman" w:hAnsi="Times New Roman"/>
          <w:sz w:val="14"/>
          <w:szCs w:val="14"/>
          <w:color w:val="auto"/>
        </w:rPr>
      </w:pPr>
    </w:p>
    <w:p>
      <w:pPr>
        <w:ind w:left="2120" w:right="399" w:hanging="345"/>
        <w:spacing w:after="0" w:line="259"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Surveillance and Security. </w:t>
      </w:r>
      <w:r>
        <w:rPr>
          <w:rFonts w:ascii="Times New Roman" w:cs="Times New Roman" w:eastAsia="Times New Roman" w:hAnsi="Times New Roman"/>
          <w:sz w:val="14"/>
          <w:szCs w:val="14"/>
          <w:color w:val="auto"/>
        </w:rPr>
        <w:t>We consider companies with in-house application-specific integrated circuits (“ASICs”) that are either fully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w:t>
      </w:r>
    </w:p>
    <w:p>
      <w:pPr>
        <w:spacing w:after="0" w:line="66" w:lineRule="exact"/>
        <w:rPr>
          <w:rFonts w:ascii="Times New Roman" w:cs="Times New Roman" w:eastAsia="Times New Roman" w:hAnsi="Times New Roman"/>
          <w:sz w:val="14"/>
          <w:szCs w:val="14"/>
          <w:color w:val="auto"/>
        </w:rPr>
      </w:pPr>
    </w:p>
    <w:p>
      <w:pPr>
        <w:ind w:left="2120" w:right="259" w:hanging="345"/>
        <w:spacing w:after="0" w:line="262"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Machine Vision. </w:t>
      </w:r>
      <w:r>
        <w:rPr>
          <w:rFonts w:ascii="Times New Roman" w:cs="Times New Roman" w:eastAsia="Times New Roman" w:hAnsi="Times New Roman"/>
          <w:sz w:val="14"/>
          <w:szCs w:val="14"/>
          <w:color w:val="auto"/>
        </w:rPr>
        <w:t>We compete with industrial autonomation, quality control, and other machine vision utilization industries in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w:t>
      </w:r>
    </w:p>
    <w:p>
      <w:pPr>
        <w:spacing w:after="0" w:line="64" w:lineRule="exact"/>
        <w:rPr>
          <w:rFonts w:ascii="Times New Roman" w:cs="Times New Roman" w:eastAsia="Times New Roman" w:hAnsi="Times New Roman"/>
          <w:sz w:val="14"/>
          <w:szCs w:val="14"/>
          <w:color w:val="auto"/>
        </w:rPr>
      </w:pPr>
    </w:p>
    <w:p>
      <w:pPr>
        <w:ind w:left="2120" w:right="299" w:hanging="345"/>
        <w:spacing w:after="0" w:line="262"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Drones, Robotics and Other Embedded Applications. </w:t>
      </w:r>
      <w:r>
        <w:rPr>
          <w:rFonts w:ascii="Times New Roman" w:cs="Times New Roman" w:eastAsia="Times New Roman" w:hAnsi="Times New Roman"/>
          <w:sz w:val="14"/>
          <w:szCs w:val="14"/>
          <w:color w:val="auto"/>
        </w:rPr>
        <w:t>We believe competition in this category is primarily from in-house designs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custom-built ASICs (either fully proprietary or based on third- party technologies from vendors, such as Ambarella). Further, we believe that merchant options provided by NVIDIA and Qualcomm and FPGA solutions from Xilinx and Altera will also represent competitors in this category, albeit in a smaller and more fragmented fashion.</w:t>
      </w:r>
    </w:p>
    <w:p>
      <w:pPr>
        <w:spacing w:after="0" w:line="64" w:lineRule="exact"/>
        <w:rPr>
          <w:rFonts w:ascii="Times New Roman" w:cs="Times New Roman" w:eastAsia="Times New Roman" w:hAnsi="Times New Roman"/>
          <w:sz w:val="14"/>
          <w:szCs w:val="14"/>
          <w:color w:val="auto"/>
        </w:rPr>
      </w:pPr>
    </w:p>
    <w:p>
      <w:pPr>
        <w:ind w:left="2120" w:right="639" w:hanging="345"/>
        <w:spacing w:after="0" w:line="268"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Automotive. </w:t>
      </w:r>
      <w:r>
        <w:rPr>
          <w:rFonts w:ascii="Times New Roman" w:cs="Times New Roman" w:eastAsia="Times New Roman" w:hAnsi="Times New Roman"/>
          <w:sz w:val="14"/>
          <w:szCs w:val="14"/>
          <w:color w:val="auto"/>
        </w:rPr>
        <w:t>We believe competition in this category comes from programmable AI-based computer vision developed in-house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automotive OEMs and by solutions merchants, such as NVIDIA, Qualcomm, Mobileye Global Inc., and emerging start-ups, such as Tenstorrent Inc.</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407"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Data Protection and Privacy</w:t>
      </w:r>
    </w:p>
    <w:p>
      <w:pPr>
        <w:spacing w:after="0" w:line="93" w:lineRule="exact"/>
        <w:rPr>
          <w:sz w:val="20"/>
          <w:szCs w:val="20"/>
          <w:color w:val="auto"/>
        </w:rPr>
      </w:pPr>
    </w:p>
    <w:p>
      <w:pPr>
        <w:jc w:val="both"/>
        <w:ind w:left="1360" w:right="319"/>
        <w:spacing w:after="0" w:line="258" w:lineRule="auto"/>
        <w:rPr>
          <w:sz w:val="20"/>
          <w:szCs w:val="20"/>
          <w:color w:val="auto"/>
        </w:rPr>
      </w:pPr>
      <w:r>
        <w:rPr>
          <w:rFonts w:ascii="Times New Roman" w:cs="Times New Roman" w:eastAsia="Times New Roman" w:hAnsi="Times New Roman"/>
          <w:sz w:val="14"/>
          <w:szCs w:val="14"/>
          <w:color w:val="auto"/>
        </w:rPr>
        <w:t>All states have adopted laws requiring notice to consumers of certain security breaches involving their personal information. In the event of a security breach, these laws may subject us to incident response, notice and 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w:t>
      </w:r>
    </w:p>
    <w:p>
      <w:pPr>
        <w:spacing w:after="0" w:line="144" w:lineRule="exact"/>
        <w:rPr>
          <w:sz w:val="20"/>
          <w:szCs w:val="20"/>
          <w:color w:val="auto"/>
        </w:rPr>
      </w:pPr>
    </w:p>
    <w:p>
      <w:pPr>
        <w:ind w:left="1360" w:right="339"/>
        <w:spacing w:after="0" w:line="278" w:lineRule="auto"/>
        <w:rPr>
          <w:sz w:val="20"/>
          <w:szCs w:val="20"/>
          <w:color w:val="auto"/>
        </w:rPr>
      </w:pPr>
      <w:r>
        <w:rPr>
          <w:rFonts w:ascii="Times New Roman" w:cs="Times New Roman" w:eastAsia="Times New Roman" w:hAnsi="Times New Roman"/>
          <w:sz w:val="13"/>
          <w:szCs w:val="13"/>
          <w:color w:val="auto"/>
        </w:rPr>
        <w:t>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w:t>
      </w:r>
    </w:p>
    <w:p>
      <w:pPr>
        <w:spacing w:after="0" w:line="133" w:lineRule="exact"/>
        <w:rPr>
          <w:sz w:val="20"/>
          <w:szCs w:val="20"/>
          <w:color w:val="auto"/>
        </w:rPr>
      </w:pPr>
    </w:p>
    <w:p>
      <w:pPr>
        <w:jc w:val="both"/>
        <w:ind w:left="1360" w:right="219"/>
        <w:spacing w:after="0" w:line="261" w:lineRule="auto"/>
        <w:rPr>
          <w:sz w:val="20"/>
          <w:szCs w:val="20"/>
          <w:color w:val="auto"/>
        </w:rPr>
      </w:pPr>
      <w:r>
        <w:rPr>
          <w:rFonts w:ascii="Times New Roman" w:cs="Times New Roman" w:eastAsia="Times New Roman" w:hAnsi="Times New Roman"/>
          <w:sz w:val="14"/>
          <w:szCs w:val="14"/>
          <w:color w:val="auto"/>
        </w:rPr>
        <w:t>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w:t>
      </w:r>
    </w:p>
    <w:p>
      <w:pPr>
        <w:spacing w:after="0" w:line="141"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407"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3"/>
          <w:szCs w:val="13"/>
          <w:color w:val="auto"/>
        </w:rPr>
        <w:t>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w:t>
      </w:r>
    </w:p>
    <w:p>
      <w:pPr>
        <w:spacing w:after="0" w:line="128" w:lineRule="exact"/>
        <w:rPr>
          <w:sz w:val="20"/>
          <w:szCs w:val="20"/>
          <w:color w:val="auto"/>
        </w:rPr>
      </w:pPr>
    </w:p>
    <w:p>
      <w:pPr>
        <w:ind w:left="1360" w:right="339"/>
        <w:spacing w:after="0" w:line="255" w:lineRule="auto"/>
        <w:rPr>
          <w:sz w:val="20"/>
          <w:szCs w:val="20"/>
          <w:color w:val="auto"/>
        </w:rPr>
      </w:pPr>
      <w:r>
        <w:rPr>
          <w:rFonts w:ascii="Times New Roman" w:cs="Times New Roman" w:eastAsia="Times New Roman" w:hAnsi="Times New Roman"/>
          <w:sz w:val="14"/>
          <w:szCs w:val="14"/>
          <w:color w:val="auto"/>
        </w:rPr>
        <w:t>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Anti-Corruption, Sanctions and CFIUS</w:t>
      </w:r>
    </w:p>
    <w:p>
      <w:pPr>
        <w:spacing w:after="0" w:line="93" w:lineRule="exact"/>
        <w:rPr>
          <w:sz w:val="20"/>
          <w:szCs w:val="20"/>
          <w:color w:val="auto"/>
        </w:rPr>
      </w:pPr>
    </w:p>
    <w:p>
      <w:pPr>
        <w:ind w:left="1360" w:right="299"/>
        <w:spacing w:after="0" w:line="255"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w:t>
      </w:r>
    </w:p>
    <w:p>
      <w:pPr>
        <w:spacing w:after="0" w:line="14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w:t>
      </w:r>
    </w:p>
    <w:p>
      <w:pPr>
        <w:spacing w:after="0" w:line="136"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3"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407"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own numerous issued patents and pending patent applications. As of September 28, 2025, we held 43 patents and had 16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w:t>
      </w:r>
    </w:p>
    <w:p>
      <w:pPr>
        <w:spacing w:after="0" w:line="14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In addition to actively seeking patent protection covering inventions originating from us, from time to time, we review opportunities to acquire or in-license patents to the extent we believe such patents may be useful or relevant to our business.</w:t>
      </w:r>
    </w:p>
    <w:p>
      <w:pPr>
        <w:spacing w:after="0" w:line="125"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 chain vendors, employees, and consultants, as well as close monitoring of the developments and products in the industry.</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Jefferies LLC v. Blaize Holdings, Inc. (formerly known as BurTech Acquisition Corp.)</w:t>
      </w:r>
    </w:p>
    <w:p>
      <w:pPr>
        <w:spacing w:after="0" w:line="93" w:lineRule="exact"/>
        <w:rPr>
          <w:sz w:val="20"/>
          <w:szCs w:val="20"/>
          <w:color w:val="auto"/>
        </w:rPr>
      </w:pPr>
    </w:p>
    <w:p>
      <w:pPr>
        <w:jc w:val="both"/>
        <w:ind w:left="1360" w:right="379"/>
        <w:spacing w:after="0" w:line="267" w:lineRule="auto"/>
        <w:rPr>
          <w:sz w:val="20"/>
          <w:szCs w:val="20"/>
          <w:color w:val="auto"/>
        </w:rPr>
      </w:pPr>
      <w:r>
        <w:rPr>
          <w:rFonts w:ascii="Times New Roman" w:cs="Times New Roman" w:eastAsia="Times New Roman" w:hAnsi="Times New Roman"/>
          <w:sz w:val="14"/>
          <w:szCs w:val="14"/>
          <w:color w:val="auto"/>
        </w:rPr>
        <w:t>On September 9, 2024, BurTech entered into an Advisory Services Engagement Letter with Jefferies LLC (“Jefferies”) to serve as its exclusive capital markets advisor in connection with the consummated transaction involving Legacy Blaize (i.e. the Business Combination) (the “Jefferies Engagement Letter”).</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April 7, 2025, Jefferies commenced a lawsuit against the Company in the Supreme Court of the State of New York, County of New York, seeking</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summary judgment in lieu of complaint. The lawsuit alleges that pursuant to the Jefferies Engagement Letter, Jefferies was entitled to receive a fee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$4.5 million conditional on the Closing of the Business Combination, with the option for the Company to defer up to $1.0 million of this fee for up to 12</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months post-closing, and $0.5 million in reimbursable expenses. Jefferies alleges that no fees have been paid to Jefferies under the Jefferies Engagement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Letter. Jefferies seeks $3.5 million for its fees, as well as $0.5 million in expense reimbursement, as well as pre-and post-judgment interest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attorneys’ fees and legal costs incurred in connection with the lawsuit.</w:t>
      </w:r>
    </w:p>
    <w:p>
      <w:pPr>
        <w:spacing w:after="0" w:line="16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On September 3, 2025, the Supreme Court of the State of New York denied Jefferies’ motion for summary judgment in lieu of complaint. Additionally, the Supreme Court of the State of New York ordered Jefferies to file and serve a complaint to the Company within 20 days of service of the order, with the parties to appear for a preliminary conference on November 18, 2025. On September 19, 2025, Jefferies filed and served a complaint to the Company by and through its retained counsel in the Supreme Court of the State of New York. The Company has retained counsel and intends to vigorously defend the litigation.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As of November 1, 2025, we employed 222 people, of whom 195 were full-time employees. None of our employees are represented by a labor union or covered by collective bargaining agreements.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3"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All of our facilities are substantially comprised of leased premises for office space. Our corporate headquarters are located in El Dorado Hills, California.</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407"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Management and Board of Directors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sets forth certain information, as of November 25, 2025, concerning the persons who serve as our executive officers and directors.</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45"/>
        </w:trPr>
        <w:tc>
          <w:tcPr>
            <w:tcW w:w="4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Age</w:t>
            </w:r>
          </w:p>
        </w:tc>
        <w:tc>
          <w:tcPr>
            <w:tcW w:w="200" w:type="dxa"/>
            <w:vAlign w:val="bottom"/>
          </w:tcPr>
          <w:p>
            <w:pPr>
              <w:spacing w:after="0"/>
              <w:rPr>
                <w:sz w:val="12"/>
                <w:szCs w:val="12"/>
                <w:color w:val="auto"/>
              </w:rPr>
            </w:pPr>
          </w:p>
        </w:tc>
        <w:tc>
          <w:tcPr>
            <w:tcW w:w="3940" w:type="dxa"/>
            <w:vAlign w:val="bottom"/>
          </w:tcPr>
          <w:p>
            <w:pPr>
              <w:ind w:left="178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59"/>
        </w:trPr>
        <w:tc>
          <w:tcPr>
            <w:tcW w:w="40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940" w:type="dxa"/>
            <w:vAlign w:val="bottom"/>
            <w:tcBorders>
              <w:top w:val="single" w:sz="8" w:color="auto"/>
            </w:tcBorders>
            <w:shd w:val="clear" w:color="auto" w:fill="CCEEFF"/>
          </w:tcPr>
          <w:p>
            <w:pPr>
              <w:spacing w:after="0"/>
              <w:rPr>
                <w:sz w:val="13"/>
                <w:szCs w:val="13"/>
                <w:color w:val="auto"/>
              </w:rPr>
            </w:pP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Dinakar Munagala</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Harminder Sehmi</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40" w:type="dxa"/>
            <w:vAlign w:val="bottom"/>
          </w:tcPr>
          <w:p>
            <w:pPr>
              <w:spacing w:after="0"/>
              <w:rPr>
                <w:sz w:val="14"/>
                <w:szCs w:val="14"/>
                <w:color w:val="auto"/>
              </w:rPr>
            </w:pP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Edward Frank</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Lane M. Bess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Juergen Hambrecht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Tony Cannestra</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de Urioste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4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Director</w:t>
            </w:r>
          </w:p>
        </w:tc>
      </w:tr>
      <w:tr>
        <w:trPr>
          <w:trHeight w:val="183"/>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Yoshiaki Fujimori</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41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Dinakar Munagala, Chief Executive Officer and Director</w:t>
      </w:r>
    </w:p>
    <w:p>
      <w:pPr>
        <w:spacing w:after="0" w:line="93" w:lineRule="exact"/>
        <w:rPr>
          <w:sz w:val="20"/>
          <w:szCs w:val="20"/>
          <w:color w:val="auto"/>
        </w:rPr>
      </w:pPr>
    </w:p>
    <w:p>
      <w:pPr>
        <w:ind w:left="1360" w:right="299"/>
        <w:spacing w:after="0" w:line="281" w:lineRule="auto"/>
        <w:rPr>
          <w:sz w:val="20"/>
          <w:szCs w:val="20"/>
          <w:color w:val="auto"/>
        </w:rPr>
      </w:pPr>
      <w:r>
        <w:rPr>
          <w:rFonts w:ascii="Times New Roman" w:cs="Times New Roman" w:eastAsia="Times New Roman" w:hAnsi="Times New Roman"/>
          <w:sz w:val="13"/>
          <w:szCs w:val="13"/>
          <w:color w:val="auto"/>
        </w:rPr>
        <w:t>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w:t>
      </w:r>
    </w:p>
    <w:p>
      <w:pPr>
        <w:spacing w:after="0" w:line="1"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Harminder Sehmi, Chief Financial Officer</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 accredited global mobile network headquartered in London, with operations globally. In addition, Mr. Sehmi served in a variety of operational, group and global roles with Vodafone Group PLC.</w:t>
      </w:r>
    </w:p>
    <w:p>
      <w:pPr>
        <w:spacing w:after="0" w:line="14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Mr. Sehmi is a member of the Institute of Chartered Accountants in England and Wales (ACA) and he obtained his Accounting qualifications from the Oxford Brookes University and a Masters in Business Administration from the Cranfield School of Management.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Lane M. Bess, Director</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Lane Bess, 63, has served as Chairperson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407"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Tony Cannestra, Director</w:t>
      </w:r>
    </w:p>
    <w:p>
      <w:pPr>
        <w:spacing w:after="0" w:line="93"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Tony Cannestra, 59,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Dr. Edward (Ed) H. Frank, Director</w:t>
      </w:r>
    </w:p>
    <w:p>
      <w:pPr>
        <w:spacing w:after="0" w:line="93" w:lineRule="exact"/>
        <w:rPr>
          <w:sz w:val="20"/>
          <w:szCs w:val="20"/>
          <w:color w:val="auto"/>
        </w:rPr>
      </w:pPr>
    </w:p>
    <w:p>
      <w:pPr>
        <w:ind w:left="1360" w:right="339"/>
        <w:spacing w:after="0" w:line="287" w:lineRule="auto"/>
        <w:rPr>
          <w:sz w:val="20"/>
          <w:szCs w:val="20"/>
          <w:color w:val="auto"/>
        </w:rPr>
      </w:pPr>
      <w:r>
        <w:rPr>
          <w:rFonts w:ascii="Times New Roman" w:cs="Times New Roman" w:eastAsia="Times New Roman" w:hAnsi="Times New Roman"/>
          <w:sz w:val="13"/>
          <w:szCs w:val="13"/>
          <w:color w:val="auto"/>
        </w:rPr>
        <w:t>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w:t>
      </w:r>
    </w:p>
    <w:p>
      <w:pPr>
        <w:spacing w:after="0" w:line="126"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Dr. Jüergen Hambrecht, Director</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407"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George de Urioste, Director</w:t>
      </w:r>
    </w:p>
    <w:p>
      <w:pPr>
        <w:spacing w:after="0" w:line="93" w:lineRule="exact"/>
        <w:rPr>
          <w:sz w:val="20"/>
          <w:szCs w:val="20"/>
          <w:color w:val="auto"/>
        </w:rPr>
      </w:pPr>
    </w:p>
    <w:p>
      <w:pPr>
        <w:ind w:left="1360" w:right="319"/>
        <w:spacing w:after="0" w:line="254" w:lineRule="auto"/>
        <w:rPr>
          <w:sz w:val="20"/>
          <w:szCs w:val="20"/>
          <w:color w:val="auto"/>
        </w:rPr>
      </w:pPr>
      <w:r>
        <w:rPr>
          <w:rFonts w:ascii="Times New Roman" w:cs="Times New Roman" w:eastAsia="Times New Roman" w:hAnsi="Times New Roman"/>
          <w:sz w:val="14"/>
          <w:szCs w:val="14"/>
          <w:color w:val="auto"/>
        </w:rPr>
        <w:t>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Yoshiaki Fujimori, Director</w:t>
      </w:r>
    </w:p>
    <w:p>
      <w:pPr>
        <w:spacing w:after="0" w:line="93" w:lineRule="exact"/>
        <w:rPr>
          <w:sz w:val="20"/>
          <w:szCs w:val="20"/>
          <w:color w:val="auto"/>
        </w:rPr>
      </w:pPr>
    </w:p>
    <w:p>
      <w:pPr>
        <w:ind w:left="1360" w:right="219"/>
        <w:spacing w:after="0" w:line="253" w:lineRule="auto"/>
        <w:rPr>
          <w:sz w:val="20"/>
          <w:szCs w:val="20"/>
          <w:color w:val="auto"/>
        </w:rPr>
      </w:pPr>
      <w:r>
        <w:rPr>
          <w:rFonts w:ascii="Times New Roman" w:cs="Times New Roman" w:eastAsia="Times New Roman" w:hAnsi="Times New Roman"/>
          <w:sz w:val="14"/>
          <w:szCs w:val="14"/>
          <w:color w:val="auto"/>
        </w:rPr>
        <w:t>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Dinakar Munagala, Chief Executive Officer and Director</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biographical information above in the Executive Officers and Directors section.</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Harminder Sehmi, Chief Financial Officer</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See biographical information above in the Executive Officers and Directors section.</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407"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93"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We structure our corporate governance in a manner we believe closely aligns our interests with those of our stockholders. Notable features of this corporate governance include:</w:t>
      </w:r>
    </w:p>
    <w:p>
      <w:pPr>
        <w:spacing w:after="0" w:line="51" w:lineRule="exact"/>
        <w:rPr>
          <w:sz w:val="20"/>
          <w:szCs w:val="20"/>
          <w:color w:val="auto"/>
        </w:rPr>
      </w:pPr>
    </w:p>
    <w:p>
      <w:pPr>
        <w:ind w:left="2120" w:right="359" w:hanging="345"/>
        <w:spacing w:after="0" w:line="283"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independent director representation on our audit, compensation and nominating committees, and our independent directors meet regularly in executive sessions without the presence of our corporate officers or non-independent directors;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one of our directors qualifies as an “audit committee financial expert” as defined by the SEC; and</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begun to and will continue to implement a range of other corporate governance best practices, including implementing a robust director education program.</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Independence of the Board of Directors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Nasdaq listing standards require that a majority of the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w:t>
      </w:r>
    </w:p>
    <w:p>
      <w:pPr>
        <w:spacing w:after="0" w:line="14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of Directors Leadership Structure</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Lane M. Bess serves as our Chairperson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Composition of the Board of Directors</w:t>
      </w:r>
    </w:p>
    <w:p>
      <w:pPr>
        <w:spacing w:after="0" w:line="93"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serves as Chairman of the Board.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407"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Board Committees</w:t>
      </w:r>
    </w:p>
    <w:p>
      <w:pPr>
        <w:spacing w:after="0" w:line="9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 charters. The reference to our website address does not constitute incorporation by reference of the information contained at or available through our website. We have included our website address as an inactive textual reference only.</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93"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The Audit Committee is primarily concerned with the effectiveness of our audits by our internal audit staff and by our independent auditors and is responsible for, among other things:</w:t>
      </w:r>
    </w:p>
    <w:p>
      <w:pPr>
        <w:spacing w:after="0" w:line="51" w:lineRule="exact"/>
        <w:rPr>
          <w:sz w:val="20"/>
          <w:szCs w:val="20"/>
          <w:color w:val="auto"/>
        </w:rPr>
      </w:pPr>
    </w:p>
    <w:p>
      <w:pPr>
        <w:ind w:left="2120" w:right="81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performance, independence, compensation, retention, oversight and qualifications of our independent auditors and determining whether to retain our existing independent auditors or engage new independent auditors;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financial reporting processes and disclosure controls;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engagement of our independent auditors to perform audit services and any permissible non-audit services;</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67"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6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the independent auditors the annual audit plan, including the scope of audit activities and all critical accounting policies and practices to be used by us;</w:t>
      </w:r>
    </w:p>
    <w:p>
      <w:pPr>
        <w:spacing w:after="0" w:line="51" w:lineRule="exact"/>
        <w:rPr>
          <w:rFonts w:ascii="Times New Roman" w:cs="Times New Roman" w:eastAsia="Times New Roman" w:hAnsi="Times New Roman"/>
          <w:sz w:val="14"/>
          <w:szCs w:val="14"/>
          <w:color w:val="auto"/>
        </w:rPr>
      </w:pPr>
    </w:p>
    <w:p>
      <w:pPr>
        <w:ind w:left="2120" w:right="259" w:hanging="345"/>
        <w:spacing w:after="0" w:line="296" w:lineRule="auto"/>
        <w:tabs>
          <w:tab w:leader="none" w:pos="212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46"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setting clear hiring policies for employees or former employees of our independent auditors;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the rotation of partners of our independent auditors on our engagement team as required by law;</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6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annual and quarterly financial statements and reports and discussing the statements and reports with our independent auditors and management;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407"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599" w:hanging="345"/>
        <w:spacing w:after="0" w:line="267"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6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our independent auditors any earnings announcements, disclosures and other financial information and guidance;</w:t>
      </w:r>
    </w:p>
    <w:p>
      <w:pPr>
        <w:spacing w:after="0" w:line="5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review, retention and investigation of complaints received by us regarding financial controls, accounting, auditing or other matters;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the report that the SEC requires in our annual proxy statement;</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51" w:lineRule="exact"/>
        <w:rPr>
          <w:rFonts w:ascii="Times New Roman" w:cs="Times New Roman" w:eastAsia="Times New Roman" w:hAnsi="Times New Roman"/>
          <w:sz w:val="14"/>
          <w:szCs w:val="14"/>
          <w:color w:val="auto"/>
        </w:rPr>
      </w:pPr>
    </w:p>
    <w:p>
      <w:pPr>
        <w:ind w:left="2120" w:right="519" w:hanging="345"/>
        <w:spacing w:after="0" w:line="323" w:lineRule="auto"/>
        <w:tabs>
          <w:tab w:leader="none" w:pos="21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28" w:lineRule="exact"/>
        <w:rPr>
          <w:rFonts w:ascii="Times New Roman" w:cs="Times New Roman" w:eastAsia="Times New Roman" w:hAnsi="Times New Roman"/>
          <w:sz w:val="13"/>
          <w:szCs w:val="13"/>
          <w:color w:val="auto"/>
        </w:rPr>
      </w:pPr>
    </w:p>
    <w:p>
      <w:pPr>
        <w:ind w:left="2120" w:right="23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major financial risk exposures, including the guidelines and policies to govern the process by which risk assessment and risk management is implemented;</w:t>
      </w:r>
    </w:p>
    <w:p>
      <w:pPr>
        <w:spacing w:after="0" w:line="51" w:lineRule="exact"/>
        <w:rPr>
          <w:rFonts w:ascii="Times New Roman" w:cs="Times New Roman" w:eastAsia="Times New Roman" w:hAnsi="Times New Roman"/>
          <w:sz w:val="14"/>
          <w:szCs w:val="14"/>
          <w:color w:val="auto"/>
        </w:rPr>
      </w:pPr>
    </w:p>
    <w:p>
      <w:pPr>
        <w:ind w:left="2120" w:right="599" w:hanging="345"/>
        <w:spacing w:after="0" w:line="267"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61" w:lineRule="exact"/>
        <w:rPr>
          <w:rFonts w:ascii="Times New Roman" w:cs="Times New Roman" w:eastAsia="Times New Roman" w:hAnsi="Times New Roman"/>
          <w:sz w:val="14"/>
          <w:szCs w:val="14"/>
          <w:color w:val="auto"/>
        </w:rPr>
      </w:pPr>
    </w:p>
    <w:p>
      <w:pPr>
        <w:ind w:left="2120" w:right="479" w:hanging="345"/>
        <w:spacing w:after="0" w:line="261"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67" w:lineRule="exact"/>
        <w:rPr>
          <w:rFonts w:ascii="Times New Roman" w:cs="Times New Roman" w:eastAsia="Times New Roman" w:hAnsi="Times New Roman"/>
          <w:sz w:val="14"/>
          <w:szCs w:val="14"/>
          <w:color w:val="auto"/>
        </w:rPr>
      </w:pPr>
    </w:p>
    <w:p>
      <w:pPr>
        <w:ind w:left="2120" w:right="579" w:hanging="345"/>
        <w:spacing w:after="0" w:line="267"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reviewing with management, the independent auditors, and outside advisors or accountants any correspondence with regulators or governmental agencies and any published reports that raise material issues regarding Blaize’s financial statements or accounting policies;</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legal and regulatory compliance and any material current, pending or threatened legal matters;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evaluating on an annual basis the performance of the Audit Committee and the audit committee charter.</w:t>
      </w:r>
    </w:p>
    <w:p>
      <w:pPr>
        <w:spacing w:after="0" w:line="17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The information on any of our websites is deemed not to be incorporated in this prospectus or to be part of this prospectus.</w:t>
      </w:r>
    </w:p>
    <w:p>
      <w:pPr>
        <w:spacing w:after="0" w:line="145" w:lineRule="exact"/>
        <w:rPr>
          <w:sz w:val="20"/>
          <w:szCs w:val="20"/>
          <w:color w:val="auto"/>
        </w:rPr>
      </w:pPr>
    </w:p>
    <w:p>
      <w:pPr>
        <w:jc w:val="both"/>
        <w:ind w:left="1360" w:right="319"/>
        <w:spacing w:after="0" w:line="267" w:lineRule="auto"/>
        <w:rPr>
          <w:sz w:val="20"/>
          <w:szCs w:val="20"/>
          <w:color w:val="auto"/>
        </w:rPr>
      </w:pPr>
      <w:r>
        <w:rPr>
          <w:rFonts w:ascii="Times New Roman" w:cs="Times New Roman" w:eastAsia="Times New Roman" w:hAnsi="Times New Roman"/>
          <w:sz w:val="14"/>
          <w:szCs w:val="14"/>
          <w:color w:val="auto"/>
        </w:rPr>
        <w:t>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407"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performance; approves fees paid to independent auditors and receives and considers the independent auditors’ comments as to controls, adequacy of staff and management performance and procedures in connection with audit and financial controls. The Audit Committee did not meet during fiscal year 2024 as it was formed upon the closing of the Business Combination on January 13, 2025.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Compensation Committee is primarily concerned with overall compensation strategy and policies and is responsible for, among other things:</w:t>
      </w:r>
    </w:p>
    <w:p>
      <w:pPr>
        <w:spacing w:after="0" w:line="102" w:lineRule="exact"/>
        <w:rPr>
          <w:sz w:val="20"/>
          <w:szCs w:val="20"/>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corporate goals and objectives that pertain to our overall compensation strategy and policies;</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annually the compensation and other terms of employment of our executive officers and other members of senior management, in the Compensation Committee’s discretion;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type and amount of compensation to be paid or awarded to our non-employee board members;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 incentive plans and other benefit plans;</w:t>
      </w:r>
    </w:p>
    <w:p>
      <w:pPr>
        <w:spacing w:after="0" w:line="101" w:lineRule="exact"/>
        <w:rPr>
          <w:rFonts w:ascii="Times New Roman" w:cs="Times New Roman" w:eastAsia="Times New Roman" w:hAnsi="Times New Roman"/>
          <w:sz w:val="14"/>
          <w:szCs w:val="14"/>
          <w:color w:val="auto"/>
        </w:rPr>
      </w:pPr>
    </w:p>
    <w:p>
      <w:pPr>
        <w:ind w:left="2120" w:right="219" w:hanging="345"/>
        <w:spacing w:after="0" w:line="267"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appropriate insurance coverage for our directors and officers;</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an annual report on executive compensation that the SEC requires in our annual proxy statement;</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practices and policies for employee compensation as related to risk management and risk-taking incentives to determine if such compensation policies and practices are reasonably likely to have a material adverse effect on us;</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monitoring stock ownership guidelines for our directors and executive officers, if and as determined to be necessary or appropriate;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recommendations to our Board on compensation-related proposals to be considered at our annual meeting of stockholders;</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6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reviewing and discussing with management our human capital management practices with respect to its employees and, where applicable, independent contractors;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and modifying, as needed, clawback policies allowing us to recoup improper compensation paid to employees; and</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evaluating on an annual basis the performance of the Compensation Committee and recommending such changes as deemed necessary with our Board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407"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Compensation Committee consists of Edward Frank, George de Urioste and Tony Cannestra, with Edward Frank serving as chair. Our Board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The information on any of our websites is deemed not to be incorporated in this prospectus or to be part of this prospectus.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Nomination of Directors</w:t>
      </w:r>
    </w:p>
    <w:p>
      <w:pPr>
        <w:spacing w:after="0" w:line="93"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Role of our Board in Risk Oversight/Risk Committee</w:t>
      </w:r>
    </w:p>
    <w:p>
      <w:pPr>
        <w:spacing w:after="0" w:line="93"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 for Employees, Executive Officers and Directors</w:t>
      </w:r>
    </w:p>
    <w:p>
      <w:pPr>
        <w:spacing w:after="0" w:line="9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We adopted a written code of business conduct and ethics that applies to our directors, officers and employees. A copy of the code is posted on our corporate website at https://ir.blaize.com/corporate-governance/documents-charters. Information contained on or accessible through our website is not a part of this prospectus, and the inclusion of our website 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407"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14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45"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w:t>
      </w:r>
    </w:p>
    <w:p>
      <w:pPr>
        <w:spacing w:after="0" w:line="144"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w:t>
      </w:r>
    </w:p>
    <w:p>
      <w:pPr>
        <w:spacing w:after="0" w:line="14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There is currently no pending material litigation or proceeding involving any of Blaize’s directors, officers, or employees for which indemnification is sought.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407"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BLAIZE’S EXECUTIVE COMPENSATION</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Throughout this section, unless otherwise noted, “the company,” “we,” “us,” “our” and similar terms refer to Blaize prior to the Closing.</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This section discusses the material components of the executive compensation program for Blaize’s executive officers who are named in the “Summary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Compensation Table” below. In 2024, Blaize’s “named executive officers” and their positions were as follows:</w:t>
      </w:r>
    </w:p>
    <w:p>
      <w:pPr>
        <w:spacing w:after="0" w:line="87" w:lineRule="exact"/>
        <w:rPr>
          <w:sz w:val="20"/>
          <w:szCs w:val="20"/>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Dinakar Munagala, Chief Executive Officer;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 Cook, Chief Software Architect;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Santiago Fernandez-Gomez, Vice President of Platform Engineering.</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Blaize’s named executive officers for the year ended December 31, 2024:</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3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240" w:type="dxa"/>
            <w:vAlign w:val="bottom"/>
          </w:tcPr>
          <w:p>
            <w:pPr>
              <w:spacing w:after="0"/>
              <w:rPr>
                <w:sz w:val="11"/>
                <w:szCs w:val="11"/>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0" w:type="dxa"/>
            <w:vAlign w:val="bottom"/>
          </w:tcPr>
          <w:p>
            <w:pPr>
              <w:spacing w:after="0"/>
              <w:rPr>
                <w:sz w:val="1"/>
                <w:szCs w:val="1"/>
                <w:color w:val="auto"/>
              </w:rPr>
            </w:pPr>
          </w:p>
        </w:tc>
      </w:tr>
      <w:tr>
        <w:trPr>
          <w:trHeight w:val="135"/>
        </w:trPr>
        <w:tc>
          <w:tcPr>
            <w:tcW w:w="1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384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Bonus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0" w:type="dxa"/>
            <w:vAlign w:val="bottom"/>
          </w:tcPr>
          <w:p>
            <w:pPr>
              <w:spacing w:after="0"/>
              <w:rPr>
                <w:sz w:val="1"/>
                <w:szCs w:val="1"/>
                <w:color w:val="auto"/>
              </w:rPr>
            </w:pPr>
          </w:p>
        </w:tc>
      </w:tr>
      <w:tr>
        <w:trPr>
          <w:trHeight w:val="116"/>
        </w:trPr>
        <w:tc>
          <w:tcPr>
            <w:tcW w:w="1380" w:type="dxa"/>
            <w:vAlign w:val="bottom"/>
            <w:tcBorders>
              <w:bottom w:val="single" w:sz="8" w:color="auto"/>
            </w:tcBorders>
            <w:vMerge w:val="continue"/>
          </w:tcPr>
          <w:p>
            <w:pPr>
              <w:spacing w:after="0"/>
              <w:rPr>
                <w:sz w:val="10"/>
                <w:szCs w:val="10"/>
                <w:color w:val="auto"/>
              </w:rPr>
            </w:pPr>
          </w:p>
        </w:tc>
        <w:tc>
          <w:tcPr>
            <w:tcW w:w="3840" w:type="dxa"/>
            <w:vAlign w:val="bottom"/>
            <w:vMerge w:val="continue"/>
          </w:tcPr>
          <w:p>
            <w:pPr>
              <w:spacing w:after="0"/>
              <w:rPr>
                <w:sz w:val="10"/>
                <w:szCs w:val="10"/>
                <w:color w:val="auto"/>
              </w:rPr>
            </w:pPr>
          </w:p>
        </w:tc>
        <w:tc>
          <w:tcPr>
            <w:tcW w:w="460" w:type="dxa"/>
            <w:vAlign w:val="bottom"/>
            <w:gridSpan w:val="2"/>
          </w:tcPr>
          <w:p>
            <w:pPr>
              <w:ind w:left="60"/>
              <w:spacing w:after="0" w:line="96" w:lineRule="exact"/>
              <w:rPr>
                <w:sz w:val="20"/>
                <w:szCs w:val="20"/>
                <w:color w:val="auto"/>
              </w:rPr>
            </w:pPr>
            <w:r>
              <w:rPr>
                <w:rFonts w:ascii="Times New Roman" w:cs="Times New Roman" w:eastAsia="Times New Roman" w:hAnsi="Times New Roman"/>
                <w:sz w:val="11"/>
                <w:szCs w:val="11"/>
                <w:b w:val="1"/>
                <w:bCs w:val="1"/>
                <w:color w:val="auto"/>
              </w:rPr>
              <w:t>Year</w:t>
            </w:r>
          </w:p>
        </w:tc>
        <w:tc>
          <w:tcPr>
            <w:tcW w:w="520" w:type="dxa"/>
            <w:vAlign w:val="bottom"/>
          </w:tcPr>
          <w:p>
            <w:pPr>
              <w:jc w:val="right"/>
              <w:ind w:right="134"/>
              <w:spacing w:after="0" w:line="96"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320" w:type="dxa"/>
            <w:vAlign w:val="bottom"/>
          </w:tcPr>
          <w:p>
            <w:pPr>
              <w:ind w:left="80"/>
              <w:spacing w:after="0" w:line="96"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640" w:type="dxa"/>
            <w:vAlign w:val="bottom"/>
            <w:tcBorders>
              <w:top w:val="single" w:sz="8" w:color="auto"/>
            </w:tcBorders>
          </w:tcPr>
          <w:p>
            <w:pPr>
              <w:jc w:val="center"/>
              <w:spacing w:after="0" w:line="96"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1"/>
                <w:szCs w:val="11"/>
                <w:b w:val="1"/>
                <w:bCs w:val="1"/>
                <w:color w:val="auto"/>
                <w:vertAlign w:val="superscript"/>
              </w:rPr>
              <w:t>(1)</w:t>
            </w:r>
          </w:p>
        </w:tc>
        <w:tc>
          <w:tcPr>
            <w:tcW w:w="120" w:type="dxa"/>
            <w:vAlign w:val="bottom"/>
          </w:tcPr>
          <w:p>
            <w:pPr>
              <w:spacing w:after="0"/>
              <w:rPr>
                <w:sz w:val="10"/>
                <w:szCs w:val="10"/>
                <w:color w:val="auto"/>
              </w:rPr>
            </w:pPr>
          </w:p>
        </w:tc>
        <w:tc>
          <w:tcPr>
            <w:tcW w:w="240" w:type="dxa"/>
            <w:vAlign w:val="bottom"/>
            <w:tcBorders>
              <w:top w:val="single" w:sz="8" w:color="auto"/>
            </w:tcBorders>
          </w:tcPr>
          <w:p>
            <w:pPr>
              <w:jc w:val="right"/>
              <w:spacing w:after="0" w:line="96" w:lineRule="exact"/>
              <w:rPr>
                <w:sz w:val="20"/>
                <w:szCs w:val="20"/>
                <w:color w:val="auto"/>
              </w:rPr>
            </w:pPr>
            <w:r>
              <w:rPr>
                <w:rFonts w:ascii="Times New Roman" w:cs="Times New Roman" w:eastAsia="Times New Roman" w:hAnsi="Times New Roman"/>
                <w:sz w:val="8"/>
                <w:szCs w:val="8"/>
                <w:b w:val="1"/>
                <w:bCs w:val="1"/>
                <w:u w:val="single" w:color="auto"/>
                <w:color w:val="auto"/>
              </w:rPr>
              <w:t>($</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1"/>
                <w:szCs w:val="11"/>
                <w:b w:val="1"/>
                <w:bCs w:val="1"/>
                <w:color w:val="auto"/>
                <w:vertAlign w:val="superscript"/>
              </w:rPr>
              <w:t>(2)</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37"/>
              <w:spacing w:after="0" w:line="96"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2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Dinakar Munagala</w:t>
            </w:r>
          </w:p>
        </w:tc>
        <w:tc>
          <w:tcPr>
            <w:tcW w:w="340" w:type="dxa"/>
            <w:vAlign w:val="bottom"/>
            <w:tcBorders>
              <w:top w:val="single" w:sz="8" w:color="auto"/>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595,833</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3,798,428</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4,394,285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1,337,142</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1,637,167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Val Cook</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397,570</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781,714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1,179,308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Chief Software Architect</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2023</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476,724</w:t>
            </w:r>
          </w:p>
        </w:tc>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701,749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Santiago Fernandez-Gomez</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447,917</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730,817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1,178,758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Vice President of Platform Engineering</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55880</wp:posOffset>
            </wp:positionV>
            <wp:extent cx="5943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6" w:lineRule="exact"/>
        <w:rPr>
          <w:sz w:val="20"/>
          <w:szCs w:val="20"/>
          <w:color w:val="auto"/>
        </w:rPr>
      </w:pPr>
    </w:p>
    <w:p>
      <w:pPr>
        <w:ind w:left="1700" w:right="259" w:hanging="345"/>
        <w:spacing w:after="0" w:line="227" w:lineRule="auto"/>
        <w:tabs>
          <w:tab w:leader="none" w:pos="1700"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w:t>
      </w:r>
    </w:p>
    <w:p>
      <w:pPr>
        <w:spacing w:after="0" w:line="2" w:lineRule="exact"/>
        <w:rPr>
          <w:rFonts w:ascii="Times New Roman" w:cs="Times New Roman" w:eastAsia="Times New Roman" w:hAnsi="Times New Roman"/>
          <w:sz w:val="21"/>
          <w:szCs w:val="21"/>
          <w:color w:val="auto"/>
          <w:vertAlign w:val="superscript"/>
        </w:rPr>
      </w:pPr>
    </w:p>
    <w:p>
      <w:pPr>
        <w:ind w:left="1700" w:hanging="345"/>
        <w:spacing w:after="0" w:line="184" w:lineRule="auto"/>
        <w:tabs>
          <w:tab w:leader="none" w:pos="170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Amounts reflect the aggregate dollar value of life insurance premiums paid by Blaize with respect to each named executive officer during 2024.</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NARRATIVE TO SUMMARY COMPENSATION TABLE</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2024 Salaries</w:t>
      </w:r>
    </w:p>
    <w:p>
      <w:pPr>
        <w:spacing w:after="0" w:line="93" w:lineRule="exact"/>
        <w:rPr>
          <w:sz w:val="20"/>
          <w:szCs w:val="20"/>
          <w:color w:val="auto"/>
        </w:rPr>
      </w:pPr>
    </w:p>
    <w:p>
      <w:pPr>
        <w:ind w:left="1360" w:right="539"/>
        <w:spacing w:after="0" w:line="277" w:lineRule="auto"/>
        <w:rPr>
          <w:sz w:val="20"/>
          <w:szCs w:val="20"/>
          <w:color w:val="auto"/>
        </w:rPr>
      </w:pPr>
      <w:r>
        <w:rPr>
          <w:rFonts w:ascii="Times New Roman" w:cs="Times New Roman" w:eastAsia="Times New Roman" w:hAnsi="Times New Roman"/>
          <w:sz w:val="13"/>
          <w:szCs w:val="13"/>
          <w:color w:val="auto"/>
        </w:rPr>
        <w:t>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w:t>
      </w:r>
    </w:p>
    <w:p>
      <w:pPr>
        <w:spacing w:after="0" w:line="2"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Mr. Fernandez-Gomez: $450,000. The Summary Compensation Table above shows the actual base salaries paid to each named executive officer in fiscal year 2024.</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93"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407"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“Offer Letters” below.</w:t>
      </w:r>
    </w:p>
    <w:p>
      <w:pPr>
        <w:spacing w:after="0" w:line="144"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Elements of Compensation</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Retirement Plan</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Employee Benefits and Perquisites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of our full-time employees, including our named executive officers, are eligible to participate in our health and welfare plans, including:</w:t>
      </w:r>
    </w:p>
    <w:p>
      <w:pPr>
        <w:spacing w:after="0" w:line="102" w:lineRule="exact"/>
        <w:rPr>
          <w:sz w:val="20"/>
          <w:szCs w:val="20"/>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dental and vision benefits;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and long-term disability insurance;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life and accidental death and dismemberment insurance.</w:t>
      </w:r>
    </w:p>
    <w:p>
      <w:pPr>
        <w:spacing w:after="0" w:line="17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We believe these benefits are appropriate and provide a competitive compensation package to our named executive officers. We do not currently, and we did not during 2024, provide material perquisites to any of our named executive officers.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 Tax Gross-Ups</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Blaize does not make gross-up payments to cover our named executive officers’ personal income taxes that may pertain to any of the compensation or perquisites paid or provided by our company.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407"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Outstanding Equity Awards at Fiscal Year-End</w:t>
      </w:r>
    </w:p>
    <w:p>
      <w:pPr>
        <w:spacing w:after="0" w:line="93"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Plan</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center"/>
              <w:ind w:right="167"/>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87"/>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00" w:type="dxa"/>
            <w:vAlign w:val="bottom"/>
          </w:tcPr>
          <w:p>
            <w:pPr>
              <w:spacing w:after="0"/>
              <w:rPr>
                <w:sz w:val="10"/>
                <w:szCs w:val="10"/>
                <w:color w:val="auto"/>
              </w:rPr>
            </w:pPr>
          </w:p>
        </w:tc>
        <w:tc>
          <w:tcPr>
            <w:tcW w:w="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Vesting</w:t>
            </w:r>
          </w:p>
        </w:tc>
        <w:tc>
          <w:tcPr>
            <w:tcW w:w="820" w:type="dxa"/>
            <w:vAlign w:val="bottom"/>
            <w:gridSpan w:val="2"/>
          </w:tcPr>
          <w:p>
            <w:pPr>
              <w:jc w:val="right"/>
              <w:ind w:right="207"/>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20" w:type="dxa"/>
            <w:vAlign w:val="bottom"/>
            <w:gridSpan w:val="2"/>
          </w:tcPr>
          <w:p>
            <w:pPr>
              <w:jc w:val="center"/>
              <w:ind w:right="187"/>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820" w:type="dxa"/>
            <w:vAlign w:val="bottom"/>
            <w:gridSpan w:val="3"/>
          </w:tcPr>
          <w:p>
            <w:pPr>
              <w:jc w:val="center"/>
              <w:ind w:right="20"/>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Name</w:t>
            </w:r>
          </w:p>
        </w:tc>
        <w:tc>
          <w:tcPr>
            <w:tcW w:w="2360" w:type="dxa"/>
            <w:vAlign w:val="bottom"/>
            <w:vMerge w:val="restart"/>
          </w:tcPr>
          <w:p>
            <w:pPr>
              <w:spacing w:after="0"/>
              <w:rPr>
                <w:sz w:val="10"/>
                <w:szCs w:val="10"/>
                <w:color w:val="auto"/>
              </w:rPr>
            </w:pPr>
          </w:p>
        </w:tc>
        <w:tc>
          <w:tcPr>
            <w:tcW w:w="700" w:type="dxa"/>
            <w:vAlign w:val="bottom"/>
            <w:vMerge w:val="restart"/>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10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Commencement</w:t>
            </w:r>
          </w:p>
        </w:tc>
        <w:tc>
          <w:tcPr>
            <w:tcW w:w="820" w:type="dxa"/>
            <w:vAlign w:val="bottom"/>
            <w:gridSpan w:val="2"/>
          </w:tcPr>
          <w:p>
            <w:pPr>
              <w:jc w:val="right"/>
              <w:ind w:right="207"/>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20" w:type="dxa"/>
            <w:vAlign w:val="bottom"/>
          </w:tcPr>
          <w:p>
            <w:pPr>
              <w:spacing w:after="0"/>
              <w:rPr>
                <w:sz w:val="10"/>
                <w:szCs w:val="10"/>
                <w:color w:val="auto"/>
              </w:rPr>
            </w:pPr>
          </w:p>
        </w:tc>
        <w:tc>
          <w:tcPr>
            <w:tcW w:w="6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200" w:type="dxa"/>
            <w:vAlign w:val="bottom"/>
          </w:tcPr>
          <w:p>
            <w:pPr>
              <w:spacing w:after="0"/>
              <w:rPr>
                <w:sz w:val="10"/>
                <w:szCs w:val="10"/>
                <w:color w:val="auto"/>
              </w:rPr>
            </w:pPr>
          </w:p>
        </w:tc>
        <w:tc>
          <w:tcPr>
            <w:tcW w:w="62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72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vMerge w:val="continue"/>
          </w:tcPr>
          <w:p>
            <w:pPr>
              <w:spacing w:after="0"/>
              <w:rPr>
                <w:sz w:val="12"/>
                <w:szCs w:val="12"/>
                <w:color w:val="auto"/>
              </w:rPr>
            </w:pPr>
          </w:p>
        </w:tc>
        <w:tc>
          <w:tcPr>
            <w:tcW w:w="23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820" w:type="dxa"/>
            <w:vAlign w:val="bottom"/>
            <w:gridSpan w:val="2"/>
          </w:tcPr>
          <w:p>
            <w:pPr>
              <w:jc w:val="right"/>
              <w:ind w:right="187"/>
              <w:spacing w:after="0" w:line="124"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100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780" w:type="dxa"/>
            <w:vAlign w:val="bottom"/>
            <w:gridSpan w:val="2"/>
          </w:tcPr>
          <w:p>
            <w:pPr>
              <w:jc w:val="center"/>
              <w:ind w:left="44"/>
              <w:spacing w:after="0" w:line="124"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620" w:type="dxa"/>
            <w:vAlign w:val="bottom"/>
            <w:gridSpan w:val="2"/>
          </w:tcPr>
          <w:p>
            <w:pPr>
              <w:jc w:val="center"/>
              <w:ind w:left="112"/>
              <w:spacing w:after="0" w:line="124"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00" w:type="dxa"/>
            <w:vAlign w:val="bottom"/>
          </w:tcPr>
          <w:p>
            <w:pPr>
              <w:spacing w:after="0"/>
              <w:rPr>
                <w:sz w:val="12"/>
                <w:szCs w:val="12"/>
                <w:color w:val="auto"/>
              </w:rPr>
            </w:pPr>
          </w:p>
        </w:tc>
        <w:tc>
          <w:tcPr>
            <w:tcW w:w="72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49"/>
        </w:trPr>
        <w:tc>
          <w:tcPr>
            <w:tcW w:w="264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Dinakar Munagala</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3/15/2017</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1/1/2017</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147,000</w:t>
            </w:r>
          </w:p>
        </w:tc>
        <w:tc>
          <w:tcPr>
            <w:tcW w:w="220" w:type="dxa"/>
            <w:vAlign w:val="bottom"/>
            <w:tcBorders>
              <w:top w:val="single" w:sz="8" w:color="CCEEFF"/>
            </w:tcBorders>
            <w:shd w:val="clear" w:color="auto" w:fill="CCEEFF"/>
          </w:tcPr>
          <w:p>
            <w:pPr>
              <w:jc w:val="right"/>
              <w:ind w:right="47"/>
              <w:spacing w:after="0" w:line="118" w:lineRule="exact"/>
              <w:rPr>
                <w:sz w:val="20"/>
                <w:szCs w:val="20"/>
                <w:color w:val="auto"/>
              </w:rPr>
            </w:pPr>
            <w:r>
              <w:rPr>
                <w:rFonts w:ascii="Times New Roman" w:cs="Times New Roman" w:eastAsia="Times New Roman" w:hAnsi="Times New Roman"/>
                <w:sz w:val="11"/>
                <w:szCs w:val="11"/>
                <w:color w:val="auto"/>
                <w:w w:val="77"/>
              </w:rPr>
              <w:t>(1)</w:t>
            </w: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3/14/2027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9/1/2018</w:t>
            </w:r>
          </w:p>
        </w:tc>
        <w:tc>
          <w:tcPr>
            <w:tcW w:w="12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226,305</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11/11/2028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9/19/2023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9/19/2023</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2,197,372</w:t>
            </w:r>
            <w:r>
              <w:rPr>
                <w:rFonts w:ascii="Times New Roman" w:cs="Times New Roman" w:eastAsia="Times New Roman" w:hAnsi="Times New Roman"/>
                <w:sz w:val="19"/>
                <w:szCs w:val="19"/>
                <w:color w:val="auto"/>
                <w:vertAlign w:val="superscript"/>
              </w:rPr>
              <w:t>(2)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3,124,027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7/1/2024</w:t>
            </w:r>
          </w:p>
        </w:tc>
        <w:tc>
          <w:tcPr>
            <w:tcW w:w="120" w:type="dxa"/>
            <w:vAlign w:val="bottom"/>
          </w:tcPr>
          <w:p>
            <w:pPr>
              <w:spacing w:after="0"/>
              <w:rPr>
                <w:sz w:val="14"/>
                <w:szCs w:val="14"/>
                <w:color w:val="auto"/>
              </w:rPr>
            </w:pP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3"/>
          </w:tcPr>
          <w:p>
            <w:pPr>
              <w:jc w:val="right"/>
              <w:ind w:right="100"/>
              <w:spacing w:after="0" w:line="168" w:lineRule="exact"/>
              <w:rPr>
                <w:sz w:val="20"/>
                <w:szCs w:val="20"/>
                <w:color w:val="auto"/>
              </w:rPr>
            </w:pPr>
            <w:r>
              <w:rPr>
                <w:rFonts w:ascii="Times New Roman" w:cs="Times New Roman" w:eastAsia="Times New Roman" w:hAnsi="Times New Roman"/>
                <w:sz w:val="13"/>
                <w:szCs w:val="13"/>
                <w:color w:val="auto"/>
              </w:rPr>
              <w:t>7,379,065</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10/23/2034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Val Cook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3/15/2017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1/1/2017</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40,038</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3/14/2027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11/12/2018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9/1/2018</w:t>
            </w:r>
          </w:p>
        </w:tc>
        <w:tc>
          <w:tcPr>
            <w:tcW w:w="12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113,152</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11/11/2028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9/19/2023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9/19/2023</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794,866</w:t>
            </w:r>
            <w:r>
              <w:rPr>
                <w:rFonts w:ascii="Times New Roman" w:cs="Times New Roman" w:eastAsia="Times New Roman" w:hAnsi="Times New Roman"/>
                <w:sz w:val="19"/>
                <w:szCs w:val="19"/>
                <w:color w:val="auto"/>
                <w:vertAlign w:val="superscript"/>
              </w:rPr>
              <w:t>(2)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1,112,814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7/1/2024</w:t>
            </w:r>
          </w:p>
        </w:tc>
        <w:tc>
          <w:tcPr>
            <w:tcW w:w="120" w:type="dxa"/>
            <w:vAlign w:val="bottom"/>
          </w:tcPr>
          <w:p>
            <w:pPr>
              <w:spacing w:after="0"/>
              <w:rPr>
                <w:sz w:val="14"/>
                <w:szCs w:val="14"/>
                <w:color w:val="auto"/>
              </w:rPr>
            </w:pP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3"/>
          </w:tcPr>
          <w:p>
            <w:pPr>
              <w:jc w:val="right"/>
              <w:ind w:right="100"/>
              <w:spacing w:after="0" w:line="168" w:lineRule="exact"/>
              <w:rPr>
                <w:sz w:val="20"/>
                <w:szCs w:val="20"/>
                <w:color w:val="auto"/>
              </w:rPr>
            </w:pPr>
            <w:r>
              <w:rPr>
                <w:rFonts w:ascii="Times New Roman" w:cs="Times New Roman" w:eastAsia="Times New Roman" w:hAnsi="Times New Roman"/>
                <w:sz w:val="13"/>
                <w:szCs w:val="13"/>
                <w:color w:val="auto"/>
              </w:rPr>
              <w:t>1,517,044</w:t>
            </w:r>
            <w:r>
              <w:rPr>
                <w:rFonts w:ascii="Times New Roman" w:cs="Times New Roman" w:eastAsia="Times New Roman" w:hAnsi="Times New Roman"/>
                <w:sz w:val="19"/>
                <w:szCs w:val="19"/>
                <w:color w:val="auto"/>
                <w:vertAlign w:val="superscript"/>
              </w:rPr>
              <w:t>(3)</w:t>
            </w:r>
          </w:p>
        </w:tc>
        <w:tc>
          <w:tcPr>
            <w:tcW w:w="1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10/23/2034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Santiago</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Fernandez-Gomez</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7/8/2015</w:t>
            </w:r>
          </w:p>
        </w:tc>
        <w:tc>
          <w:tcPr>
            <w:tcW w:w="12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5,000</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8/27/2018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7/9/2018</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67,935</w:t>
            </w:r>
            <w:r>
              <w:rPr>
                <w:rFonts w:ascii="Times New Roman" w:cs="Times New Roman" w:eastAsia="Times New Roman" w:hAnsi="Times New Roman"/>
                <w:sz w:val="19"/>
                <w:szCs w:val="19"/>
                <w:color w:val="auto"/>
                <w:vertAlign w:val="superscript"/>
              </w:rPr>
              <w:t>(4)</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8/26/2028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11/17/2021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1/1/2021</w:t>
            </w:r>
          </w:p>
        </w:tc>
        <w:tc>
          <w:tcPr>
            <w:tcW w:w="12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4,896</w:t>
            </w:r>
            <w:r>
              <w:rPr>
                <w:rFonts w:ascii="Times New Roman" w:cs="Times New Roman" w:eastAsia="Times New Roman" w:hAnsi="Times New Roman"/>
                <w:sz w:val="19"/>
                <w:szCs w:val="19"/>
                <w:color w:val="auto"/>
                <w:vertAlign w:val="superscript"/>
              </w:rPr>
              <w:t>(1)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11/16/2031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9/19/2023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9/19/2023</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7"/>
              <w:spacing w:after="0" w:line="168" w:lineRule="exact"/>
              <w:rPr>
                <w:sz w:val="20"/>
                <w:szCs w:val="20"/>
                <w:color w:val="auto"/>
              </w:rPr>
            </w:pPr>
            <w:r>
              <w:rPr>
                <w:rFonts w:ascii="Times New Roman" w:cs="Times New Roman" w:eastAsia="Times New Roman" w:hAnsi="Times New Roman"/>
                <w:sz w:val="13"/>
                <w:szCs w:val="13"/>
                <w:color w:val="auto"/>
              </w:rPr>
              <w:t>654,484</w:t>
            </w:r>
            <w:r>
              <w:rPr>
                <w:rFonts w:ascii="Times New Roman" w:cs="Times New Roman" w:eastAsia="Times New Roman" w:hAnsi="Times New Roman"/>
                <w:sz w:val="19"/>
                <w:szCs w:val="19"/>
                <w:color w:val="auto"/>
                <w:vertAlign w:val="superscript"/>
              </w:rPr>
              <w:t>(2)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916,278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9/18/2033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10/24/2024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7/1/2024</w:t>
            </w:r>
          </w:p>
        </w:tc>
        <w:tc>
          <w:tcPr>
            <w:tcW w:w="120" w:type="dxa"/>
            <w:vAlign w:val="bottom"/>
          </w:tcPr>
          <w:p>
            <w:pPr>
              <w:spacing w:after="0"/>
              <w:rPr>
                <w:sz w:val="24"/>
                <w:szCs w:val="24"/>
                <w:color w:val="auto"/>
              </w:rPr>
            </w:pP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1,418,448</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24"/>
                <w:szCs w:val="24"/>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5"/>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10/23/2034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1700" w:hanging="345"/>
        <w:spacing w:after="0"/>
        <w:tabs>
          <w:tab w:leader="none" w:pos="170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an option which vested with respect to one-forty-eighth (1/48th) of the shares subject to the option on each of the first forty-eight</w:t>
      </w:r>
    </w:p>
    <w:p>
      <w:pPr>
        <w:spacing w:after="0" w:line="1" w:lineRule="exact"/>
        <w:rPr>
          <w:rFonts w:ascii="Times New Roman" w:cs="Times New Roman" w:eastAsia="Times New Roman" w:hAnsi="Times New Roman"/>
          <w:sz w:val="21"/>
          <w:szCs w:val="21"/>
          <w:color w:val="auto"/>
          <w:vertAlign w:val="superscript"/>
        </w:rPr>
      </w:pPr>
    </w:p>
    <w:p>
      <w:pPr>
        <w:ind w:left="1700" w:right="579"/>
        <w:spacing w:after="0" w:line="24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(48) monthly anniversaries of the vesting commencement date, subject to the applicable executive’s continued service through the applicable vesting date.</w:t>
      </w:r>
    </w:p>
    <w:p>
      <w:pPr>
        <w:spacing w:after="0" w:line="1" w:lineRule="exact"/>
        <w:rPr>
          <w:rFonts w:ascii="Times New Roman" w:cs="Times New Roman" w:eastAsia="Times New Roman" w:hAnsi="Times New Roman"/>
          <w:sz w:val="21"/>
          <w:szCs w:val="21"/>
          <w:color w:val="auto"/>
          <w:vertAlign w:val="superscript"/>
        </w:rPr>
      </w:pPr>
    </w:p>
    <w:p>
      <w:pPr>
        <w:ind w:left="1700" w:right="219" w:hanging="345"/>
        <w:spacing w:after="0" w:line="214" w:lineRule="auto"/>
        <w:tabs>
          <w:tab w:leader="none" w:pos="170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w:t>
      </w:r>
    </w:p>
    <w:p>
      <w:pPr>
        <w:spacing w:after="0" w:line="2" w:lineRule="exact"/>
        <w:rPr>
          <w:rFonts w:ascii="Times New Roman" w:cs="Times New Roman" w:eastAsia="Times New Roman" w:hAnsi="Times New Roman"/>
          <w:sz w:val="21"/>
          <w:szCs w:val="21"/>
          <w:color w:val="auto"/>
          <w:vertAlign w:val="superscript"/>
        </w:rPr>
      </w:pPr>
    </w:p>
    <w:p>
      <w:pPr>
        <w:ind w:left="1700" w:right="439" w:hanging="345"/>
        <w:spacing w:after="0" w:line="214" w:lineRule="auto"/>
        <w:tabs>
          <w:tab w:leader="none" w:pos="170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w:t>
      </w:r>
    </w:p>
    <w:p>
      <w:pPr>
        <w:spacing w:after="0" w:line="2" w:lineRule="exact"/>
        <w:rPr>
          <w:rFonts w:ascii="Times New Roman" w:cs="Times New Roman" w:eastAsia="Times New Roman" w:hAnsi="Times New Roman"/>
          <w:sz w:val="21"/>
          <w:szCs w:val="21"/>
          <w:color w:val="auto"/>
          <w:vertAlign w:val="superscript"/>
        </w:rPr>
      </w:pPr>
    </w:p>
    <w:p>
      <w:pPr>
        <w:ind w:left="1700" w:right="239" w:hanging="345"/>
        <w:spacing w:after="0" w:line="222" w:lineRule="auto"/>
        <w:tabs>
          <w:tab w:leader="none" w:pos="170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w:t>
      </w:r>
    </w:p>
    <w:p>
      <w:pPr>
        <w:spacing w:after="0" w:line="23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Executive Compensation Arrangements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Offer Letters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Offer Letter for Mr. Munagala</w:t>
      </w:r>
    </w:p>
    <w:p>
      <w:pPr>
        <w:spacing w:after="0" w:line="93"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We are party to an offer letter, dated June 18, 2018 (as amended, the “Munagala Offer Letter”) with Mr. Munagala, pursuant to which, Mr. Munagala serves as our Chief Executive Officer. Pursuant to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407"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w:t>
      </w:r>
    </w:p>
    <w:p>
      <w:pPr>
        <w:spacing w:after="0" w:line="136"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Mr. Munagala’s receipt of any severance payments and benefits is subject to his execution and non-revocation of a general release in favor of Blaize.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Offer Letter for Mr. Cook</w:t>
      </w:r>
    </w:p>
    <w:p>
      <w:pPr>
        <w:spacing w:after="0" w:line="93"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Mr. Cook’s receipt of any severance payments and benefits is subject to his execution and non-revocation of a general release in favor of Blaize.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Offer Letter for Mr. Fernandez-Gomez</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407"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BLAIZE’S DIRECTOR COMPENSATION</w:t>
      </w:r>
    </w:p>
    <w:p>
      <w:pPr>
        <w:spacing w:after="0" w:line="177"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2024 Director Compensation Table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Blaize’s non-employee directors for the year ended December 31, 2024.</w:t>
      </w:r>
    </w:p>
    <w:p>
      <w:pPr>
        <w:spacing w:after="0" w:line="18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60" w:type="dxa"/>
            <w:vAlign w:val="bottom"/>
            <w:gridSpan w:val="2"/>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35"/>
        </w:trPr>
        <w:tc>
          <w:tcPr>
            <w:tcW w:w="4300" w:type="dxa"/>
            <w:vAlign w:val="bottom"/>
            <w:gridSpan w:val="2"/>
            <w:vMerge w:val="continue"/>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w:t>
            </w:r>
            <w:r>
              <w:rPr>
                <w:rFonts w:ascii="Times New Roman" w:cs="Times New Roman" w:eastAsia="Times New Roman" w:hAnsi="Times New Roman"/>
                <w:sz w:val="7"/>
                <w:szCs w:val="7"/>
                <w:b w:val="1"/>
                <w:bCs w:val="1"/>
                <w:color w:val="auto"/>
              </w:rPr>
              <w:t>(1)</w:t>
            </w:r>
          </w:p>
        </w:tc>
        <w:tc>
          <w:tcPr>
            <w:tcW w:w="2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Edward Frank</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w w:val="96"/>
              </w:rPr>
              <w:t>318,472</w:t>
            </w:r>
          </w:p>
        </w:tc>
        <w:tc>
          <w:tcPr>
            <w:tcW w:w="2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318,472</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Tony Cannestra</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6"/>
              </w:rPr>
              <w:t>318,472</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Juergen Hambrecht</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6"/>
              </w:rPr>
              <w:t>318,472</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318,472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Lane Bess</w:t>
            </w: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6"/>
              </w:rPr>
              <w:t>242,571</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57150</wp:posOffset>
            </wp:positionV>
            <wp:extent cx="59436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8" w:lineRule="exact"/>
        <w:rPr>
          <w:sz w:val="20"/>
          <w:szCs w:val="20"/>
          <w:color w:val="auto"/>
        </w:rPr>
      </w:pPr>
    </w:p>
    <w:p>
      <w:pPr>
        <w:ind w:left="1700" w:right="259" w:hanging="345"/>
        <w:spacing w:after="0" w:line="235" w:lineRule="auto"/>
        <w:tabs>
          <w:tab w:leader="none" w:pos="170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w:t>
      </w:r>
    </w:p>
    <w:p>
      <w:pPr>
        <w:spacing w:after="0" w:line="15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table below shows the aggregate numbers of option awards (exercisable and unexercisable) held as of December 31, 2024 by each non-employee director who served during 2024.</w:t>
      </w:r>
    </w:p>
    <w:p>
      <w:pPr>
        <w:spacing w:after="0" w:line="13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4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0" w:type="dxa"/>
            <w:vAlign w:val="bottom"/>
          </w:tcPr>
          <w:p>
            <w:pPr>
              <w:spacing w:after="0"/>
              <w:rPr>
                <w:sz w:val="1"/>
                <w:szCs w:val="1"/>
                <w:color w:val="auto"/>
              </w:rPr>
            </w:pPr>
          </w:p>
        </w:tc>
      </w:tr>
      <w:tr>
        <w:trPr>
          <w:trHeight w:val="116"/>
        </w:trPr>
        <w:tc>
          <w:tcPr>
            <w:tcW w:w="4480" w:type="dxa"/>
            <w:vAlign w:val="bottom"/>
          </w:tcPr>
          <w:p>
            <w:pPr>
              <w:spacing w:after="0"/>
              <w:rPr>
                <w:sz w:val="10"/>
                <w:szCs w:val="10"/>
                <w:color w:val="auto"/>
              </w:rPr>
            </w:pPr>
          </w:p>
        </w:tc>
        <w:tc>
          <w:tcPr>
            <w:tcW w:w="1340" w:type="dxa"/>
            <w:vAlign w:val="bottom"/>
            <w:gridSpan w:val="3"/>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Outstanding at</w:t>
            </w:r>
          </w:p>
        </w:tc>
        <w:tc>
          <w:tcPr>
            <w:tcW w:w="0" w:type="dxa"/>
            <w:vAlign w:val="bottom"/>
          </w:tcPr>
          <w:p>
            <w:pPr>
              <w:spacing w:after="0"/>
              <w:rPr>
                <w:sz w:val="1"/>
                <w:szCs w:val="1"/>
                <w:color w:val="auto"/>
              </w:rPr>
            </w:pPr>
          </w:p>
        </w:tc>
      </w:tr>
      <w:tr>
        <w:trPr>
          <w:trHeight w:val="116"/>
        </w:trPr>
        <w:tc>
          <w:tcPr>
            <w:tcW w:w="44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580" w:type="dxa"/>
            <w:vAlign w:val="bottom"/>
          </w:tcPr>
          <w:p>
            <w:pPr>
              <w:spacing w:after="0"/>
              <w:rPr>
                <w:sz w:val="10"/>
                <w:szCs w:val="10"/>
                <w:color w:val="auto"/>
              </w:rPr>
            </w:pPr>
          </w:p>
        </w:tc>
        <w:tc>
          <w:tcPr>
            <w:tcW w:w="760" w:type="dxa"/>
            <w:vAlign w:val="bottom"/>
            <w:gridSpan w:val="2"/>
          </w:tcPr>
          <w:p>
            <w:pPr>
              <w:jc w:val="center"/>
              <w:ind w:right="80"/>
              <w:spacing w:after="0" w:line="116" w:lineRule="exact"/>
              <w:rPr>
                <w:sz w:val="20"/>
                <w:szCs w:val="20"/>
                <w:color w:val="auto"/>
              </w:rPr>
            </w:pPr>
            <w:r>
              <w:rPr>
                <w:rFonts w:ascii="Times New Roman" w:cs="Times New Roman" w:eastAsia="Times New Roman" w:hAnsi="Times New Roman"/>
                <w:sz w:val="11"/>
                <w:szCs w:val="11"/>
                <w:b w:val="1"/>
                <w:bCs w:val="1"/>
                <w:color w:val="auto"/>
                <w:w w:val="97"/>
              </w:rPr>
              <w:t>Fiscal Year</w:t>
            </w:r>
          </w:p>
        </w:tc>
        <w:tc>
          <w:tcPr>
            <w:tcW w:w="0" w:type="dxa"/>
            <w:vAlign w:val="bottom"/>
          </w:tcPr>
          <w:p>
            <w:pPr>
              <w:spacing w:after="0"/>
              <w:rPr>
                <w:sz w:val="1"/>
                <w:szCs w:val="1"/>
                <w:color w:val="auto"/>
              </w:rPr>
            </w:pPr>
          </w:p>
        </w:tc>
      </w:tr>
      <w:tr>
        <w:trPr>
          <w:trHeight w:val="135"/>
        </w:trPr>
        <w:tc>
          <w:tcPr>
            <w:tcW w:w="448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End (#)</w:t>
            </w:r>
          </w:p>
        </w:tc>
        <w:tc>
          <w:tcPr>
            <w:tcW w:w="0" w:type="dxa"/>
            <w:vAlign w:val="bottom"/>
          </w:tcPr>
          <w:p>
            <w:pPr>
              <w:spacing w:after="0"/>
              <w:rPr>
                <w:sz w:val="1"/>
                <w:szCs w:val="1"/>
                <w:color w:val="auto"/>
              </w:rPr>
            </w:pPr>
          </w:p>
        </w:tc>
      </w:tr>
      <w:tr>
        <w:trPr>
          <w:trHeight w:val="159"/>
        </w:trPr>
        <w:tc>
          <w:tcPr>
            <w:tcW w:w="44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Edward Frank</w:t>
            </w:r>
          </w:p>
        </w:tc>
        <w:tc>
          <w:tcPr>
            <w:tcW w:w="5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909,535</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Tony Cannestra</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920,850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Juergen Hambrecht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909,535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Lane Bess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477,750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360" w:right="359"/>
        <w:spacing w:after="0" w:line="323" w:lineRule="auto"/>
        <w:rPr>
          <w:sz w:val="20"/>
          <w:szCs w:val="20"/>
          <w:color w:val="auto"/>
        </w:rPr>
      </w:pPr>
      <w:r>
        <w:rPr>
          <w:rFonts w:ascii="Times New Roman" w:cs="Times New Roman" w:eastAsia="Times New Roman" w:hAnsi="Times New Roman"/>
          <w:sz w:val="13"/>
          <w:szCs w:val="13"/>
          <w:color w:val="auto"/>
        </w:rPr>
        <w:t>In connection with the Business Combination, we approved a compensation program for our non-employee directors (the “Director Compensation Program”), effective as of the closing of the Business Combination. The material terms of the Director Compensation Program are summarized below.</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Cash Compensation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the Director Compensation Program, non-employee directors serving on the Board are entitled to cash compensation in the following amounts:</w:t>
      </w:r>
    </w:p>
    <w:p>
      <w:pPr>
        <w:spacing w:after="0" w:line="102" w:lineRule="exact"/>
        <w:rPr>
          <w:sz w:val="20"/>
          <w:szCs w:val="20"/>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Retainer: $80,000</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Annual Retainer for Non-Executive Chair: $40,000</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Committee Chair Retainers: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$24,000</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$20,000</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407"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Non-Chair Committee Member Retainers: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$16,000</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$14,000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Annual cash retainers will be paid in quarterly installments in arrears and will be pro-rated for any partial calendar quarter of service.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Equity Compensation</w:t>
      </w:r>
    </w:p>
    <w:p>
      <w:pPr>
        <w:spacing w:after="0" w:line="91"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i w:val="1"/>
          <w:iCs w:val="1"/>
          <w:color w:val="auto"/>
        </w:rPr>
        <w:t>Initial Awards</w:t>
      </w:r>
      <w:r>
        <w:rPr>
          <w:rFonts w:ascii="Times New Roman" w:cs="Times New Roman" w:eastAsia="Times New Roman" w:hAnsi="Times New Roman"/>
          <w:sz w:val="14"/>
          <w:szCs w:val="14"/>
          <w:color w:val="auto"/>
        </w:rPr>
        <w:t>. Under the Director Compensation Program, each non-employee director who is initially elected or appointed to serve on the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w:t>
      </w:r>
    </w:p>
    <w:p>
      <w:pPr>
        <w:spacing w:after="0" w:line="143" w:lineRule="exact"/>
        <w:rPr>
          <w:sz w:val="20"/>
          <w:szCs w:val="20"/>
          <w:color w:val="auto"/>
        </w:rPr>
      </w:pPr>
    </w:p>
    <w:p>
      <w:pPr>
        <w:ind w:left="1360" w:right="459"/>
        <w:spacing w:after="0" w:line="278" w:lineRule="auto"/>
        <w:rPr>
          <w:sz w:val="20"/>
          <w:szCs w:val="20"/>
          <w:color w:val="auto"/>
        </w:rPr>
      </w:pPr>
      <w:r>
        <w:rPr>
          <w:rFonts w:ascii="Times New Roman" w:cs="Times New Roman" w:eastAsia="Times New Roman" w:hAnsi="Times New Roman"/>
          <w:sz w:val="13"/>
          <w:szCs w:val="13"/>
          <w:i w:val="1"/>
          <w:iCs w:val="1"/>
          <w:color w:val="auto"/>
        </w:rPr>
        <w:t>Annual Awards</w:t>
      </w:r>
      <w:r>
        <w:rPr>
          <w:rFonts w:ascii="Times New Roman" w:cs="Times New Roman" w:eastAsia="Times New Roman" w:hAnsi="Times New Roman"/>
          <w:sz w:val="13"/>
          <w:szCs w:val="13"/>
          <w:color w:val="auto"/>
        </w:rPr>
        <w:t>. Under the Director Compensation Program, each non-employee director who is serving on the Board as of the date of each annual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w:t>
      </w:r>
    </w:p>
    <w:p>
      <w:pPr>
        <w:spacing w:after="0" w:line="2" w:lineRule="exact"/>
        <w:rPr>
          <w:sz w:val="20"/>
          <w:szCs w:val="20"/>
          <w:color w:val="auto"/>
        </w:rPr>
      </w:pPr>
    </w:p>
    <w:p>
      <w:pPr>
        <w:ind w:left="1360" w:right="479" w:hanging="5"/>
        <w:spacing w:after="0" w:line="261" w:lineRule="auto"/>
        <w:tabs>
          <w:tab w:leader="none" w:pos="1527"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one-year anniversary of the applicable grant date and (ii) the date of the next annual meeting following the grant date, subject to the director’s continued service on the Board through the applicable vesting date.</w:t>
      </w:r>
    </w:p>
    <w:p>
      <w:pPr>
        <w:spacing w:after="0" w:line="140"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w:t>
      </w:r>
    </w:p>
    <w:p>
      <w:pPr>
        <w:spacing w:after="0" w:line="136"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Compensation under the Director Compensation Program is subject to the annual limits on non-employee director compensation set forth in the Incentive Award Plan (or any successor plan).</w:t>
      </w: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7"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In addition to the compensation arrangements with directors and executive officers described under “Executive Compensation” and “Management”, the following is a description of each transaction since January 1, 2022 and each currently proposed transaction in which:</w:t>
      </w:r>
    </w:p>
    <w:p>
      <w:pPr>
        <w:spacing w:after="0" w:line="51" w:lineRule="exact"/>
        <w:rPr>
          <w:sz w:val="20"/>
          <w:szCs w:val="20"/>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or are to be a participant;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involved exceeds or will exceed $120,000; and</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67" w:lineRule="auto"/>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Sales Partner Referral Agreement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June 30, 2025, we entered into the Referral Agreement with Burkhan LLC (the “Sales Partner”), an affiliate of Burkhan.</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407"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Pursuant to the Referral Agreement, the Sales Partner will, on a non-exclusive basis, promote certain of our products and refer potential customers to us. We may approve or reject any customer opportunity presented by the Sales Partner in its sole discretion. For any approved customer opportunity, the Sales Partner and us will negotiate in good faith on the commission payable to the Sales Partner.</w:t>
      </w:r>
    </w:p>
    <w:p>
      <w:pPr>
        <w:spacing w:after="0" w:line="136" w:lineRule="exact"/>
        <w:rPr>
          <w:sz w:val="20"/>
          <w:szCs w:val="20"/>
          <w:color w:val="auto"/>
        </w:rPr>
      </w:pPr>
    </w:p>
    <w:p>
      <w:pPr>
        <w:ind w:left="1360" w:right="319"/>
        <w:spacing w:after="0" w:line="323" w:lineRule="auto"/>
        <w:rPr>
          <w:sz w:val="20"/>
          <w:szCs w:val="20"/>
          <w:color w:val="auto"/>
        </w:rPr>
      </w:pPr>
      <w:r>
        <w:rPr>
          <w:rFonts w:ascii="Times New Roman" w:cs="Times New Roman" w:eastAsia="Times New Roman" w:hAnsi="Times New Roman"/>
          <w:sz w:val="13"/>
          <w:szCs w:val="13"/>
          <w:color w:val="auto"/>
        </w:rPr>
        <w:t>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02"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Referral Agreement has an initial approved customer of BurTech Systems Tech LLC (“BST”), an affiliate of Burkhan, as described in the Referral Exhibit. Under the Referral Exhibit, BST will purchase up to approximately $56.5 million of our products on behalf of an unaffiliated end user, beginning in the second quarter of 2025 through 2026. BST will receive a financing fee of 2.5% of the total purchase price from the end user and Sales Partner will receive a commission payable by us of up to 10%, depending on our gross margins under the purchase order, payable in cash or partially, at our discretion, in shares of our common stock, as described in the Referral Exhibit.</w:t>
      </w:r>
    </w:p>
    <w:p>
      <w:pPr>
        <w:spacing w:after="0" w:line="144"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During the three and nine months ended September 30, 2025, pursuant to the Referral Agreement, the Company recognized net sales of $1.3 million and $3.0 million, respectively, inclusive of sales commissions of $0.1 million and $0.3 million which sales commissions were reported as a reduction in revenue. The sales commission payable was included in the accrued and other current liabilities—related party balance as of September 30, 2025.</w:t>
      </w:r>
    </w:p>
    <w:p>
      <w:pPr>
        <w:spacing w:after="0" w:line="136"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As of September 30, 2025, there was $3.4 million in accounts receivable that was due from an affiliate of Burkham, while as of December 31, 2024, there were no amounts due from this customer.</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93"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In connection with the execution of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Ava Registration Rights Agreement</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Bess Ventures Secured Promissory Notes and Related Transactions</w:t>
      </w:r>
    </w:p>
    <w:p>
      <w:pPr>
        <w:spacing w:after="0" w:line="93"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Bess Ventures and Advisory, LLC (“Bess Ventures”), which held within Legacy Blaize’s last fiscal year more than 5% of Legacy Blaize’s outstanding capital stock and is affiliated with a member of the Blaize board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407"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2" w:lineRule="auto"/>
        <w:rPr>
          <w:sz w:val="20"/>
          <w:szCs w:val="20"/>
          <w:color w:val="auto"/>
        </w:rPr>
      </w:pPr>
      <w:r>
        <w:rPr>
          <w:rFonts w:ascii="Times New Roman" w:cs="Times New Roman" w:eastAsia="Times New Roman" w:hAnsi="Times New Roman"/>
          <w:sz w:val="14"/>
          <w:szCs w:val="14"/>
          <w:color w:val="auto"/>
        </w:rPr>
        <w:t>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w:t>
      </w:r>
    </w:p>
    <w:p>
      <w:pPr>
        <w:spacing w:after="0" w:line="155"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w:t>
      </w:r>
    </w:p>
    <w:p>
      <w:pPr>
        <w:spacing w:after="0" w:line="31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w:t>
      </w:r>
    </w:p>
    <w:p>
      <w:pPr>
        <w:spacing w:after="0" w:line="136" w:lineRule="exact"/>
        <w:rPr>
          <w:sz w:val="20"/>
          <w:szCs w:val="20"/>
          <w:color w:val="auto"/>
        </w:rPr>
      </w:pPr>
    </w:p>
    <w:p>
      <w:pPr>
        <w:ind w:left="1360" w:right="319"/>
        <w:spacing w:after="0" w:line="277" w:lineRule="auto"/>
        <w:rPr>
          <w:sz w:val="20"/>
          <w:szCs w:val="20"/>
          <w:color w:val="auto"/>
        </w:rPr>
      </w:pPr>
      <w:r>
        <w:rPr>
          <w:rFonts w:ascii="Times New Roman" w:cs="Times New Roman" w:eastAsia="Times New Roman" w:hAnsi="Times New Roman"/>
          <w:sz w:val="13"/>
          <w:szCs w:val="13"/>
          <w:color w:val="auto"/>
        </w:rPr>
        <w:t>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w:t>
      </w:r>
    </w:p>
    <w:p>
      <w:pPr>
        <w:spacing w:after="0" w:line="2" w:lineRule="exact"/>
        <w:rPr>
          <w:sz w:val="20"/>
          <w:szCs w:val="20"/>
          <w:color w:val="auto"/>
        </w:rPr>
      </w:pPr>
    </w:p>
    <w:p>
      <w:pPr>
        <w:ind w:left="1360" w:right="319"/>
        <w:spacing w:after="0" w:line="252" w:lineRule="auto"/>
        <w:rPr>
          <w:sz w:val="20"/>
          <w:szCs w:val="20"/>
          <w:color w:val="auto"/>
        </w:rPr>
      </w:pPr>
      <w:r>
        <w:rPr>
          <w:rFonts w:ascii="Times New Roman" w:cs="Times New Roman" w:eastAsia="Times New Roman" w:hAnsi="Times New Roman"/>
          <w:sz w:val="14"/>
          <w:szCs w:val="14"/>
          <w:color w:val="auto"/>
        </w:rPr>
        <w:t>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407"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7" w:lineRule="auto"/>
        <w:rPr>
          <w:sz w:val="20"/>
          <w:szCs w:val="20"/>
          <w:color w:val="auto"/>
        </w:rPr>
      </w:pPr>
      <w:r>
        <w:rPr>
          <w:rFonts w:ascii="Times New Roman" w:cs="Times New Roman" w:eastAsia="Times New Roman" w:hAnsi="Times New Roman"/>
          <w:sz w:val="13"/>
          <w:szCs w:val="13"/>
          <w:color w:val="auto"/>
        </w:rPr>
        <w:t>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the date of this prospectus, the forbearance period under the Second Forbearance Agreement has expired and the Sponsor is under default under the Bess 2025 Note.</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Secured Promissory Note and Pledge Agreement</w:t>
      </w:r>
    </w:p>
    <w:p>
      <w:pPr>
        <w:spacing w:after="0" w:line="93"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Procedures with Respect to Review and Approval of Related Person Transactions</w:t>
      </w:r>
    </w:p>
    <w:p>
      <w:pPr>
        <w:spacing w:after="0" w:line="93" w:lineRule="exact"/>
        <w:rPr>
          <w:sz w:val="20"/>
          <w:szCs w:val="20"/>
          <w:color w:val="auto"/>
        </w:rPr>
      </w:pPr>
    </w:p>
    <w:p>
      <w:pPr>
        <w:ind w:left="1360" w:right="259"/>
        <w:spacing w:after="0" w:line="252" w:lineRule="auto"/>
        <w:rPr>
          <w:sz w:val="20"/>
          <w:szCs w:val="20"/>
          <w:color w:val="auto"/>
        </w:rPr>
      </w:pPr>
      <w:r>
        <w:rPr>
          <w:rFonts w:ascii="Times New Roman" w:cs="Times New Roman" w:eastAsia="Times New Roman" w:hAnsi="Times New Roman"/>
          <w:sz w:val="14"/>
          <w:szCs w:val="14"/>
          <w:color w:val="auto"/>
        </w:rPr>
        <w:t>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w:t>
      </w:r>
    </w:p>
    <w:p>
      <w:pPr>
        <w:spacing w:after="0" w:line="1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407"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59"/>
        <w:spacing w:after="0" w:line="267" w:lineRule="auto"/>
        <w:rPr>
          <w:sz w:val="20"/>
          <w:szCs w:val="20"/>
          <w:color w:val="auto"/>
        </w:rPr>
      </w:pPr>
      <w:r>
        <w:rPr>
          <w:rFonts w:ascii="Times New Roman" w:cs="Times New Roman" w:eastAsia="Times New Roman" w:hAnsi="Times New Roman"/>
          <w:sz w:val="14"/>
          <w:szCs w:val="14"/>
          <w:color w:val="auto"/>
        </w:rPr>
        <w:t>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Director and Officer Indemnification</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407"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information known to us regarding the beneficial ownership of our Common Stock as of November 25, 2025 by:</w:t>
      </w:r>
    </w:p>
    <w:p>
      <w:pPr>
        <w:spacing w:after="0" w:line="102" w:lineRule="exact"/>
        <w:rPr>
          <w:sz w:val="20"/>
          <w:szCs w:val="20"/>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the beneficial owner of more than 5% of the outstanding shares of our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 directors;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75"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beneficial ownership of our Common Stock is based on 121,136,140 shares of Common Stock issued and outstanding as of November 25, 2025.</w:t>
      </w:r>
    </w:p>
    <w:p>
      <w:pPr>
        <w:spacing w:after="0" w:line="181"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820" w:type="dxa"/>
            <w:vAlign w:val="bottom"/>
          </w:tcPr>
          <w:p>
            <w:pPr>
              <w:spacing w:after="0"/>
              <w:rPr>
                <w:sz w:val="11"/>
                <w:szCs w:val="11"/>
                <w:color w:val="auto"/>
              </w:rPr>
            </w:pPr>
          </w:p>
        </w:tc>
        <w:tc>
          <w:tcPr>
            <w:tcW w:w="1940" w:type="dxa"/>
            <w:vAlign w:val="bottom"/>
            <w:gridSpan w:val="2"/>
          </w:tcPr>
          <w:p>
            <w:pPr>
              <w:jc w:val="center"/>
              <w:ind w:right="94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Percentage of Outstanding</w:t>
            </w:r>
          </w:p>
        </w:tc>
        <w:tc>
          <w:tcPr>
            <w:tcW w:w="0" w:type="dxa"/>
            <w:vAlign w:val="bottom"/>
          </w:tcPr>
          <w:p>
            <w:pPr>
              <w:spacing w:after="0"/>
              <w:rPr>
                <w:sz w:val="1"/>
                <w:szCs w:val="1"/>
                <w:color w:val="auto"/>
              </w:rPr>
            </w:pPr>
          </w:p>
        </w:tc>
      </w:tr>
      <w:tr>
        <w:trPr>
          <w:trHeight w:val="116"/>
        </w:trPr>
        <w:tc>
          <w:tcPr>
            <w:tcW w:w="3820" w:type="dxa"/>
            <w:vAlign w:val="bottom"/>
          </w:tcPr>
          <w:p>
            <w:pPr>
              <w:spacing w:after="0"/>
              <w:rPr>
                <w:sz w:val="10"/>
                <w:szCs w:val="10"/>
                <w:color w:val="auto"/>
              </w:rPr>
            </w:pPr>
          </w:p>
        </w:tc>
        <w:tc>
          <w:tcPr>
            <w:tcW w:w="1940" w:type="dxa"/>
            <w:vAlign w:val="bottom"/>
            <w:gridSpan w:val="2"/>
          </w:tcPr>
          <w:p>
            <w:pPr>
              <w:jc w:val="center"/>
              <w:ind w:right="940"/>
              <w:spacing w:after="0" w:line="116" w:lineRule="exact"/>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1940" w:type="dxa"/>
            <w:vAlign w:val="bottom"/>
            <w:gridSpan w:val="2"/>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48"/>
        </w:trPr>
        <w:tc>
          <w:tcPr>
            <w:tcW w:w="38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5% Stockholders:</w:t>
            </w:r>
          </w:p>
        </w:tc>
        <w:tc>
          <w:tcPr>
            <w:tcW w:w="10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Bess Ventures and Advisory, LLC</w:t>
            </w:r>
            <w:r>
              <w:rPr>
                <w:rFonts w:ascii="Times New Roman" w:cs="Times New Roman" w:eastAsia="Times New Roman" w:hAnsi="Times New Roman"/>
                <w:sz w:val="19"/>
                <w:szCs w:val="19"/>
                <w:color w:val="auto"/>
                <w:vertAlign w:val="superscript"/>
              </w:rPr>
              <w:t>(1)</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9,521,985</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Funds affiliated with Rizvi Traverse CI Manager,</w:t>
            </w:r>
          </w:p>
        </w:tc>
        <w:tc>
          <w:tcPr>
            <w:tcW w:w="1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2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21"/>
                <w:szCs w:val="21"/>
                <w:color w:val="auto"/>
                <w:vertAlign w:val="superscript"/>
              </w:rPr>
              <w:t>(2)</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7,439,433</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Ava Investors SA</w:t>
            </w:r>
            <w:r>
              <w:rPr>
                <w:rFonts w:ascii="Times New Roman" w:cs="Times New Roman" w:eastAsia="Times New Roman" w:hAnsi="Times New Roman"/>
                <w:sz w:val="19"/>
                <w:szCs w:val="19"/>
                <w:color w:val="auto"/>
                <w:vertAlign w:val="superscript"/>
              </w:rPr>
              <w:t>(3)</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17,716,892</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Sponsor and related parties</w:t>
            </w:r>
            <w:r>
              <w:rPr>
                <w:rFonts w:ascii="Times New Roman" w:cs="Times New Roman" w:eastAsia="Times New Roman" w:hAnsi="Times New Roman"/>
                <w:sz w:val="19"/>
                <w:szCs w:val="19"/>
                <w:color w:val="auto"/>
                <w:vertAlign w:val="superscript"/>
              </w:rPr>
              <w:t>(4)</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9,913,874</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Funds affiliated with DENSO</w:t>
            </w:r>
            <w:r>
              <w:rPr>
                <w:rFonts w:ascii="Times New Roman" w:cs="Times New Roman" w:eastAsia="Times New Roman" w:hAnsi="Times New Roman"/>
                <w:sz w:val="19"/>
                <w:szCs w:val="19"/>
                <w:color w:val="auto"/>
                <w:vertAlign w:val="superscript"/>
              </w:rPr>
              <w:t>(5)</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9,195,111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Anderson Investments Pte. Ltd.</w:t>
            </w:r>
            <w:r>
              <w:rPr>
                <w:rFonts w:ascii="Times New Roman" w:cs="Times New Roman" w:eastAsia="Times New Roman" w:hAnsi="Times New Roman"/>
                <w:sz w:val="19"/>
                <w:szCs w:val="19"/>
                <w:color w:val="auto"/>
                <w:vertAlign w:val="superscript"/>
              </w:rPr>
              <w:t>(6)</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6,353,023</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Polar Multi-Strategy Master Fund</w:t>
            </w:r>
            <w:r>
              <w:rPr>
                <w:rFonts w:ascii="Times New Roman" w:cs="Times New Roman" w:eastAsia="Times New Roman" w:hAnsi="Times New Roman"/>
                <w:sz w:val="19"/>
                <w:szCs w:val="19"/>
                <w:color w:val="auto"/>
                <w:vertAlign w:val="superscript"/>
              </w:rPr>
              <w:t>(7)</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11,231,855</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Polar Long/Short Master Fund</w:t>
            </w:r>
            <w:r>
              <w:rPr>
                <w:rFonts w:ascii="Times New Roman" w:cs="Times New Roman" w:eastAsia="Times New Roman" w:hAnsi="Times New Roman"/>
                <w:sz w:val="19"/>
                <w:szCs w:val="19"/>
                <w:color w:val="auto"/>
                <w:vertAlign w:val="superscript"/>
              </w:rPr>
              <w:t>(8)</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3,125,000</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Lane M. Bess</w:t>
            </w:r>
            <w:r>
              <w:rPr>
                <w:rFonts w:ascii="Times New Roman" w:cs="Times New Roman" w:eastAsia="Times New Roman" w:hAnsi="Times New Roman"/>
                <w:sz w:val="19"/>
                <w:szCs w:val="19"/>
                <w:color w:val="auto"/>
                <w:vertAlign w:val="superscript"/>
              </w:rPr>
              <w:t>(1)</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9,521,985</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Tony Cannestra</w:t>
            </w:r>
            <w:r>
              <w:rPr>
                <w:rFonts w:ascii="Times New Roman" w:cs="Times New Roman" w:eastAsia="Times New Roman" w:hAnsi="Times New Roman"/>
                <w:sz w:val="19"/>
                <w:szCs w:val="19"/>
                <w:color w:val="auto"/>
                <w:vertAlign w:val="superscript"/>
              </w:rPr>
              <w:t>(9)</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571,963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Edward Frank</w:t>
            </w:r>
            <w:r>
              <w:rPr>
                <w:rFonts w:ascii="Times New Roman" w:cs="Times New Roman" w:eastAsia="Times New Roman" w:hAnsi="Times New Roman"/>
                <w:sz w:val="19"/>
                <w:szCs w:val="19"/>
                <w:color w:val="auto"/>
                <w:vertAlign w:val="superscript"/>
              </w:rPr>
              <w:t>(10)</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563,139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Juergen Hambrecht</w:t>
            </w:r>
            <w:r>
              <w:rPr>
                <w:rFonts w:ascii="Times New Roman" w:cs="Times New Roman" w:eastAsia="Times New Roman" w:hAnsi="Times New Roman"/>
                <w:sz w:val="19"/>
                <w:szCs w:val="19"/>
                <w:color w:val="auto"/>
                <w:vertAlign w:val="superscript"/>
              </w:rPr>
              <w:t>(11)</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563,139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3"/>
                <w:szCs w:val="13"/>
                <w:color w:val="auto"/>
              </w:rPr>
              <w:t>Dinakar Munagala</w:t>
            </w:r>
            <w:r>
              <w:rPr>
                <w:rFonts w:ascii="Times New Roman" w:cs="Times New Roman" w:eastAsia="Times New Roman" w:hAnsi="Times New Roman"/>
                <w:sz w:val="19"/>
                <w:szCs w:val="19"/>
                <w:color w:val="auto"/>
                <w:vertAlign w:val="superscript"/>
              </w:rPr>
              <w:t>(12)</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5,446,841</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Harminder Sehmi</w:t>
            </w:r>
            <w:r>
              <w:rPr>
                <w:rFonts w:ascii="Times New Roman" w:cs="Times New Roman" w:eastAsia="Times New Roman" w:hAnsi="Times New Roman"/>
                <w:sz w:val="19"/>
                <w:szCs w:val="19"/>
                <w:color w:val="auto"/>
                <w:vertAlign w:val="superscript"/>
              </w:rPr>
              <w:t>(13)</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color w:val="auto"/>
              </w:rPr>
              <w:t>813,830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de Urioste</w:t>
            </w:r>
          </w:p>
        </w:tc>
        <w:tc>
          <w:tcPr>
            <w:tcW w:w="194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Yoshiaki Fujimori</w:t>
            </w:r>
          </w:p>
        </w:tc>
        <w:tc>
          <w:tcPr>
            <w:tcW w:w="194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38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Directors and named executive officers as a</w:t>
            </w:r>
          </w:p>
        </w:tc>
        <w:tc>
          <w:tcPr>
            <w:tcW w:w="1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group (8 individuals)</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4"/>
                <w:szCs w:val="14"/>
                <w:color w:val="auto"/>
              </w:rPr>
              <w:t>17,480,897</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1700" w:hanging="345"/>
        <w:spacing w:after="0"/>
        <w:tabs>
          <w:tab w:leader="none" w:pos="17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2" w:lineRule="exact"/>
        <w:rPr>
          <w:sz w:val="20"/>
          <w:szCs w:val="20"/>
          <w:color w:val="auto"/>
        </w:rPr>
      </w:pPr>
    </w:p>
    <w:p>
      <w:pPr>
        <w:ind w:left="1700" w:right="259" w:hanging="345"/>
        <w:spacing w:after="0" w:line="222" w:lineRule="auto"/>
        <w:tabs>
          <w:tab w:leader="none" w:pos="170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(a) 8,946,783 shares of Common Stock held by Bess Ventures, (b) 389,968 shares of Common Stock held by the Trust and (c) 185,234 shares of Common Stock underlying options exercisable within 60 days of November 25, 2025. Lane M. Bess is the (i) managing member and owner of Bess Ventures and (ii) the Investment Fiduciary of the Trust. Lane M. Bess may be deemed to be the beneficial owner of the shares of Blaize capital stock beneficially owned by Bess Ventures and the Trust. The address of Bess</w:t>
      </w:r>
    </w:p>
    <w:p>
      <w:pPr>
        <w:spacing w:after="0" w:line="1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407"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700" w:right="539"/>
        <w:spacing w:after="0" w:line="261" w:lineRule="auto"/>
        <w:rPr>
          <w:sz w:val="20"/>
          <w:szCs w:val="20"/>
          <w:color w:val="auto"/>
        </w:rPr>
      </w:pPr>
      <w:r>
        <w:rPr>
          <w:rFonts w:ascii="Times New Roman" w:cs="Times New Roman" w:eastAsia="Times New Roman" w:hAnsi="Times New Roman"/>
          <w:sz w:val="14"/>
          <w:szCs w:val="14"/>
          <w:color w:val="auto"/>
        </w:rPr>
        <w:t>Ventures is c/o Lane M. Bess, 1928 Sunset Harbor Drive, Miami Beach, FL 33139. The address of the Trust is 255 Alhambra Circle, Ste 333, Coral Gables, FL 33134.</w:t>
      </w:r>
    </w:p>
    <w:p>
      <w:pPr>
        <w:ind w:left="1700" w:hanging="345"/>
        <w:spacing w:after="0" w:line="185" w:lineRule="auto"/>
        <w:tabs>
          <w:tab w:leader="none" w:pos="1700" w:val="left"/>
        </w:tabs>
        <w:numPr>
          <w:ilvl w:val="0"/>
          <w:numId w:val="5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Consists of (a) 1,211,952 shares of Common Stock held by RT-AI II, LLC, (b) 842,890 shares of Common Stock held by RT-AI III, LLC,</w:t>
      </w:r>
    </w:p>
    <w:p>
      <w:pPr>
        <w:spacing w:after="0" w:line="2" w:lineRule="exact"/>
        <w:rPr>
          <w:rFonts w:ascii="Times New Roman" w:cs="Times New Roman" w:eastAsia="Times New Roman" w:hAnsi="Times New Roman"/>
          <w:sz w:val="19"/>
          <w:szCs w:val="19"/>
          <w:color w:val="auto"/>
          <w:vertAlign w:val="superscript"/>
        </w:rPr>
      </w:pPr>
    </w:p>
    <w:p>
      <w:pPr>
        <w:ind w:left="1700" w:right="259"/>
        <w:spacing w:after="0" w:line="25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w:t>
      </w:r>
    </w:p>
    <w:p>
      <w:pPr>
        <w:spacing w:after="0" w:line="1" w:lineRule="exact"/>
        <w:rPr>
          <w:rFonts w:ascii="Times New Roman" w:cs="Times New Roman" w:eastAsia="Times New Roman" w:hAnsi="Times New Roman"/>
          <w:sz w:val="19"/>
          <w:szCs w:val="19"/>
          <w:color w:val="auto"/>
          <w:vertAlign w:val="superscript"/>
        </w:rPr>
      </w:pPr>
    </w:p>
    <w:p>
      <w:pPr>
        <w:ind w:left="1700" w:right="279" w:hanging="345"/>
        <w:spacing w:after="0" w:line="227" w:lineRule="auto"/>
        <w:tabs>
          <w:tab w:leader="none" w:pos="17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w:t>
      </w:r>
    </w:p>
    <w:p>
      <w:pPr>
        <w:spacing w:after="0" w:line="3" w:lineRule="exact"/>
        <w:rPr>
          <w:rFonts w:ascii="Times New Roman" w:cs="Times New Roman" w:eastAsia="Times New Roman" w:hAnsi="Times New Roman"/>
          <w:sz w:val="21"/>
          <w:szCs w:val="21"/>
          <w:color w:val="auto"/>
          <w:vertAlign w:val="superscript"/>
        </w:rPr>
      </w:pPr>
    </w:p>
    <w:p>
      <w:pPr>
        <w:ind w:left="1700" w:right="299" w:hanging="345"/>
        <w:spacing w:after="0" w:line="227" w:lineRule="auto"/>
        <w:tabs>
          <w:tab w:leader="none" w:pos="17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9,913,874 shares of Common Stock held by BurTech LP LLC and its affiliates (“BurTech LP”). BurTech LP LLC Shahal Khan, Patrick Orlando and Roman Livson are the managing members of our sponsor. By virtue of this relationship, Messrs. Khan, Orlando and Livson may be deemed to share beneficial ownership of the securities held of record by BurTech LP. Messrs. Khan, Orlando and Livson disclaim any beneficial ownership except to the extent of their pecuniary interest in such securities. The address of BurTech LP is 1300 Pennsylvania Ave NW, Suite 700, Washington, DC 20004.</w:t>
      </w:r>
    </w:p>
    <w:p>
      <w:pPr>
        <w:spacing w:after="0" w:line="3" w:lineRule="exact"/>
        <w:rPr>
          <w:rFonts w:ascii="Times New Roman" w:cs="Times New Roman" w:eastAsia="Times New Roman" w:hAnsi="Times New Roman"/>
          <w:sz w:val="21"/>
          <w:szCs w:val="21"/>
          <w:color w:val="auto"/>
          <w:vertAlign w:val="superscript"/>
        </w:rPr>
      </w:pPr>
    </w:p>
    <w:p>
      <w:pPr>
        <w:ind w:left="1700" w:right="259" w:hanging="345"/>
        <w:spacing w:after="0" w:line="239" w:lineRule="auto"/>
        <w:tabs>
          <w:tab w:leader="none" w:pos="17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w:t>
      </w:r>
    </w:p>
    <w:p>
      <w:pPr>
        <w:spacing w:after="0" w:line="6" w:lineRule="exact"/>
        <w:rPr>
          <w:rFonts w:ascii="Times New Roman" w:cs="Times New Roman" w:eastAsia="Times New Roman" w:hAnsi="Times New Roman"/>
          <w:sz w:val="21"/>
          <w:szCs w:val="21"/>
          <w:color w:val="auto"/>
          <w:vertAlign w:val="superscript"/>
        </w:rPr>
      </w:pPr>
    </w:p>
    <w:p>
      <w:pPr>
        <w:ind w:left="1700" w:right="279" w:hanging="345"/>
        <w:spacing w:after="0" w:line="238" w:lineRule="auto"/>
        <w:tabs>
          <w:tab w:leader="none" w:pos="170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6,353,023 shares of Common Stock held by Anderson Investments Pte. Ltd. (“Anderson”). Anderson is a direct wholly owned subsidiary of Thomson Capital Pte. Ltd. (“Thomson”), which in turn is a direct wholly owned subsidiary of Tembusu Capital Pte. Ltd. (“Tembusu”), which in turn is a direct wholly owned subsidiary of Temasek Holdings (Private) Limited (“Temasek”) and may be deemed to share voting and investment power over the shares held by Anderson Investments Pte. Ltd.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w:t>
      </w:r>
    </w:p>
    <w:p>
      <w:pPr>
        <w:spacing w:after="0" w:line="1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407"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700" w:right="719"/>
        <w:spacing w:after="0" w:line="261" w:lineRule="auto"/>
        <w:rPr>
          <w:sz w:val="20"/>
          <w:szCs w:val="20"/>
          <w:color w:val="auto"/>
        </w:rPr>
      </w:pPr>
      <w:r>
        <w:rPr>
          <w:rFonts w:ascii="Times New Roman" w:cs="Times New Roman" w:eastAsia="Times New Roman" w:hAnsi="Times New Roman"/>
          <w:sz w:val="14"/>
          <w:szCs w:val="14"/>
          <w:color w:val="auto"/>
        </w:rPr>
        <w:t>such shares. The address for Anderson, Thomson, Tembusu and Temasek is 60B Orchard Road, #06-18, The Atrium@Orchard, Singapore 238891.</w:t>
      </w:r>
    </w:p>
    <w:p>
      <w:pPr>
        <w:spacing w:after="0" w:line="1" w:lineRule="exact"/>
        <w:rPr>
          <w:sz w:val="20"/>
          <w:szCs w:val="20"/>
          <w:color w:val="auto"/>
        </w:rPr>
      </w:pPr>
    </w:p>
    <w:p>
      <w:pPr>
        <w:ind w:left="1700" w:right="239" w:hanging="345"/>
        <w:spacing w:after="0" w:line="247" w:lineRule="auto"/>
        <w:tabs>
          <w:tab w:leader="none" w:pos="1700" w:val="left"/>
        </w:tabs>
        <w:numPr>
          <w:ilvl w:val="0"/>
          <w:numId w:val="5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Consists of (i) 7,812,500 shares of Common Stock and (ii) warrants to purchase 3,419,355 shares of Common Stock held by Polar Multi-Strategy Master Fund (“PMSMF”). Does not include warrants to purchase 4,393,145 shares of Common Stock held by PMSMF which are not currently exercisable due to 9.99% ownership blocker provision. PMSMF is under management by Polar Asset Management Partners Inc. (“PAMPI”). PAMPI serves as Investment Advisor to PMSMF and has control and discretion over the shares held by PMSMF. As such, PAMPI may be deemed the beneficial owner of the shares held by PMSMF. PAMPI disclaims any beneficial ownership of the reported shares other than to the extent of any pecuniary interest therein. The address for Polar Asset Management Partners Inc. is 16 York St #2900, Toronto, ON M5J 0E6, Canada.</w:t>
      </w:r>
    </w:p>
    <w:p>
      <w:pPr>
        <w:spacing w:after="0" w:line="3" w:lineRule="exact"/>
        <w:rPr>
          <w:rFonts w:ascii="Times New Roman" w:cs="Times New Roman" w:eastAsia="Times New Roman" w:hAnsi="Times New Roman"/>
          <w:sz w:val="20"/>
          <w:szCs w:val="20"/>
          <w:color w:val="auto"/>
          <w:vertAlign w:val="superscript"/>
        </w:rPr>
      </w:pPr>
    </w:p>
    <w:p>
      <w:pPr>
        <w:ind w:left="1700" w:right="259" w:hanging="345"/>
        <w:spacing w:after="0" w:line="227" w:lineRule="auto"/>
        <w:tabs>
          <w:tab w:leader="none" w:pos="170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(i) 1,562,500 shares of Common Stock and (ii) warrants to purchase 1,562,500 shares of Common Stock held by Polar Long/Short Master Fund (“PLSMF”). PLSMF is under management by PAMPI. PAMPI serves as Investment Advisor to PLSMF and has control and discretion over the shares held by PLSMF. As such, PAMPI may be deemed the beneficial owner of the shares held by PLSMF. PAMPI disclaims any beneficial ownership of the reported shares other than to the extent of any pecuniary interest therein. The address for Polar Asset Management Partners Inc. is 16 York St #2900, Toronto, ON M5J 0E6, Canada.</w:t>
      </w:r>
    </w:p>
    <w:p>
      <w:pPr>
        <w:spacing w:after="0" w:line="3" w:lineRule="exact"/>
        <w:rPr>
          <w:rFonts w:ascii="Times New Roman" w:cs="Times New Roman" w:eastAsia="Times New Roman" w:hAnsi="Times New Roman"/>
          <w:sz w:val="21"/>
          <w:szCs w:val="21"/>
          <w:color w:val="auto"/>
          <w:vertAlign w:val="superscript"/>
        </w:rPr>
      </w:pPr>
    </w:p>
    <w:p>
      <w:pPr>
        <w:ind w:left="1700" w:hanging="345"/>
        <w:spacing w:after="0" w:line="184" w:lineRule="auto"/>
        <w:tabs>
          <w:tab w:leader="none" w:pos="170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Consists of 571,963 shares of Common Stock underlying options exercisable within 60 days of November 25, 2025.</w:t>
      </w:r>
    </w:p>
    <w:p>
      <w:pPr>
        <w:spacing w:after="0" w:line="2" w:lineRule="exact"/>
        <w:rPr>
          <w:rFonts w:ascii="Times New Roman" w:cs="Times New Roman" w:eastAsia="Times New Roman" w:hAnsi="Times New Roman"/>
          <w:sz w:val="19"/>
          <w:szCs w:val="19"/>
          <w:color w:val="auto"/>
          <w:vertAlign w:val="superscript"/>
        </w:rPr>
      </w:pPr>
    </w:p>
    <w:p>
      <w:pPr>
        <w:ind w:left="1700" w:hanging="345"/>
        <w:spacing w:after="0" w:line="183" w:lineRule="auto"/>
        <w:tabs>
          <w:tab w:leader="none" w:pos="170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Consists of 563,139 shares of Common Stock underlying options exercisable within 60 days of November 25, 2025.</w:t>
      </w:r>
    </w:p>
    <w:p>
      <w:pPr>
        <w:spacing w:after="0" w:line="1" w:lineRule="exact"/>
        <w:rPr>
          <w:rFonts w:ascii="Times New Roman" w:cs="Times New Roman" w:eastAsia="Times New Roman" w:hAnsi="Times New Roman"/>
          <w:sz w:val="19"/>
          <w:szCs w:val="19"/>
          <w:color w:val="auto"/>
          <w:vertAlign w:val="superscript"/>
        </w:rPr>
      </w:pPr>
    </w:p>
    <w:p>
      <w:pPr>
        <w:ind w:left="1700" w:hanging="345"/>
        <w:spacing w:after="0" w:line="183" w:lineRule="auto"/>
        <w:tabs>
          <w:tab w:leader="none" w:pos="170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Consists of 563,139 shares of Common Stock underlying options exercisable within 60 days of November 25, 2025.</w:t>
      </w:r>
    </w:p>
    <w:p>
      <w:pPr>
        <w:spacing w:after="0" w:line="1" w:lineRule="exact"/>
        <w:rPr>
          <w:rFonts w:ascii="Times New Roman" w:cs="Times New Roman" w:eastAsia="Times New Roman" w:hAnsi="Times New Roman"/>
          <w:sz w:val="19"/>
          <w:szCs w:val="19"/>
          <w:color w:val="auto"/>
          <w:vertAlign w:val="superscript"/>
        </w:rPr>
      </w:pPr>
    </w:p>
    <w:p>
      <w:pPr>
        <w:ind w:left="1700" w:right="599" w:hanging="345"/>
        <w:spacing w:after="0" w:line="199" w:lineRule="auto"/>
        <w:tabs>
          <w:tab w:leader="none" w:pos="170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Consists of (a) 551,422 shares of Common Stock held directly by Dinakar Munagala and (b) 4,895,419 shares of Common Stock underlying options exercisable within 60 days of November 25, 2025.</w:t>
      </w:r>
    </w:p>
    <w:p>
      <w:pPr>
        <w:spacing w:after="0" w:line="1" w:lineRule="exact"/>
        <w:rPr>
          <w:rFonts w:ascii="Times New Roman" w:cs="Times New Roman" w:eastAsia="Times New Roman" w:hAnsi="Times New Roman"/>
          <w:sz w:val="21"/>
          <w:szCs w:val="21"/>
          <w:color w:val="auto"/>
          <w:vertAlign w:val="superscript"/>
        </w:rPr>
      </w:pPr>
    </w:p>
    <w:p>
      <w:pPr>
        <w:ind w:left="1700" w:hanging="345"/>
        <w:spacing w:after="0" w:line="184" w:lineRule="auto"/>
        <w:tabs>
          <w:tab w:leader="none" w:pos="170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Consists of 813,830 shares of Common Stock underlying options exercisable within 60 days of November 25, 2025.</w:t>
      </w:r>
    </w:p>
    <w:p>
      <w:pPr>
        <w:spacing w:after="0" w:line="1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407"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77" w:lineRule="exact"/>
        <w:rPr>
          <w:sz w:val="20"/>
          <w:szCs w:val="20"/>
          <w:color w:val="auto"/>
        </w:rPr>
      </w:pPr>
    </w:p>
    <w:p>
      <w:pPr>
        <w:ind w:left="1360" w:right="519"/>
        <w:spacing w:after="0" w:line="258" w:lineRule="auto"/>
        <w:rPr>
          <w:sz w:val="20"/>
          <w:szCs w:val="20"/>
          <w:color w:val="auto"/>
        </w:rPr>
      </w:pPr>
      <w:r>
        <w:rPr>
          <w:rFonts w:ascii="Times New Roman" w:cs="Times New Roman" w:eastAsia="Times New Roman" w:hAnsi="Times New Roman"/>
          <w:sz w:val="14"/>
          <w:szCs w:val="14"/>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November 25 2025, assuming exercise of the warrants held by the selling shareholders on that date, without regard to any limitations on exercises.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third column lists the shares of common stock being offered by this prospectus by the selling shareholders.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accordance with the terms of a registration rights agreement with the selling shareholders, this prospectus generally covers the resale of the sum of</w:t>
      </w:r>
    </w:p>
    <w:p>
      <w:pPr>
        <w:spacing w:after="0" w:line="22" w:lineRule="exact"/>
        <w:rPr>
          <w:sz w:val="20"/>
          <w:szCs w:val="20"/>
          <w:color w:val="auto"/>
        </w:rPr>
      </w:pPr>
    </w:p>
    <w:p>
      <w:pPr>
        <w:ind w:left="1360" w:right="299" w:hanging="5"/>
        <w:spacing w:after="0" w:line="252" w:lineRule="auto"/>
        <w:tabs>
          <w:tab w:leader="none" w:pos="152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49"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Under the terms of the warrants, a selling shareholder may not exercise the warrants to the extent such exercise would cause such selling shareholder, together with its affiliates and attribution parties, to beneficially own a number of shares of common stock which would exceed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150"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3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300" w:type="dxa"/>
            <w:vAlign w:val="bottom"/>
            <w:gridSpan w:val="2"/>
          </w:tcPr>
          <w:p>
            <w:pPr>
              <w:jc w:val="center"/>
              <w:ind w:right="580"/>
              <w:spacing w:after="0" w:line="116"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16"/>
        </w:trPr>
        <w:tc>
          <w:tcPr>
            <w:tcW w:w="3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0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130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0" w:type="dxa"/>
            <w:vAlign w:val="bottom"/>
          </w:tcPr>
          <w:p>
            <w:pPr>
              <w:spacing w:after="0"/>
              <w:rPr>
                <w:sz w:val="1"/>
                <w:szCs w:val="1"/>
                <w:color w:val="auto"/>
              </w:rPr>
            </w:pPr>
          </w:p>
        </w:tc>
      </w:tr>
      <w:tr>
        <w:trPr>
          <w:trHeight w:val="116"/>
        </w:trPr>
        <w:tc>
          <w:tcPr>
            <w:tcW w:w="3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300" w:type="dxa"/>
            <w:vAlign w:val="bottom"/>
            <w:gridSpan w:val="2"/>
          </w:tcPr>
          <w:p>
            <w:pPr>
              <w:jc w:val="center"/>
              <w:ind w:right="580"/>
              <w:spacing w:after="0" w:line="116" w:lineRule="exact"/>
              <w:rPr>
                <w:sz w:val="20"/>
                <w:szCs w:val="20"/>
                <w:color w:val="auto"/>
              </w:rPr>
            </w:pPr>
            <w:r>
              <w:rPr>
                <w:rFonts w:ascii="Times New Roman" w:cs="Times New Roman" w:eastAsia="Times New Roman" w:hAnsi="Times New Roman"/>
                <w:sz w:val="11"/>
                <w:szCs w:val="11"/>
                <w:b w:val="1"/>
                <w:bCs w:val="1"/>
                <w:color w:val="auto"/>
              </w:rPr>
              <w:t>to be Sold</w:t>
            </w: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116"/>
        </w:trPr>
        <w:tc>
          <w:tcPr>
            <w:tcW w:w="3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Selling Shareholder</w:t>
            </w:r>
          </w:p>
        </w:tc>
        <w:tc>
          <w:tcPr>
            <w:tcW w:w="500" w:type="dxa"/>
            <w:vAlign w:val="bottom"/>
          </w:tcPr>
          <w:p>
            <w:pPr>
              <w:spacing w:after="0"/>
              <w:rPr>
                <w:sz w:val="10"/>
                <w:szCs w:val="10"/>
                <w:color w:val="auto"/>
              </w:rPr>
            </w:pPr>
          </w:p>
        </w:tc>
        <w:tc>
          <w:tcPr>
            <w:tcW w:w="1300" w:type="dxa"/>
            <w:vAlign w:val="bottom"/>
            <w:gridSpan w:val="2"/>
          </w:tcPr>
          <w:p>
            <w:pPr>
              <w:jc w:val="center"/>
              <w:ind w:right="560"/>
              <w:spacing w:after="0" w:line="116" w:lineRule="exact"/>
              <w:rPr>
                <w:sz w:val="20"/>
                <w:szCs w:val="20"/>
                <w:color w:val="auto"/>
              </w:rPr>
            </w:pPr>
            <w:r>
              <w:rPr>
                <w:rFonts w:ascii="Times New Roman" w:cs="Times New Roman" w:eastAsia="Times New Roman" w:hAnsi="Times New Roman"/>
                <w:sz w:val="11"/>
                <w:szCs w:val="11"/>
                <w:b w:val="1"/>
                <w:bCs w:val="1"/>
                <w:color w:val="auto"/>
              </w:rPr>
              <w:t>Owned Prior</w:t>
            </w:r>
          </w:p>
        </w:tc>
        <w:tc>
          <w:tcPr>
            <w:tcW w:w="1300" w:type="dxa"/>
            <w:vAlign w:val="bottom"/>
            <w:gridSpan w:val="2"/>
          </w:tcPr>
          <w:p>
            <w:pPr>
              <w:jc w:val="center"/>
              <w:ind w:right="580"/>
              <w:spacing w:after="0" w:line="116" w:lineRule="exact"/>
              <w:rPr>
                <w:sz w:val="20"/>
                <w:szCs w:val="20"/>
                <w:color w:val="auto"/>
              </w:rPr>
            </w:pPr>
            <w:r>
              <w:rPr>
                <w:rFonts w:ascii="Times New Roman" w:cs="Times New Roman" w:eastAsia="Times New Roman" w:hAnsi="Times New Roman"/>
                <w:sz w:val="11"/>
                <w:szCs w:val="11"/>
                <w:b w:val="1"/>
                <w:bCs w:val="1"/>
                <w:color w:val="auto"/>
              </w:rPr>
              <w:t>Pursuant to</w:t>
            </w: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0" w:type="dxa"/>
            <w:vAlign w:val="bottom"/>
          </w:tcPr>
          <w:p>
            <w:pPr>
              <w:spacing w:after="0"/>
              <w:rPr>
                <w:sz w:val="1"/>
                <w:szCs w:val="1"/>
                <w:color w:val="auto"/>
              </w:rPr>
            </w:pPr>
          </w:p>
        </w:tc>
      </w:tr>
      <w:tr>
        <w:trPr>
          <w:trHeight w:val="135"/>
        </w:trPr>
        <w:tc>
          <w:tcPr>
            <w:tcW w:w="33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to Offering</w:t>
            </w: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this Prospectus</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0" w:type="dxa"/>
            <w:vAlign w:val="bottom"/>
          </w:tcPr>
          <w:p>
            <w:pPr>
              <w:spacing w:after="0"/>
              <w:rPr>
                <w:sz w:val="1"/>
                <w:szCs w:val="1"/>
                <w:color w:val="auto"/>
              </w:rPr>
            </w:pPr>
          </w:p>
        </w:tc>
      </w:tr>
      <w:tr>
        <w:trPr>
          <w:trHeight w:val="159"/>
        </w:trPr>
        <w:tc>
          <w:tcPr>
            <w:tcW w:w="33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Polar Multi-Strategy Master Fund</w:t>
            </w:r>
          </w:p>
        </w:tc>
        <w:tc>
          <w:tcPr>
            <w:tcW w:w="5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7,812,500</w:t>
            </w:r>
          </w:p>
        </w:tc>
        <w:tc>
          <w:tcPr>
            <w:tcW w:w="5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7,812,500</w:t>
            </w:r>
          </w:p>
        </w:tc>
        <w:tc>
          <w:tcPr>
            <w:tcW w:w="5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ind w:left="54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Polar Long/Short Master Fund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1,562,500</w:t>
            </w:r>
          </w:p>
        </w:tc>
        <w:tc>
          <w:tcPr>
            <w:tcW w:w="56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1,562,500</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69"/>
        </w:trPr>
        <w:tc>
          <w:tcPr>
            <w:tcW w:w="332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94</w:t>
            </w: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7"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As of November 25, 2025, we had two classes of securities registered pursuant to Section 12 of the Exchange Act: our common stock and our Public Warrants (as defined below).</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and attached hereto as Exhibits 3.1 and 3.2, respectively, as well as the relevant provisions of the DGCL.</w:t>
      </w:r>
    </w:p>
    <w:p>
      <w:pPr>
        <w:spacing w:after="0" w:line="136"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9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Our stockholders have no preemptive or other subscription rights. No sinking fund provisions are applicable to our Common Stock.</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Our Board has the authority to issue shares of preferred stock from time to time on terms it may determine, to divide shares of preferred stock into one or more series and to fix the designations, preferences, privileges, and</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407"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Additionally, in connection with the execution of the Merger Agreement, we and certain stockholders of Legacy Blaize, entered into a registration rights agreement (the “Ava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w:t>
      </w:r>
    </w:p>
    <w:p>
      <w:pPr>
        <w:spacing w:after="0" w:line="141"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registration rights under the Registration Rights Agreement and the Ava Registration Rights Agreement have been satisfied pursuant to a currently effective registration statement.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Election of Directors and Vacancies</w:t>
      </w:r>
    </w:p>
    <w:p>
      <w:pPr>
        <w:spacing w:after="0" w:line="9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Subject to the rights of the holders of any one or more series of preferred stock to elect additional directors under specified circumstances and the terms, the number of directors of our Board is fixed solely and exclusively by our Board, but it currently consists of seven (7) directors.</w:t>
      </w:r>
    </w:p>
    <w:p>
      <w:pPr>
        <w:spacing w:after="0" w:line="125"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Under the Bylaws and except as otherwise provided by the Charter, at all meetings of stockholders called for the election of directors at which a quorum is present, a plurality of the votes properly cast is sufficient to elect such directors to the Board.</w:t>
      </w:r>
    </w:p>
    <w:p>
      <w:pPr>
        <w:spacing w:after="0" w:line="125"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4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Blaize then entitled to vote generally in the election of directors.</w:t>
      </w:r>
    </w:p>
    <w:p>
      <w:pPr>
        <w:spacing w:after="0" w:line="136"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In addition to the powers and authorities hereinbefore or by statute expressly conferred upon them, the directors are hereby empowered to exercise all such powers and do all such acts and things as may be exercised or done by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407"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Quorum; Voting</w:t>
      </w:r>
    </w:p>
    <w:p>
      <w:pPr>
        <w:spacing w:after="0" w:line="93"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spacing w:after="0" w:line="147"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Anti-takeover Effects of the Charter and the Bylaws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407"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9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spacing w:after="0" w:line="136"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Additional shares that may be issued in the future may be used for a variety of corporate purposes, including future public offerings, to raise additional capital or to facilitate acquisitions.</w:t>
      </w:r>
    </w:p>
    <w:p>
      <w:pPr>
        <w:spacing w:after="0" w:line="12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Special Meeting, Action by Written Consent and Advance Notice Requirements for Stockholder Proposals</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spacing w:after="0" w:line="136"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41"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4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These provisions could have the effect of delaying until the next stockholder meeting any stockholder actions, even if they are favored by the holders of a majority of our outstanding voting securities.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to Certificate of Incorporation and Bylaws</w:t>
      </w:r>
    </w:p>
    <w:p>
      <w:pPr>
        <w:spacing w:after="0" w:line="93"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6"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Our certificate of incorporation provides however, in addition to the votes required by law, that the following provisions therein may be amended, altered, repealed or rescinded only by the affirmative vote of the holders of</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407"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at least sixty-six and two-thirds percent (66 2/3%) of the voting power of all of the then-outstanding shares of capital stock of Blaize entitled to thereon, voting together as a single class:</w:t>
      </w:r>
    </w:p>
    <w:p>
      <w:pPr>
        <w:spacing w:after="0" w:line="51" w:lineRule="exact"/>
        <w:rPr>
          <w:sz w:val="20"/>
          <w:szCs w:val="20"/>
          <w:color w:val="auto"/>
        </w:rPr>
      </w:pPr>
    </w:p>
    <w:p>
      <w:pPr>
        <w:ind w:left="2120" w:right="61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management of Blaize, the size of our Board, the election and removal of directors to our Board, the filling of vacancies, preferred stockholder election rights, and bylaw amendments;</w:t>
      </w:r>
    </w:p>
    <w:p>
      <w:pPr>
        <w:spacing w:after="0" w:line="51" w:lineRule="exact"/>
        <w:rPr>
          <w:rFonts w:ascii="Times New Roman" w:cs="Times New Roman" w:eastAsia="Times New Roman" w:hAnsi="Times New Roman"/>
          <w:sz w:val="14"/>
          <w:szCs w:val="14"/>
          <w:color w:val="auto"/>
        </w:rPr>
      </w:pPr>
    </w:p>
    <w:p>
      <w:pPr>
        <w:ind w:left="2120" w:right="67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actions of stockholders of Blaize, advance notice of business to be brought by stockholders and special meetings of stockholders;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limited liability of directors or officers of Blaize;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indemnification of the current and former officers, directors, employees and agents of Blaize;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exclusive forums for certain actions;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amending our certificate of incorporation.</w:t>
      </w:r>
    </w:p>
    <w:p>
      <w:pPr>
        <w:spacing w:after="0" w:line="175"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the capital stock of Blaize entitled to vote thereon, voting together as a single class.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93"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136" w:lineRule="exact"/>
        <w:rPr>
          <w:sz w:val="20"/>
          <w:szCs w:val="20"/>
          <w:color w:val="auto"/>
        </w:rPr>
      </w:pPr>
    </w:p>
    <w:p>
      <w:pPr>
        <w:ind w:left="1360" w:right="219"/>
        <w:spacing w:after="0" w:line="255" w:lineRule="auto"/>
        <w:rPr>
          <w:sz w:val="20"/>
          <w:szCs w:val="20"/>
          <w:color w:val="auto"/>
        </w:rPr>
      </w:pPr>
      <w:r>
        <w:rPr>
          <w:rFonts w:ascii="Times New Roman" w:cs="Times New Roman" w:eastAsia="Times New Roman" w:hAnsi="Times New Roman"/>
          <w:sz w:val="14"/>
          <w:szCs w:val="14"/>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Exclusive Forum of Certain Actions</w:t>
      </w:r>
    </w:p>
    <w:p>
      <w:pPr>
        <w:spacing w:after="0" w:line="93" w:lineRule="exact"/>
        <w:rPr>
          <w:sz w:val="20"/>
          <w:szCs w:val="20"/>
          <w:color w:val="auto"/>
        </w:rPr>
      </w:pPr>
    </w:p>
    <w:p>
      <w:pPr>
        <w:ind w:left="1360" w:right="519"/>
        <w:spacing w:after="0" w:line="267" w:lineRule="auto"/>
        <w:rPr>
          <w:sz w:val="20"/>
          <w:szCs w:val="20"/>
          <w:color w:val="auto"/>
        </w:rPr>
      </w:pPr>
      <w:r>
        <w:rPr>
          <w:rFonts w:ascii="Times New Roman" w:cs="Times New Roman" w:eastAsia="Times New Roman" w:hAnsi="Times New Roman"/>
          <w:sz w:val="14"/>
          <w:szCs w:val="14"/>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407"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45"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9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Upon the consummation of the Merger, BurTech’s 28,750,000 legacy public warrants issued in BurTech’s initial public offering and 898,250 legacy private warrants outstanding immediately prior to the Merger became warrants to purchase the Company’s common stock. All of these warrants are now public warrants (each, a “Public Warrant”) and trade under the ticker symbol “BZAIW”.</w:t>
      </w:r>
    </w:p>
    <w:p>
      <w:pPr>
        <w:spacing w:after="0" w:line="136" w:lineRule="exact"/>
        <w:rPr>
          <w:sz w:val="20"/>
          <w:szCs w:val="20"/>
          <w:color w:val="auto"/>
        </w:rPr>
      </w:pPr>
    </w:p>
    <w:p>
      <w:pPr>
        <w:ind w:left="1360" w:right="459"/>
        <w:spacing w:after="0" w:line="258" w:lineRule="auto"/>
        <w:rPr>
          <w:sz w:val="20"/>
          <w:szCs w:val="20"/>
          <w:color w:val="auto"/>
        </w:rPr>
      </w:pPr>
      <w:r>
        <w:rPr>
          <w:rFonts w:ascii="Times New Roman" w:cs="Times New Roman" w:eastAsia="Times New Roman" w:hAnsi="Times New Roman"/>
          <w:sz w:val="14"/>
          <w:szCs w:val="14"/>
          <w:color w:val="auto"/>
        </w:rPr>
        <w:t>Each Public Warrant entitles the registered holder to purchase one share of Common Stock at a price of $11.50 per share, subject to adjustment as discussed below. Pursuant to the warrant agreement, a Public Warrant holder may exercise its Public Warrants only for a whole number of shares of Common Stock. This means that only a whole Public Warrant may be exercised at any given time by a Public Warrant holder, and only whole Public Warrants will trade. The Public Warrants will expire five years after the Closing, at 5:00 p.m., New York City time, or earlier upon redemption or liquidation.</w:t>
      </w:r>
    </w:p>
    <w:p>
      <w:pPr>
        <w:spacing w:after="0" w:line="144"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when the price per share of Common Stock equals or exceeds $18.00</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may call the Public Warrants for redemption for cash:</w:t>
      </w:r>
    </w:p>
    <w:p>
      <w:pPr>
        <w:spacing w:after="0" w:line="102" w:lineRule="exact"/>
        <w:rPr>
          <w:sz w:val="20"/>
          <w:szCs w:val="20"/>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Public Warrant;</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407"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2120" w:right="259" w:hanging="345"/>
        <w:spacing w:after="0" w:line="283"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given after the Public Warrants become exercisable (the “30-day redemption period”) to each Public Warrant holder;</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 current registration statement in effect with respect to the shares of Common Stock underlying such Warrants.</w:t>
      </w:r>
    </w:p>
    <w:p>
      <w:pPr>
        <w:spacing w:after="0" w:line="175"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stay below the $18.00 redemption trigger price (as adjusted for stock splits, stock dividends, reorganizations, recapitalizations and the like) as well as the $11.50 (for whole shares) warrant exercise price after the redemption notice is issued.</w:t>
      </w:r>
    </w:p>
    <w:p>
      <w:pPr>
        <w:spacing w:after="0" w:line="144" w:lineRule="exact"/>
        <w:rPr>
          <w:sz w:val="20"/>
          <w:szCs w:val="20"/>
          <w:color w:val="auto"/>
        </w:rPr>
      </w:pPr>
    </w:p>
    <w:p>
      <w:pPr>
        <w:ind w:left="1360" w:right="239"/>
        <w:spacing w:after="0" w:line="253"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w:t>
      </w:r>
    </w:p>
    <w:p>
      <w:pPr>
        <w:spacing w:after="0" w:line="93" w:lineRule="exact"/>
        <w:rPr>
          <w:sz w:val="20"/>
          <w:szCs w:val="20"/>
          <w:color w:val="auto"/>
        </w:rPr>
      </w:pPr>
    </w:p>
    <w:p>
      <w:pPr>
        <w:ind w:left="1360" w:right="439"/>
        <w:spacing w:after="0" w:line="296" w:lineRule="auto"/>
        <w:rPr>
          <w:sz w:val="20"/>
          <w:szCs w:val="20"/>
          <w:color w:val="auto"/>
        </w:rPr>
      </w:pPr>
      <w:r>
        <w:rPr>
          <w:rFonts w:ascii="Times New Roman" w:cs="Times New Roman" w:eastAsia="Times New Roman" w:hAnsi="Times New Roman"/>
          <w:sz w:val="13"/>
          <w:szCs w:val="13"/>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2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93" w:lineRule="exact"/>
        <w:rPr>
          <w:sz w:val="20"/>
          <w:szCs w:val="20"/>
          <w:color w:val="auto"/>
        </w:rPr>
      </w:pPr>
    </w:p>
    <w:p>
      <w:pPr>
        <w:ind w:left="1360" w:right="399"/>
        <w:spacing w:after="0" w:line="296" w:lineRule="auto"/>
        <w:rPr>
          <w:sz w:val="20"/>
          <w:szCs w:val="20"/>
          <w:color w:val="auto"/>
        </w:rPr>
      </w:pPr>
      <w:r>
        <w:rPr>
          <w:rFonts w:ascii="Times New Roman" w:cs="Times New Roman" w:eastAsia="Times New Roman" w:hAnsi="Times New Roman"/>
          <w:sz w:val="13"/>
          <w:szCs w:val="13"/>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20" w:lineRule="exact"/>
        <w:rPr>
          <w:sz w:val="20"/>
          <w:szCs w:val="20"/>
          <w:color w:val="auto"/>
        </w:rPr>
      </w:pPr>
    </w:p>
    <w:p>
      <w:pPr>
        <w:ind w:left="1360" w:right="399"/>
        <w:spacing w:after="0" w:line="267" w:lineRule="auto"/>
        <w:rPr>
          <w:sz w:val="20"/>
          <w:szCs w:val="20"/>
          <w:color w:val="auto"/>
        </w:rPr>
      </w:pPr>
      <w:r>
        <w:rPr>
          <w:rFonts w:ascii="Times New Roman" w:cs="Times New Roman" w:eastAsia="Times New Roman" w:hAnsi="Times New Roman"/>
          <w:sz w:val="14"/>
          <w:szCs w:val="14"/>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407"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Common Stock issuable on exercise of each Public Warrant will be decreased in proportion to such decrease in outstanding shares of Common Stock.</w:t>
      </w:r>
    </w:p>
    <w:p>
      <w:pPr>
        <w:spacing w:after="0" w:line="175" w:lineRule="exact"/>
        <w:rPr>
          <w:sz w:val="20"/>
          <w:szCs w:val="20"/>
          <w:color w:val="auto"/>
        </w:rPr>
      </w:pPr>
    </w:p>
    <w:p>
      <w:pPr>
        <w:jc w:val="both"/>
        <w:ind w:left="1360" w:right="519"/>
        <w:spacing w:after="0" w:line="261" w:lineRule="auto"/>
        <w:rPr>
          <w:sz w:val="20"/>
          <w:szCs w:val="20"/>
          <w:color w:val="auto"/>
        </w:rPr>
      </w:pPr>
      <w:r>
        <w:rPr>
          <w:rFonts w:ascii="Times New Roman" w:cs="Times New Roman" w:eastAsia="Times New Roman" w:hAnsi="Times New Roman"/>
          <w:sz w:val="14"/>
          <w:szCs w:val="14"/>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41" w:lineRule="exact"/>
        <w:rPr>
          <w:sz w:val="20"/>
          <w:szCs w:val="20"/>
          <w:color w:val="auto"/>
        </w:rPr>
      </w:pPr>
    </w:p>
    <w:p>
      <w:pPr>
        <w:ind w:left="1360" w:right="239"/>
        <w:spacing w:after="0" w:line="276" w:lineRule="auto"/>
        <w:rPr>
          <w:sz w:val="20"/>
          <w:szCs w:val="20"/>
          <w:color w:val="auto"/>
        </w:rPr>
      </w:pPr>
      <w:r>
        <w:rPr>
          <w:rFonts w:ascii="Times New Roman" w:cs="Times New Roman" w:eastAsia="Times New Roman" w:hAnsi="Times New Roman"/>
          <w:sz w:val="13"/>
          <w:szCs w:val="13"/>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2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Terms</w:t>
      </w:r>
    </w:p>
    <w:p>
      <w:pPr>
        <w:spacing w:after="0" w:line="93"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Public Warrants are issued in registered form under a warrant agreement between Continental Stock Transfer &amp; Trust Company, as warrant agent, and Blaize.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4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 and Warrant Agent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transfer agent for our Common Stock and warrant agent for the Public Warrants is Continental Stock Transfer &amp; Trust Company.</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Trading Symbols and Market</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Our Common Stock and Public Warrants are listed on the Nasdaq Global Market and Nasdaq Capital Market, respectively, under the symbols “BZAI” and “BZAIW,” respectively.</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407"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Each Selling Stockholder (the “Selling Stockholders”) of the securities and any of their donees, pledgees, transferees, assignees and successors-in-interest may, from time to time, sell, transfer or otherwise dispose of any or all of their securities covered hereby on the Nasdaq Global Market or any other stock exchange, market or trading facility on which the securities are traded or in private transactions. These dispositions may be at fixed prices, at prevailing market prices at the time of sale, at prices related to the prevailing market price, at varying prices determined at the time of sale or at negotiated prices. A Selling Stockholder may use any one or more of the following methods when disposing of securities:</w:t>
      </w:r>
    </w:p>
    <w:p>
      <w:pPr>
        <w:spacing w:after="0" w:line="70" w:lineRule="exact"/>
        <w:rPr>
          <w:sz w:val="20"/>
          <w:szCs w:val="20"/>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 dealer solicits purchasers;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(which may include crosses) in which the broker dealer will attempt to sell the securities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 dealer as principal and resale by the broker dealer for its account;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 and/or secondary distributions;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through a specific bidding, auction or other process in privately negotiated transactions;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through broker dealers that agree with the Selling Stockholders to sell a specified number of such securities at a stipulated price per security;</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 of the shares of common stock by any Selling Stockholder to its employees, partners (including limited partners), members or stockholders;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delayed delivery requirements;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of 1933, as amended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43"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Selling Stockholders may also sell securities under Rule 144 or any other exemption from registration under the Securities Act, if available, rather than under this prospectus.</w:t>
      </w:r>
    </w:p>
    <w:p>
      <w:pPr>
        <w:spacing w:after="0" w:line="125" w:lineRule="exact"/>
        <w:rPr>
          <w:sz w:val="20"/>
          <w:szCs w:val="20"/>
          <w:color w:val="auto"/>
        </w:rPr>
      </w:pPr>
    </w:p>
    <w:p>
      <w:pPr>
        <w:ind w:left="1360" w:right="439"/>
        <w:spacing w:after="0" w:line="258" w:lineRule="auto"/>
        <w:rPr>
          <w:sz w:val="20"/>
          <w:szCs w:val="20"/>
          <w:color w:val="auto"/>
        </w:rPr>
      </w:pPr>
      <w:r>
        <w:rPr>
          <w:rFonts w:ascii="Times New Roman" w:cs="Times New Roman" w:eastAsia="Times New Roman" w:hAnsi="Times New Roman"/>
          <w:sz w:val="14"/>
          <w:szCs w:val="14"/>
          <w:color w:val="auto"/>
        </w:rPr>
        <w:t>Broker dealers engaged by the Selling Stockholders may arrange for other brokers dealers to participate in sales. Broker 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407"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44"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44" w:lineRule="exact"/>
        <w:rPr>
          <w:sz w:val="20"/>
          <w:szCs w:val="20"/>
          <w:color w:val="auto"/>
        </w:rPr>
      </w:pPr>
    </w:p>
    <w:p>
      <w:pPr>
        <w:ind w:left="1360" w:right="559"/>
        <w:spacing w:after="0" w:line="323" w:lineRule="auto"/>
        <w:rPr>
          <w:sz w:val="20"/>
          <w:szCs w:val="20"/>
          <w:color w:val="auto"/>
        </w:rPr>
      </w:pPr>
      <w:r>
        <w:rPr>
          <w:rFonts w:ascii="Times New Roman" w:cs="Times New Roman" w:eastAsia="Times New Roman" w:hAnsi="Times New Roman"/>
          <w:sz w:val="13"/>
          <w:szCs w:val="13"/>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02" w:lineRule="exact"/>
        <w:rPr>
          <w:sz w:val="20"/>
          <w:szCs w:val="20"/>
          <w:color w:val="auto"/>
        </w:rPr>
      </w:pPr>
    </w:p>
    <w:p>
      <w:pPr>
        <w:ind w:left="1360" w:right="419"/>
        <w:spacing w:after="0" w:line="256" w:lineRule="auto"/>
        <w:rPr>
          <w:sz w:val="20"/>
          <w:szCs w:val="20"/>
          <w:color w:val="auto"/>
        </w:rPr>
      </w:pPr>
      <w:r>
        <w:rPr>
          <w:rFonts w:ascii="Times New Roman" w:cs="Times New Roman" w:eastAsia="Times New Roman" w:hAnsi="Times New Roman"/>
          <w:sz w:val="14"/>
          <w:szCs w:val="14"/>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disposed of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44" w:lineRule="exact"/>
        <w:rPr>
          <w:sz w:val="20"/>
          <w:szCs w:val="20"/>
          <w:color w:val="auto"/>
        </w:rPr>
      </w:pPr>
    </w:p>
    <w:p>
      <w:pPr>
        <w:ind w:left="1360" w:right="319"/>
        <w:spacing w:after="0" w:line="255"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The Selling Stockholders may indemnify any broker-dealer that participates in transactions involving the sale of the shares against certain liabilities, including liabilities arising under the Securities Act.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407"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Faegre Drinker Biddle &amp; Reath, LLP.</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407"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Blaize, Inc. and Subsidiaries as of December 31, 2024 and 2023, and for each of the years in the two-year period ended December 31, 2024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407"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419"/>
        <w:spacing w:after="0" w:line="257"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4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We are subject to the information and periodic and current reporting requirements of the Exchange Act and, in accordance therewith,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are available at www.sec.gov.</w:t>
      </w:r>
    </w:p>
    <w:p>
      <w:pPr>
        <w:spacing w:after="0" w:line="14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 www.sec.gov. Those filings are also available to the public on, or accessible through, our website under the heading “Investors Relations” at www.blaize.com. The information on our web site, however, is not, and should not be deemed to be, a part of this prospectus.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407"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48"/>
        </w:trPr>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39"/>
        </w:trPr>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460" w:type="dxa"/>
            <w:vAlign w:val="bottom"/>
            <w:gridSpan w:val="9"/>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9"/>
              </w:rPr>
              <w:t>BLAIZE HOLDINGS, INC. FINANCIAL STATEMENTS</w:t>
            </w:r>
          </w:p>
        </w:tc>
        <w:tc>
          <w:tcPr>
            <w:tcW w:w="640" w:type="dxa"/>
            <w:vAlign w:val="bottom"/>
          </w:tcPr>
          <w:p>
            <w:pPr>
              <w:spacing w:after="0"/>
              <w:rPr>
                <w:sz w:val="20"/>
                <w:szCs w:val="20"/>
                <w:color w:val="auto"/>
              </w:rPr>
            </w:pPr>
          </w:p>
        </w:tc>
      </w:tr>
      <w:tr>
        <w:trPr>
          <w:trHeight w:val="252"/>
        </w:trPr>
        <w:tc>
          <w:tcPr>
            <w:tcW w:w="79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Unaudited Financial Statements of Blaize Holdings, Inc.:</w:t>
            </w:r>
          </w:p>
        </w:tc>
        <w:tc>
          <w:tcPr>
            <w:tcW w:w="640" w:type="dxa"/>
            <w:vAlign w:val="bottom"/>
          </w:tcPr>
          <w:p>
            <w:pPr>
              <w:spacing w:after="0"/>
              <w:rPr>
                <w:sz w:val="21"/>
                <w:szCs w:val="21"/>
                <w:color w:val="auto"/>
              </w:rPr>
            </w:pPr>
          </w:p>
        </w:tc>
      </w:tr>
      <w:tr>
        <w:trPr>
          <w:trHeight w:val="221"/>
        </w:trPr>
        <w:tc>
          <w:tcPr>
            <w:tcW w:w="5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9"/>
              </w:rPr>
              <w:t>Condensed Consolidated Balance Sheets as of September 30, 2025 and December 31, 2024 (unaudited)</w:t>
            </w:r>
          </w:p>
        </w:tc>
        <w:tc>
          <w:tcPr>
            <w:tcW w:w="2100" w:type="dxa"/>
            <w:vAlign w:val="bottom"/>
            <w:gridSpan w:val="4"/>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F-2</w:t>
            </w:r>
          </w:p>
        </w:tc>
      </w:tr>
      <w:tr>
        <w:trPr>
          <w:trHeight w:val="148"/>
        </w:trPr>
        <w:tc>
          <w:tcPr>
            <w:tcW w:w="790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Condensed Consolidated Statements of Operations for the Three and Nine Months Ended September 30, 2025 and 2024 (unaudited)</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F-3</w:t>
            </w:r>
          </w:p>
        </w:tc>
      </w:tr>
      <w:tr>
        <w:trPr>
          <w:trHeight w:val="20"/>
        </w:trPr>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8"/>
        </w:trPr>
        <w:tc>
          <w:tcPr>
            <w:tcW w:w="790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Condensed Consolidated Statements of Stockholders’ Equity (Deficit) for the Three and Nine Months ended September 30, 2025 and 2024</w:t>
            </w:r>
          </w:p>
        </w:tc>
        <w:tc>
          <w:tcPr>
            <w:tcW w:w="640" w:type="dxa"/>
            <w:vAlign w:val="bottom"/>
          </w:tcPr>
          <w:p>
            <w:pPr>
              <w:spacing w:after="0"/>
              <w:rPr>
                <w:sz w:val="12"/>
                <w:szCs w:val="12"/>
                <w:color w:val="auto"/>
              </w:rPr>
            </w:pPr>
          </w:p>
        </w:tc>
      </w:tr>
      <w:tr>
        <w:trPr>
          <w:trHeight w:val="148"/>
        </w:trPr>
        <w:tc>
          <w:tcPr>
            <w:tcW w:w="140" w:type="dxa"/>
            <w:vAlign w:val="bottom"/>
            <w:tcBorders>
              <w:top w:val="single" w:sz="8" w:color="0000EE"/>
            </w:tcBorders>
          </w:tcPr>
          <w:p>
            <w:pPr>
              <w:spacing w:after="0"/>
              <w:rPr>
                <w:sz w:val="12"/>
                <w:szCs w:val="12"/>
                <w:color w:val="auto"/>
              </w:rPr>
            </w:pPr>
          </w:p>
        </w:tc>
        <w:tc>
          <w:tcPr>
            <w:tcW w:w="7640" w:type="dxa"/>
            <w:vAlign w:val="bottom"/>
            <w:tcBorders>
              <w:top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rPr>
              <w:t>(unaudited)</w:t>
            </w: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w:t>
            </w: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8"/>
        </w:trPr>
        <w:tc>
          <w:tcPr>
            <w:tcW w:w="790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Condensed Consolidated Statements of Cash Flows for the Nine Months Ended September 30, 2025 and 2024 (unaudited)</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F-7</w:t>
            </w:r>
          </w:p>
        </w:tc>
      </w:tr>
      <w:tr>
        <w:trPr>
          <w:trHeight w:val="148"/>
        </w:trPr>
        <w:tc>
          <w:tcPr>
            <w:tcW w:w="4000" w:type="dxa"/>
            <w:vAlign w:val="bottom"/>
            <w:tcBorders>
              <w:top w:val="single" w:sz="8" w:color="0000EE"/>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9"/>
              </w:rPr>
              <w:t>Notes to the Condensed Consolidated Financial Statements (unaudited)</w:t>
            </w:r>
          </w:p>
        </w:tc>
        <w:tc>
          <w:tcPr>
            <w:tcW w:w="2840" w:type="dxa"/>
            <w:vAlign w:val="bottom"/>
            <w:tcBorders>
              <w:top w:val="single" w:sz="8" w:color="0000EE"/>
            </w:tcBorders>
            <w:gridSpan w:val="3"/>
          </w:tcPr>
          <w:p>
            <w:pPr>
              <w:spacing w:after="0"/>
              <w:rPr>
                <w:sz w:val="12"/>
                <w:szCs w:val="12"/>
                <w:color w:val="auto"/>
              </w:rPr>
            </w:pPr>
          </w:p>
        </w:tc>
        <w:tc>
          <w:tcPr>
            <w:tcW w:w="1060" w:type="dxa"/>
            <w:vAlign w:val="bottom"/>
            <w:gridSpan w:val="3"/>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F-8</w:t>
            </w:r>
          </w:p>
        </w:tc>
      </w:tr>
      <w:tr>
        <w:trPr>
          <w:trHeight w:val="348"/>
        </w:trPr>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60" w:type="dxa"/>
            <w:vAlign w:val="bottom"/>
            <w:gridSpan w:val="9"/>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8"/>
              </w:rPr>
              <w:t>BLAIZE, INC. FINANCIAL STATEMENTS</w:t>
            </w:r>
          </w:p>
        </w:tc>
        <w:tc>
          <w:tcPr>
            <w:tcW w:w="640" w:type="dxa"/>
            <w:vAlign w:val="bottom"/>
          </w:tcPr>
          <w:p>
            <w:pPr>
              <w:spacing w:after="0"/>
              <w:rPr>
                <w:sz w:val="24"/>
                <w:szCs w:val="24"/>
                <w:color w:val="auto"/>
              </w:rPr>
            </w:pPr>
          </w:p>
        </w:tc>
      </w:tr>
      <w:tr>
        <w:trPr>
          <w:trHeight w:val="252"/>
        </w:trPr>
        <w:tc>
          <w:tcPr>
            <w:tcW w:w="79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Audited Financial Statements of Blaize, Inc. and Subsidiaries:</w:t>
            </w:r>
          </w:p>
        </w:tc>
        <w:tc>
          <w:tcPr>
            <w:tcW w:w="640" w:type="dxa"/>
            <w:vAlign w:val="bottom"/>
          </w:tcPr>
          <w:p>
            <w:pPr>
              <w:spacing w:after="0"/>
              <w:rPr>
                <w:sz w:val="21"/>
                <w:szCs w:val="21"/>
                <w:color w:val="auto"/>
              </w:rPr>
            </w:pPr>
          </w:p>
        </w:tc>
      </w:tr>
      <w:tr>
        <w:trPr>
          <w:trHeight w:val="221"/>
        </w:trPr>
        <w:tc>
          <w:tcPr>
            <w:tcW w:w="32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9"/>
              </w:rPr>
              <w:t>Report of Independent Registered Public Accounting Firm</w:t>
            </w:r>
          </w:p>
        </w:tc>
        <w:tc>
          <w:tcPr>
            <w:tcW w:w="4620" w:type="dxa"/>
            <w:vAlign w:val="bottom"/>
            <w:gridSpan w:val="8"/>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F-42</w:t>
            </w:r>
          </w:p>
        </w:tc>
      </w:tr>
      <w:tr>
        <w:trPr>
          <w:trHeight w:val="148"/>
        </w:trPr>
        <w:tc>
          <w:tcPr>
            <w:tcW w:w="790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Consolidated Balance Sheets as of December 31, 2024, and 2023</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F-43</w:t>
            </w: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8"/>
        </w:trPr>
        <w:tc>
          <w:tcPr>
            <w:tcW w:w="504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9"/>
              </w:rPr>
              <w:t>Consolidated Statements of Operations for the Years ended December 31, 2024, and 2023</w:t>
            </w:r>
          </w:p>
        </w:tc>
        <w:tc>
          <w:tcPr>
            <w:tcW w:w="2860" w:type="dxa"/>
            <w:vAlign w:val="bottom"/>
            <w:gridSpan w:val="5"/>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F-44</w:t>
            </w:r>
          </w:p>
        </w:tc>
      </w:tr>
      <w:tr>
        <w:trPr>
          <w:trHeight w:val="148"/>
        </w:trPr>
        <w:tc>
          <w:tcPr>
            <w:tcW w:w="7900" w:type="dxa"/>
            <w:vAlign w:val="bottom"/>
            <w:tcBorders>
              <w:bottom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w w:val="99"/>
              </w:rPr>
              <w:t>Consolidated Statements of Redeemable Convertible Preferred Stock and Stockholders’ Deficit for the Years Ended December 31, 2024, and</w:t>
            </w:r>
          </w:p>
        </w:tc>
        <w:tc>
          <w:tcPr>
            <w:tcW w:w="640" w:type="dxa"/>
            <w:vAlign w:val="bottom"/>
          </w:tcPr>
          <w:p>
            <w:pPr>
              <w:spacing w:after="0"/>
              <w:rPr>
                <w:sz w:val="12"/>
                <w:szCs w:val="12"/>
                <w:color w:val="auto"/>
              </w:rPr>
            </w:pPr>
          </w:p>
        </w:tc>
      </w:tr>
      <w:tr>
        <w:trPr>
          <w:trHeight w:val="148"/>
        </w:trPr>
        <w:tc>
          <w:tcPr>
            <w:tcW w:w="420" w:type="dxa"/>
            <w:vAlign w:val="bottom"/>
            <w:gridSpan w:val="2"/>
          </w:tcPr>
          <w:p>
            <w:pPr>
              <w:ind w:left="140"/>
              <w:spacing w:after="0" w:line="148" w:lineRule="exact"/>
              <w:rPr>
                <w:sz w:val="20"/>
                <w:szCs w:val="20"/>
                <w:color w:val="auto"/>
              </w:rPr>
            </w:pPr>
            <w:r>
              <w:rPr>
                <w:rFonts w:ascii="Times New Roman" w:cs="Times New Roman" w:eastAsia="Times New Roman" w:hAnsi="Times New Roman"/>
                <w:sz w:val="14"/>
                <w:szCs w:val="14"/>
                <w:color w:val="0000EE"/>
                <w:w w:val="92"/>
              </w:rPr>
              <w:t>2023</w:t>
            </w: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F-45</w:t>
            </w:r>
          </w:p>
        </w:tc>
      </w:tr>
      <w:tr>
        <w:trPr>
          <w:trHeight w:val="20"/>
        </w:trPr>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48"/>
        </w:trPr>
        <w:tc>
          <w:tcPr>
            <w:tcW w:w="504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9"/>
              </w:rPr>
              <w:t>Consolidated Statements of Cash Flows for the Years ended December 31, 2024 and 2023</w:t>
            </w:r>
          </w:p>
        </w:tc>
        <w:tc>
          <w:tcPr>
            <w:tcW w:w="2860" w:type="dxa"/>
            <w:vAlign w:val="bottom"/>
            <w:gridSpan w:val="5"/>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F-46</w:t>
            </w:r>
          </w:p>
        </w:tc>
      </w:tr>
      <w:tr>
        <w:trPr>
          <w:trHeight w:val="148"/>
        </w:trPr>
        <w:tc>
          <w:tcPr>
            <w:tcW w:w="7900" w:type="dxa"/>
            <w:vAlign w:val="bottom"/>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F-47</w:t>
            </w:r>
          </w:p>
        </w:tc>
      </w:tr>
      <w:tr>
        <w:trPr>
          <w:trHeight w:val="295"/>
        </w:trPr>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F-1</w:t>
            </w:r>
          </w:p>
        </w:tc>
        <w:tc>
          <w:tcPr>
            <w:tcW w:w="640" w:type="dxa"/>
            <w:vAlign w:val="bottom"/>
          </w:tcPr>
          <w:p>
            <w:pPr>
              <w:spacing w:after="0"/>
              <w:rPr>
                <w:sz w:val="24"/>
                <w:szCs w:val="24"/>
                <w:color w:val="auto"/>
              </w:rPr>
            </w:pPr>
          </w:p>
        </w:tc>
      </w:tr>
    </w:tbl>
    <w:p>
      <w:pPr>
        <w:sectPr>
          <w:pgSz w:w="11900" w:h="16838" w:orient="portrait"/>
          <w:cols w:equalWidth="0" w:num="1">
            <w:col w:w="10159"/>
          </w:cols>
          <w:pgMar w:left="300" w:top="407"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6"/>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 and per share amounts)</w:t>
            </w:r>
          </w:p>
        </w:tc>
        <w:tc>
          <w:tcPr>
            <w:tcW w:w="940" w:type="dxa"/>
            <w:vAlign w:val="bottom"/>
            <w:gridSpan w:val="4"/>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960" w:type="dxa"/>
            <w:vAlign w:val="bottom"/>
            <w:gridSpan w:val="4"/>
          </w:tcPr>
          <w:p>
            <w:pPr>
              <w:ind w:left="22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66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24,001</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related party, net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60,904</w:t>
            </w: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80,516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15,112</w:t>
            </w:r>
          </w:p>
        </w:tc>
        <w:tc>
          <w:tcPr>
            <w:tcW w:w="260" w:type="dxa"/>
            <w:vAlign w:val="bottom"/>
          </w:tcPr>
          <w:p>
            <w:pPr>
              <w:spacing w:after="0"/>
              <w:rPr>
                <w:sz w:val="14"/>
                <w:szCs w:val="1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10,537</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 related party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loss on purchase commitments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payable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Working capital loan - related party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Advances from related party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36,797</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earnout shares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20,561</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59,598</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190,979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stock - $0.0001 par value; 600,000,000 and 136,562,809 shares authorized as of September 30, 2025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December 31, 2024, respectively, and 106,754,588 and 48,376,052 shares issued and outstanding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634,154</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(632,859)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(429,251)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 (deficit)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1,306</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(110,463)</w:t>
            </w:r>
          </w:p>
        </w:tc>
        <w:tc>
          <w:tcPr>
            <w:tcW w:w="0" w:type="dxa"/>
            <w:vAlign w:val="bottom"/>
          </w:tcPr>
          <w:p>
            <w:pPr>
              <w:spacing w:after="0"/>
              <w:rPr>
                <w:sz w:val="1"/>
                <w:szCs w:val="1"/>
                <w:color w:val="auto"/>
              </w:rPr>
            </w:pPr>
          </w:p>
        </w:tc>
      </w:tr>
      <w:tr>
        <w:trPr>
          <w:trHeight w:val="169"/>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 (deficit)</w:t>
            </w: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60,904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80,516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F-2</w:t>
      </w:r>
    </w:p>
    <w:p>
      <w:pPr>
        <w:sectPr>
          <w:pgSz w:w="11900" w:h="16838" w:orient="portrait"/>
          <w:cols w:equalWidth="0" w:num="1">
            <w:col w:w="10159"/>
          </w:cols>
          <w:pgMar w:left="300" w:top="407"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6"/>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shares and per share amounts)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6"/>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37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ind w:right="21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1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21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190"/>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Revenue</w:t>
            </w: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Hardware revenue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2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220" w:type="dxa"/>
            <w:vAlign w:val="bottom"/>
          </w:tcPr>
          <w:p>
            <w:pPr>
              <w:spacing w:after="0"/>
              <w:rPr>
                <w:sz w:val="14"/>
                <w:szCs w:val="14"/>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revenue</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Hardware revenue - related party</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revenue - related party</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Engineering services revenue - related party</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6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3,634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 related party</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5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(22,585)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(11,368)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(82,489)</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financing charge on convertible notes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Gain (loss) on foreign exchange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(15,398)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(165,703)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(60,345)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other earnout shares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(3,798)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unissued shares of common 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committed equity facility</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 net</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(3,652)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(14,184)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(120,897)</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(23,515)</w:t>
            </w: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5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(54,155)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5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(26,258)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(25,607</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(203,608</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(54,503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7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Net loss per share - basic and diluted</w:t>
            </w:r>
          </w:p>
        </w:tc>
        <w:tc>
          <w:tcPr>
            <w:tcW w:w="62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line="150" w:lineRule="exact"/>
              <w:rPr>
                <w:sz w:val="20"/>
                <w:szCs w:val="20"/>
                <w:color w:val="auto"/>
              </w:rPr>
            </w:pPr>
            <w:r>
              <w:rPr>
                <w:rFonts w:ascii="Times New Roman" w:cs="Times New Roman" w:eastAsia="Times New Roman" w:hAnsi="Times New Roman"/>
                <w:sz w:val="14"/>
                <w:szCs w:val="14"/>
                <w:color w:val="auto"/>
              </w:rPr>
              <w:t>(0.25)</w:t>
            </w:r>
          </w:p>
        </w:tc>
        <w:tc>
          <w:tcPr>
            <w:tcW w:w="2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50" w:lineRule="exact"/>
              <w:rPr>
                <w:sz w:val="20"/>
                <w:szCs w:val="20"/>
                <w:color w:val="auto"/>
              </w:rPr>
            </w:pPr>
            <w:r>
              <w:rPr>
                <w:rFonts w:ascii="Times New Roman" w:cs="Times New Roman" w:eastAsia="Times New Roman" w:hAnsi="Times New Roman"/>
                <w:sz w:val="14"/>
                <w:szCs w:val="14"/>
                <w:color w:val="auto"/>
              </w:rPr>
              <w:t>(1.47)</w:t>
            </w:r>
          </w:p>
        </w:tc>
        <w:tc>
          <w:tcPr>
            <w:tcW w:w="2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line="150" w:lineRule="exact"/>
              <w:rPr>
                <w:sz w:val="20"/>
                <w:szCs w:val="20"/>
                <w:color w:val="auto"/>
              </w:rPr>
            </w:pPr>
            <w:r>
              <w:rPr>
                <w:rFonts w:ascii="Times New Roman" w:cs="Times New Roman" w:eastAsia="Times New Roman" w:hAnsi="Times New Roman"/>
                <w:sz w:val="14"/>
                <w:szCs w:val="14"/>
                <w:color w:val="auto"/>
              </w:rPr>
              <w:t>(2.03)</w:t>
            </w:r>
          </w:p>
        </w:tc>
        <w:tc>
          <w:tcPr>
            <w:tcW w:w="420" w:type="dxa"/>
            <w:vAlign w:val="bottom"/>
            <w:gridSpan w:val="2"/>
            <w:shd w:val="clear" w:color="auto" w:fill="CCEEFF"/>
          </w:tcPr>
          <w:p>
            <w:pPr>
              <w:jc w:val="right"/>
              <w:ind w:right="90"/>
              <w:spacing w:after="0" w:line="150"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7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9"/>
              </w:rPr>
              <w:t>103,585,681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5"/>
              </w:rPr>
              <w:t>17,478,371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w w:val="97"/>
              </w:rPr>
              <w:t>100,130,737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line="150" w:lineRule="exact"/>
              <w:rPr>
                <w:sz w:val="20"/>
                <w:szCs w:val="20"/>
                <w:color w:val="auto"/>
              </w:rPr>
            </w:pPr>
            <w:r>
              <w:rPr>
                <w:rFonts w:ascii="Times New Roman" w:cs="Times New Roman" w:eastAsia="Times New Roman" w:hAnsi="Times New Roman"/>
                <w:sz w:val="14"/>
                <w:szCs w:val="14"/>
                <w:color w:val="auto"/>
              </w:rPr>
              <w:t>17,466,606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F-3</w:t>
      </w:r>
    </w:p>
    <w:p>
      <w:pPr>
        <w:sectPr>
          <w:pgSz w:w="11900" w:h="16838" w:orient="portrait"/>
          <w:cols w:equalWidth="0" w:num="1">
            <w:col w:w="10159"/>
          </w:cols>
          <w:pgMar w:left="300" w:top="407"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 (DEFICIT)</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 AND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71"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4"/>
          </w:tcPr>
          <w:p>
            <w:pPr>
              <w:jc w:val="center"/>
              <w:ind w:left="166"/>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Stockholders’ Equity (Deficit)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80" w:type="dxa"/>
            <w:vAlign w:val="bottom"/>
            <w:gridSpan w:val="6"/>
          </w:tcPr>
          <w:p>
            <w:pPr>
              <w:jc w:val="center"/>
              <w:ind w:right="160"/>
              <w:spacing w:after="0" w:line="110" w:lineRule="exact"/>
              <w:rPr>
                <w:sz w:val="20"/>
                <w:szCs w:val="20"/>
                <w:color w:val="auto"/>
              </w:rPr>
            </w:pPr>
            <w:r>
              <w:rPr>
                <w:rFonts w:ascii="Times New Roman" w:cs="Times New Roman" w:eastAsia="Times New Roman" w:hAnsi="Times New Roman"/>
                <w:sz w:val="10"/>
                <w:szCs w:val="10"/>
                <w:b w:val="1"/>
                <w:bCs w:val="1"/>
                <w:color w:val="auto"/>
                <w:w w:val="95"/>
              </w:rPr>
              <w:t>Redeemable</w:t>
            </w:r>
          </w:p>
        </w:tc>
        <w:tc>
          <w:tcPr>
            <w:tcW w:w="860" w:type="dxa"/>
            <w:vAlign w:val="bottom"/>
            <w:gridSpan w:val="4"/>
          </w:tcPr>
          <w:p>
            <w:pPr>
              <w:jc w:val="center"/>
              <w:ind w:left="166"/>
              <w:spacing w:after="0" w:line="110" w:lineRule="exact"/>
              <w:rPr>
                <w:sz w:val="20"/>
                <w:szCs w:val="20"/>
                <w:color w:val="auto"/>
              </w:rPr>
            </w:pPr>
            <w:r>
              <w:rPr>
                <w:rFonts w:ascii="Times New Roman" w:cs="Times New Roman" w:eastAsia="Times New Roman" w:hAnsi="Times New Roman"/>
                <w:sz w:val="10"/>
                <w:szCs w:val="10"/>
                <w:b w:val="1"/>
                <w:bCs w:val="1"/>
                <w:color w:val="auto"/>
                <w:w w:val="99"/>
              </w:rPr>
              <w:t>Subject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8"/>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380" w:type="dxa"/>
            <w:vAlign w:val="bottom"/>
            <w:gridSpan w:val="6"/>
          </w:tcPr>
          <w:p>
            <w:pPr>
              <w:jc w:val="center"/>
              <w:ind w:right="160"/>
              <w:spacing w:after="0" w:line="81" w:lineRule="exact"/>
              <w:rPr>
                <w:sz w:val="20"/>
                <w:szCs w:val="20"/>
                <w:color w:val="auto"/>
              </w:rPr>
            </w:pPr>
            <w:r>
              <w:rPr>
                <w:rFonts w:ascii="Times New Roman" w:cs="Times New Roman" w:eastAsia="Times New Roman" w:hAnsi="Times New Roman"/>
                <w:sz w:val="9"/>
                <w:szCs w:val="9"/>
                <w:b w:val="1"/>
                <w:bCs w:val="1"/>
                <w:color w:val="auto"/>
              </w:rPr>
              <w:t>Convertible</w:t>
            </w:r>
          </w:p>
        </w:tc>
        <w:tc>
          <w:tcPr>
            <w:tcW w:w="860" w:type="dxa"/>
            <w:vAlign w:val="bottom"/>
            <w:gridSpan w:val="4"/>
          </w:tcPr>
          <w:p>
            <w:pPr>
              <w:jc w:val="center"/>
              <w:ind w:left="166"/>
              <w:spacing w:after="0" w:line="81" w:lineRule="exact"/>
              <w:rPr>
                <w:sz w:val="20"/>
                <w:szCs w:val="20"/>
                <w:color w:val="auto"/>
              </w:rPr>
            </w:pPr>
            <w:r>
              <w:rPr>
                <w:rFonts w:ascii="Times New Roman" w:cs="Times New Roman" w:eastAsia="Times New Roman" w:hAnsi="Times New Roman"/>
                <w:sz w:val="9"/>
                <w:szCs w:val="9"/>
                <w:b w:val="1"/>
                <w:bCs w:val="1"/>
                <w:color w:val="auto"/>
              </w:rPr>
              <w:t>to Possible</w:t>
            </w: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center"/>
              <w:ind w:right="25"/>
              <w:spacing w:after="0" w:line="81" w:lineRule="exact"/>
              <w:rPr>
                <w:sz w:val="20"/>
                <w:szCs w:val="20"/>
                <w:color w:val="auto"/>
              </w:rPr>
            </w:pPr>
            <w:r>
              <w:rPr>
                <w:rFonts w:ascii="Times New Roman" w:cs="Times New Roman" w:eastAsia="Times New Roman" w:hAnsi="Times New Roman"/>
                <w:sz w:val="9"/>
                <w:szCs w:val="9"/>
                <w:b w:val="1"/>
                <w:bCs w:val="1"/>
                <w:color w:val="auto"/>
              </w:rPr>
              <w:t>Total</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80" w:type="dxa"/>
            <w:vAlign w:val="bottom"/>
            <w:gridSpan w:val="6"/>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860" w:type="dxa"/>
            <w:vAlign w:val="bottom"/>
            <w:gridSpan w:val="4"/>
          </w:tcPr>
          <w:p>
            <w:pPr>
              <w:jc w:val="center"/>
              <w:ind w:left="166"/>
              <w:spacing w:after="0" w:line="105" w:lineRule="exact"/>
              <w:rPr>
                <w:sz w:val="20"/>
                <w:szCs w:val="20"/>
                <w:color w:val="auto"/>
              </w:rPr>
            </w:pPr>
            <w:r>
              <w:rPr>
                <w:rFonts w:ascii="Times New Roman" w:cs="Times New Roman" w:eastAsia="Times New Roman" w:hAnsi="Times New Roman"/>
                <w:sz w:val="10"/>
                <w:szCs w:val="10"/>
                <w:b w:val="1"/>
                <w:bCs w:val="1"/>
                <w:color w:val="auto"/>
                <w:w w:val="99"/>
              </w:rPr>
              <w:t>Redemption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3"/>
          </w:tcPr>
          <w:p>
            <w:pPr>
              <w:ind w:left="200"/>
              <w:spacing w:after="0" w:line="105"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5"/>
          </w:tcPr>
          <w:p>
            <w:pPr>
              <w:ind w:left="120"/>
              <w:spacing w:after="0" w:line="105" w:lineRule="exact"/>
              <w:rPr>
                <w:sz w:val="20"/>
                <w:szCs w:val="20"/>
                <w:color w:val="auto"/>
              </w:rPr>
            </w:pPr>
            <w:r>
              <w:rPr>
                <w:rFonts w:ascii="Times New Roman" w:cs="Times New Roman" w:eastAsia="Times New Roman" w:hAnsi="Times New Roman"/>
                <w:sz w:val="10"/>
                <w:szCs w:val="10"/>
                <w:b w:val="1"/>
                <w:bCs w:val="1"/>
                <w:color w:val="auto"/>
              </w:rPr>
              <w:t>Treasury Stock</w:t>
            </w:r>
          </w:p>
        </w:tc>
        <w:tc>
          <w:tcPr>
            <w:tcW w:w="120" w:type="dxa"/>
            <w:vAlign w:val="bottom"/>
          </w:tcPr>
          <w:p>
            <w:pPr>
              <w:spacing w:after="0"/>
              <w:rPr>
                <w:sz w:val="9"/>
                <w:szCs w:val="9"/>
                <w:color w:val="auto"/>
              </w:rPr>
            </w:pPr>
          </w:p>
        </w:tc>
        <w:tc>
          <w:tcPr>
            <w:tcW w:w="56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6"/>
              </w:rPr>
              <w:t>Additional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4"/>
          </w:tcPr>
          <w:p>
            <w:pPr>
              <w:jc w:val="center"/>
              <w:ind w:right="20"/>
              <w:spacing w:after="0" w:line="105"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79"/>
        </w:trPr>
        <w:tc>
          <w:tcPr>
            <w:tcW w:w="1780" w:type="dxa"/>
            <w:vAlign w:val="bottom"/>
            <w:gridSpan w:val="2"/>
          </w:tcPr>
          <w:p>
            <w:pPr>
              <w:spacing w:after="0" w:line="79" w:lineRule="exact"/>
              <w:rPr>
                <w:sz w:val="20"/>
                <w:szCs w:val="20"/>
                <w:color w:val="auto"/>
              </w:rPr>
            </w:pPr>
            <w:r>
              <w:rPr>
                <w:rFonts w:ascii="Times New Roman" w:cs="Times New Roman" w:eastAsia="Times New Roman" w:hAnsi="Times New Roman"/>
                <w:sz w:val="9"/>
                <w:szCs w:val="9"/>
                <w:i w:val="1"/>
                <w:iCs w:val="1"/>
                <w:color w:val="auto"/>
              </w:rPr>
              <w:t>(Amounts in thousands,</w:t>
            </w: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tcPr>
          <w:p>
            <w:pPr>
              <w:jc w:val="right"/>
              <w:ind w:right="180"/>
              <w:spacing w:after="0" w:line="79" w:lineRule="exact"/>
              <w:rPr>
                <w:sz w:val="20"/>
                <w:szCs w:val="20"/>
                <w:color w:val="auto"/>
              </w:rPr>
            </w:pPr>
            <w:r>
              <w:rPr>
                <w:rFonts w:ascii="Times New Roman" w:cs="Times New Roman" w:eastAsia="Times New Roman" w:hAnsi="Times New Roman"/>
                <w:sz w:val="9"/>
                <w:szCs w:val="9"/>
                <w:b w:val="1"/>
                <w:bCs w:val="1"/>
                <w:color w:val="auto"/>
              </w:rPr>
              <w:t>Paid-in</w:t>
            </w:r>
          </w:p>
        </w:tc>
        <w:tc>
          <w:tcPr>
            <w:tcW w:w="720" w:type="dxa"/>
            <w:vAlign w:val="bottom"/>
            <w:gridSpan w:val="4"/>
          </w:tcPr>
          <w:p>
            <w:pPr>
              <w:ind w:left="60"/>
              <w:spacing w:after="0" w:line="79"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9" w:lineRule="exact"/>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20"/>
        </w:trPr>
        <w:tc>
          <w:tcPr>
            <w:tcW w:w="178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except shares)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60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2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2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(Deficit)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7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34,712,525</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173,347</w:t>
            </w:r>
          </w:p>
        </w:tc>
        <w:tc>
          <w:tcPr>
            <w:tcW w:w="1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220" w:type="dxa"/>
            <w:vAlign w:val="bottom"/>
            <w:tcBorders>
              <w:top w:val="single" w:sz="8" w:color="auto"/>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13,663,527</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96,887</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$ 145,441</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460" w:type="dxa"/>
            <w:vAlign w:val="bottom"/>
            <w:tcBorders>
              <w:top w:val="single" w:sz="8" w:color="auto"/>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88"/>
              </w:rPr>
              <w:t>(429,251)</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(283,810)</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7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Retroactive application of</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(34,712,525)</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w w:val="97"/>
              </w:rPr>
              <w:t>(173,347)</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34,712,525</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(96,887)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173,342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173,347</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recapitalization</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continue"/>
          </w:tcPr>
          <w:p>
            <w:pPr>
              <w:spacing w:after="0"/>
              <w:rPr>
                <w:sz w:val="8"/>
                <w:szCs w:val="8"/>
                <w:color w:val="auto"/>
              </w:rPr>
            </w:pPr>
          </w:p>
        </w:tc>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Adjusted balance - beginning of</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60" w:type="dxa"/>
            <w:vAlign w:val="bottom"/>
            <w:vMerge w:val="restart"/>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vMerge w:val="restart"/>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48,376,052</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vMerge w:val="restart"/>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318,783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(429,251)</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(110,463)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period</w:t>
            </w:r>
          </w:p>
        </w:tc>
        <w:tc>
          <w:tcPr>
            <w:tcW w:w="5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Conversion of convertible notes</w:t>
            </w:r>
          </w:p>
        </w:tc>
        <w:tc>
          <w:tcPr>
            <w:tcW w:w="6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31,433,259</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tcPr>
          <w:p>
            <w:pPr>
              <w:spacing w:after="0"/>
              <w:rPr>
                <w:sz w:val="10"/>
                <w:szCs w:val="10"/>
                <w:color w:val="auto"/>
              </w:rPr>
            </w:pPr>
          </w:p>
        </w:tc>
        <w:tc>
          <w:tcPr>
            <w:tcW w:w="4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314,331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314,334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Net exercise of warrants</w:t>
            </w:r>
          </w:p>
        </w:tc>
        <w:tc>
          <w:tcPr>
            <w:tcW w:w="6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7,505,657</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75,056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75,057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Merger and PIPE financing</w:t>
            </w:r>
          </w:p>
        </w:tc>
        <w:tc>
          <w:tcPr>
            <w:tcW w:w="6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2,854,242</w:t>
            </w:r>
          </w:p>
        </w:tc>
        <w:tc>
          <w:tcPr>
            <w:tcW w:w="100" w:type="dxa"/>
            <w:vAlign w:val="bottom"/>
          </w:tcPr>
          <w:p>
            <w:pPr>
              <w:spacing w:after="0"/>
              <w:rPr>
                <w:sz w:val="10"/>
                <w:szCs w:val="10"/>
                <w:color w:val="auto"/>
              </w:rPr>
            </w:pPr>
          </w:p>
        </w:tc>
        <w:tc>
          <w:tcPr>
            <w:tcW w:w="46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33,061</w:t>
            </w:r>
          </w:p>
        </w:tc>
        <w:tc>
          <w:tcPr>
            <w:tcW w:w="16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11,408,957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0"/>
                <w:szCs w:val="10"/>
                <w:color w:val="auto"/>
              </w:rPr>
            </w:pPr>
          </w:p>
        </w:tc>
        <w:tc>
          <w:tcPr>
            <w:tcW w:w="4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80" w:type="dxa"/>
            <w:vAlign w:val="bottom"/>
            <w:gridSpan w:val="3"/>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(126,165)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(126,164)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Payment of shareholder note</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receivable</w:t>
            </w: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7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Issuance of common stock to</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873,486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2,538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advisors</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Issuance of common stock warrants</w:t>
            </w:r>
          </w:p>
        </w:tc>
        <w:tc>
          <w:tcPr>
            <w:tcW w:w="6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Increase in redemption value</w:t>
            </w:r>
          </w:p>
        </w:tc>
        <w:tc>
          <w:tcPr>
            <w:tcW w:w="6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603</w:t>
            </w:r>
          </w:p>
        </w:tc>
        <w:tc>
          <w:tcPr>
            <w:tcW w:w="16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Redemption of common stock subject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(2,800,489)</w:t>
            </w:r>
          </w:p>
        </w:tc>
        <w:tc>
          <w:tcPr>
            <w:tcW w:w="62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(33,157)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 possible redemption</w:t>
            </w: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20" w:type="dxa"/>
            <w:vAlign w:val="bottom"/>
            <w:gridSpan w:val="4"/>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Lapse of redemption</w:t>
            </w:r>
          </w:p>
        </w:tc>
        <w:tc>
          <w:tcPr>
            <w:tcW w:w="6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(53,753)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(507)</w:t>
            </w: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53,753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503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Exercises of stock options</w:t>
            </w:r>
          </w:p>
        </w:tc>
        <w:tc>
          <w:tcPr>
            <w:tcW w:w="6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15,080</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Releases of restricted stock units</w:t>
            </w:r>
          </w:p>
        </w:tc>
        <w:tc>
          <w:tcPr>
            <w:tcW w:w="6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1,331,257</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7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Common stock issued under the</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5,673,734</w:t>
            </w: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committed equity facility</w:t>
            </w: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76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Committed equity facility fee settled</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83,353</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 common stock</w:t>
            </w: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Stock-based compensation</w:t>
            </w:r>
          </w:p>
        </w:tc>
        <w:tc>
          <w:tcPr>
            <w:tcW w:w="6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2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28,092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28,092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6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6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60"/>
              <w:spacing w:after="0" w:line="116" w:lineRule="exact"/>
              <w:rPr>
                <w:sz w:val="20"/>
                <w:szCs w:val="20"/>
                <w:color w:val="auto"/>
              </w:rPr>
            </w:pPr>
            <w:r>
              <w:rPr>
                <w:rFonts w:ascii="Times New Roman" w:cs="Times New Roman" w:eastAsia="Times New Roman" w:hAnsi="Times New Roman"/>
                <w:sz w:val="11"/>
                <w:szCs w:val="11"/>
                <w:color w:val="auto"/>
              </w:rPr>
              <w:t>(203,608)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(203,608)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17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as of September 30, 2025</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62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gridSpan w:val="2"/>
            <w:shd w:val="clear" w:color="auto" w:fill="CCEEFF"/>
          </w:tcPr>
          <w:p>
            <w:pPr>
              <w:jc w:val="right"/>
              <w:ind w:right="104"/>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106,754,588</w:t>
            </w:r>
          </w:p>
        </w:tc>
        <w:tc>
          <w:tcPr>
            <w:tcW w:w="28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11</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60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$ 634,154</w:t>
            </w:r>
          </w:p>
        </w:tc>
        <w:tc>
          <w:tcPr>
            <w:tcW w:w="8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8"/>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(632,859)</w:t>
            </w:r>
          </w:p>
        </w:tc>
        <w:tc>
          <w:tcPr>
            <w:tcW w:w="14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1,306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F-4</w:t>
      </w:r>
    </w:p>
    <w:p>
      <w:pPr>
        <w:sectPr>
          <w:pgSz w:w="11900" w:h="16838" w:orient="portrait"/>
          <w:cols w:equalWidth="0" w:num="1">
            <w:col w:w="10159"/>
          </w:cols>
          <w:pgMar w:left="300" w:top="407"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Common Stock</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5"/>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98"/>
              </w:rPr>
              <w:t>Stockholders’ 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300" w:type="dxa"/>
            <w:vAlign w:val="bottom"/>
            <w:gridSpan w:val="6"/>
          </w:tcPr>
          <w:p>
            <w:pPr>
              <w:jc w:val="center"/>
              <w:ind w:right="100"/>
              <w:spacing w:after="0" w:line="110" w:lineRule="exact"/>
              <w:rPr>
                <w:sz w:val="20"/>
                <w:szCs w:val="20"/>
                <w:color w:val="auto"/>
              </w:rPr>
            </w:pPr>
            <w:r>
              <w:rPr>
                <w:rFonts w:ascii="Times New Roman" w:cs="Times New Roman" w:eastAsia="Times New Roman" w:hAnsi="Times New Roman"/>
                <w:sz w:val="10"/>
                <w:szCs w:val="10"/>
                <w:b w:val="1"/>
                <w:bCs w:val="1"/>
                <w:color w:val="auto"/>
                <w:w w:val="99"/>
              </w:rPr>
              <w:t>Redeemable</w:t>
            </w:r>
          </w:p>
        </w:tc>
        <w:tc>
          <w:tcPr>
            <w:tcW w:w="60" w:type="dxa"/>
            <w:vAlign w:val="bottom"/>
          </w:tcPr>
          <w:p>
            <w:pPr>
              <w:spacing w:after="0"/>
              <w:rPr>
                <w:sz w:val="9"/>
                <w:szCs w:val="9"/>
                <w:color w:val="auto"/>
              </w:rPr>
            </w:pPr>
          </w:p>
        </w:tc>
        <w:tc>
          <w:tcPr>
            <w:tcW w:w="760" w:type="dxa"/>
            <w:vAlign w:val="bottom"/>
            <w:gridSpan w:val="4"/>
          </w:tcPr>
          <w:p>
            <w:pPr>
              <w:jc w:val="center"/>
              <w:spacing w:after="0" w:line="110" w:lineRule="exact"/>
              <w:rPr>
                <w:sz w:val="20"/>
                <w:szCs w:val="20"/>
                <w:color w:val="auto"/>
              </w:rPr>
            </w:pPr>
            <w:r>
              <w:rPr>
                <w:rFonts w:ascii="Times New Roman" w:cs="Times New Roman" w:eastAsia="Times New Roman" w:hAnsi="Times New Roman"/>
                <w:sz w:val="10"/>
                <w:szCs w:val="10"/>
                <w:b w:val="1"/>
                <w:bCs w:val="1"/>
                <w:color w:val="auto"/>
                <w:w w:val="97"/>
              </w:rPr>
              <w:t>Subject to</w:t>
            </w:r>
          </w:p>
        </w:tc>
        <w:tc>
          <w:tcPr>
            <w:tcW w:w="1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300" w:type="dxa"/>
            <w:vAlign w:val="bottom"/>
            <w:gridSpan w:val="6"/>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Convertible</w:t>
            </w:r>
          </w:p>
        </w:tc>
        <w:tc>
          <w:tcPr>
            <w:tcW w:w="60" w:type="dxa"/>
            <w:vAlign w:val="bottom"/>
          </w:tcPr>
          <w:p>
            <w:pPr>
              <w:spacing w:after="0"/>
              <w:rPr>
                <w:sz w:val="6"/>
                <w:szCs w:val="6"/>
                <w:color w:val="auto"/>
              </w:rPr>
            </w:pPr>
          </w:p>
        </w:tc>
        <w:tc>
          <w:tcPr>
            <w:tcW w:w="560" w:type="dxa"/>
            <w:vAlign w:val="bottom"/>
            <w:gridSpan w:val="3"/>
          </w:tcPr>
          <w:p>
            <w:pPr>
              <w:jc w:val="center"/>
              <w:ind w:left="127"/>
              <w:spacing w:after="0" w:line="81" w:lineRule="exact"/>
              <w:rPr>
                <w:sz w:val="20"/>
                <w:szCs w:val="20"/>
                <w:color w:val="auto"/>
              </w:rPr>
            </w:pPr>
            <w:r>
              <w:rPr>
                <w:rFonts w:ascii="Times New Roman" w:cs="Times New Roman" w:eastAsia="Times New Roman" w:hAnsi="Times New Roman"/>
                <w:sz w:val="9"/>
                <w:szCs w:val="9"/>
                <w:b w:val="1"/>
                <w:bCs w:val="1"/>
                <w:color w:val="auto"/>
              </w:rPr>
              <w:t>Possible</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300" w:type="dxa"/>
            <w:vAlign w:val="bottom"/>
            <w:gridSpan w:val="6"/>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9"/>
              </w:rPr>
              <w:t>Preferred Stock</w:t>
            </w:r>
          </w:p>
        </w:tc>
        <w:tc>
          <w:tcPr>
            <w:tcW w:w="60" w:type="dxa"/>
            <w:vAlign w:val="bottom"/>
          </w:tcPr>
          <w:p>
            <w:pPr>
              <w:spacing w:after="0"/>
              <w:rPr>
                <w:sz w:val="9"/>
                <w:szCs w:val="9"/>
                <w:color w:val="auto"/>
              </w:rPr>
            </w:pPr>
          </w:p>
        </w:tc>
        <w:tc>
          <w:tcPr>
            <w:tcW w:w="760" w:type="dxa"/>
            <w:vAlign w:val="bottom"/>
            <w:gridSpan w:val="4"/>
          </w:tcPr>
          <w:p>
            <w:pPr>
              <w:ind w:left="120"/>
              <w:spacing w:after="0" w:line="105" w:lineRule="exact"/>
              <w:rPr>
                <w:sz w:val="20"/>
                <w:szCs w:val="20"/>
                <w:color w:val="auto"/>
              </w:rPr>
            </w:pPr>
            <w:r>
              <w:rPr>
                <w:rFonts w:ascii="Times New Roman" w:cs="Times New Roman" w:eastAsia="Times New Roman" w:hAnsi="Times New Roman"/>
                <w:sz w:val="10"/>
                <w:szCs w:val="10"/>
                <w:b w:val="1"/>
                <w:bCs w:val="1"/>
                <w:color w:val="auto"/>
              </w:rPr>
              <w:t>Redemption</w:t>
            </w:r>
          </w:p>
        </w:tc>
        <w:tc>
          <w:tcPr>
            <w:tcW w:w="120" w:type="dxa"/>
            <w:vAlign w:val="bottom"/>
          </w:tcPr>
          <w:p>
            <w:pPr>
              <w:spacing w:after="0"/>
              <w:rPr>
                <w:sz w:val="9"/>
                <w:szCs w:val="9"/>
                <w:color w:val="auto"/>
              </w:rPr>
            </w:pPr>
          </w:p>
        </w:tc>
        <w:tc>
          <w:tcPr>
            <w:tcW w:w="820" w:type="dxa"/>
            <w:vAlign w:val="bottom"/>
            <w:gridSpan w:val="3"/>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5"/>
          </w:tcPr>
          <w:p>
            <w:pPr>
              <w:ind w:left="120"/>
              <w:spacing w:after="0" w:line="105" w:lineRule="exact"/>
              <w:rPr>
                <w:sz w:val="20"/>
                <w:szCs w:val="20"/>
                <w:color w:val="auto"/>
              </w:rPr>
            </w:pPr>
            <w:r>
              <w:rPr>
                <w:rFonts w:ascii="Times New Roman" w:cs="Times New Roman" w:eastAsia="Times New Roman" w:hAnsi="Times New Roman"/>
                <w:sz w:val="10"/>
                <w:szCs w:val="10"/>
                <w:b w:val="1"/>
                <w:bCs w:val="1"/>
                <w:color w:val="auto"/>
              </w:rPr>
              <w:t>Treasury Stock</w:t>
            </w:r>
          </w:p>
        </w:tc>
        <w:tc>
          <w:tcPr>
            <w:tcW w:w="58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60"/>
              <w:spacing w:after="0" w:line="10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79"/>
        </w:trPr>
        <w:tc>
          <w:tcPr>
            <w:tcW w:w="2300" w:type="dxa"/>
            <w:vAlign w:val="bottom"/>
            <w:gridSpan w:val="2"/>
          </w:tcPr>
          <w:p>
            <w:pPr>
              <w:spacing w:after="0" w:line="79" w:lineRule="exact"/>
              <w:rPr>
                <w:sz w:val="20"/>
                <w:szCs w:val="20"/>
                <w:color w:val="auto"/>
              </w:rPr>
            </w:pPr>
            <w:r>
              <w:rPr>
                <w:rFonts w:ascii="Times New Roman" w:cs="Times New Roman" w:eastAsia="Times New Roman" w:hAnsi="Times New Roman"/>
                <w:sz w:val="9"/>
                <w:szCs w:val="9"/>
                <w:i w:val="1"/>
                <w:iCs w:val="1"/>
                <w:color w:val="auto"/>
              </w:rPr>
              <w:t>(Amounts in thousands,</w:t>
            </w: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jc w:val="right"/>
              <w:ind w:right="28"/>
              <w:spacing w:after="0" w:line="79" w:lineRule="exact"/>
              <w:rPr>
                <w:sz w:val="20"/>
                <w:szCs w:val="20"/>
                <w:color w:val="auto"/>
              </w:rPr>
            </w:pPr>
            <w:r>
              <w:rPr>
                <w:rFonts w:ascii="Times New Roman" w:cs="Times New Roman" w:eastAsia="Times New Roman" w:hAnsi="Times New Roman"/>
                <w:sz w:val="9"/>
                <w:szCs w:val="9"/>
                <w:b w:val="1"/>
                <w:bCs w:val="1"/>
                <w:color w:val="auto"/>
              </w:rPr>
              <w:t>Paid-in</w:t>
            </w:r>
          </w:p>
        </w:tc>
        <w:tc>
          <w:tcPr>
            <w:tcW w:w="760" w:type="dxa"/>
            <w:vAlign w:val="bottom"/>
            <w:gridSpan w:val="4"/>
          </w:tcPr>
          <w:p>
            <w:pPr>
              <w:jc w:val="right"/>
              <w:ind w:right="100"/>
              <w:spacing w:after="0" w:line="79"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720" w:type="dxa"/>
            <w:vAlign w:val="bottom"/>
            <w:gridSpan w:val="4"/>
          </w:tcPr>
          <w:p>
            <w:pPr>
              <w:ind w:left="60"/>
              <w:spacing w:after="0" w:line="79"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20"/>
        </w:trPr>
        <w:tc>
          <w:tcPr>
            <w:tcW w:w="230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except shares)</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46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20" w:type="dxa"/>
            <w:vAlign w:val="bottom"/>
          </w:tcPr>
          <w:p>
            <w:pPr>
              <w:spacing w:after="0"/>
              <w:rPr>
                <w:sz w:val="10"/>
                <w:szCs w:val="10"/>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0"/>
                <w:szCs w:val="10"/>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20" w:type="dxa"/>
            <w:vAlign w:val="bottom"/>
          </w:tcPr>
          <w:p>
            <w:pPr>
              <w:spacing w:after="0"/>
              <w:rPr>
                <w:sz w:val="10"/>
                <w:szCs w:val="10"/>
                <w:color w:val="auto"/>
              </w:rPr>
            </w:pP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8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34,712,525</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173,347</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120"/>
              <w:spacing w:after="0" w:line="10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ind w:left="20"/>
              <w:spacing w:after="0" w:line="106" w:lineRule="exact"/>
              <w:rPr>
                <w:sz w:val="20"/>
                <w:szCs w:val="20"/>
                <w:color w:val="auto"/>
              </w:rPr>
            </w:pPr>
            <w:r>
              <w:rPr>
                <w:rFonts w:ascii="Times New Roman" w:cs="Times New Roman" w:eastAsia="Times New Roman" w:hAnsi="Times New Roman"/>
                <w:sz w:val="11"/>
                <w:szCs w:val="11"/>
                <w:color w:val="auto"/>
                <w:w w:val="96"/>
              </w:rPr>
              <w:t>— </w:t>
            </w:r>
          </w:p>
        </w:tc>
        <w:tc>
          <w:tcPr>
            <w:tcW w:w="1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13,613,269</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4"/>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96,887</w:t>
            </w: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tcBorders>
            <w:shd w:val="clear" w:color="auto" w:fill="CCEEFF"/>
          </w:tcPr>
          <w:p>
            <w:pPr>
              <w:ind w:left="60"/>
              <w:spacing w:after="0" w:line="10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99"/>
              </w:rPr>
              <w:t>$ 141,496</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4"/>
                <w:szCs w:val="4"/>
                <w:color w:val="auto"/>
                <w:w w:val="97"/>
              </w:rPr>
              <w:t>$</w:t>
            </w:r>
          </w:p>
        </w:tc>
        <w:tc>
          <w:tcPr>
            <w:tcW w:w="4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(368,056)</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(226,560)</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Retroactive application of recapitalization</w:t>
            </w:r>
          </w:p>
        </w:tc>
        <w:tc>
          <w:tcPr>
            <w:tcW w:w="6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(34,712,525)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w w:val="97"/>
              </w:rPr>
              <w:t>(173,347)</w:t>
            </w:r>
          </w:p>
        </w:tc>
        <w:tc>
          <w:tcPr>
            <w:tcW w:w="60" w:type="dxa"/>
            <w:vAlign w:val="bottom"/>
          </w:tcPr>
          <w:p>
            <w:pPr>
              <w:spacing w:after="0"/>
              <w:rPr>
                <w:sz w:val="10"/>
                <w:szCs w:val="10"/>
                <w:color w:val="auto"/>
              </w:rPr>
            </w:pPr>
          </w:p>
        </w:tc>
        <w:tc>
          <w:tcPr>
            <w:tcW w:w="300" w:type="dxa"/>
            <w:vAlign w:val="bottom"/>
          </w:tcPr>
          <w:p>
            <w:pPr>
              <w:ind w:left="1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34,712,525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w:t>
            </w:r>
          </w:p>
        </w:tc>
        <w:tc>
          <w:tcPr>
            <w:tcW w:w="54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(96,887)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173,342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173,347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22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Adjusted balance - beginning of period</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48,325,794</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w:t>
            </w: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314,838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(368,056)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(53,213)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Exercise of stock options</w:t>
            </w:r>
          </w:p>
        </w:tc>
        <w:tc>
          <w:tcPr>
            <w:tcW w:w="680" w:type="dxa"/>
            <w:vAlign w:val="bottom"/>
            <w:gridSpan w:val="2"/>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300" w:type="dxa"/>
            <w:vAlign w:val="bottom"/>
          </w:tcPr>
          <w:p>
            <w:pPr>
              <w:ind w:left="1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27,821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spacing w:after="0"/>
              <w:rPr>
                <w:sz w:val="10"/>
                <w:szCs w:val="10"/>
                <w:color w:val="auto"/>
              </w:rPr>
            </w:pPr>
          </w:p>
        </w:tc>
        <w:tc>
          <w:tcPr>
            <w:tcW w:w="42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58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Stock-based compensation</w:t>
            </w:r>
          </w:p>
        </w:tc>
        <w:tc>
          <w:tcPr>
            <w:tcW w:w="680" w:type="dxa"/>
            <w:vAlign w:val="bottom"/>
            <w:gridSpan w:val="2"/>
            <w:shd w:val="clear" w:color="auto" w:fill="CCEEFF"/>
          </w:tcPr>
          <w:p>
            <w:pPr>
              <w:jc w:val="right"/>
              <w:ind w:right="14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1,042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1,042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ind w:left="1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ind w:left="2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12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46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(54,503)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(54,503)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228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10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b w:val="1"/>
                <w:bCs w:val="1"/>
                <w:color w:val="auto"/>
                <w:w w:val="96"/>
              </w:rPr>
              <w:t>— </w:t>
            </w:r>
          </w:p>
        </w:tc>
        <w:tc>
          <w:tcPr>
            <w:tcW w:w="26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64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48,353,615</w:t>
            </w:r>
          </w:p>
        </w:tc>
        <w:tc>
          <w:tcPr>
            <w:tcW w:w="300" w:type="dxa"/>
            <w:vAlign w:val="bottom"/>
            <w:gridSpan w:val="2"/>
            <w:shd w:val="clear" w:color="auto" w:fill="CCEEFF"/>
          </w:tcPr>
          <w:p>
            <w:pPr>
              <w:jc w:val="right"/>
              <w:ind w:right="64"/>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gridSpan w:val="2"/>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58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$ 315,960</w:t>
            </w:r>
          </w:p>
        </w:tc>
        <w:tc>
          <w:tcPr>
            <w:tcW w:w="200" w:type="dxa"/>
            <w:vAlign w:val="bottom"/>
            <w:gridSpan w:val="2"/>
            <w:shd w:val="clear" w:color="auto" w:fill="CCEEFF"/>
          </w:tcPr>
          <w:p>
            <w:pPr>
              <w:jc w:val="right"/>
              <w:ind w:right="18"/>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(422,559)</w:t>
            </w:r>
          </w:p>
        </w:tc>
        <w:tc>
          <w:tcPr>
            <w:tcW w:w="16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(106,594)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F-5</w:t>
      </w:r>
    </w:p>
    <w:p>
      <w:pPr>
        <w:sectPr>
          <w:pgSz w:w="11900" w:h="16838" w:orient="portrait"/>
          <w:cols w:equalWidth="0" w:num="1">
            <w:col w:w="10159"/>
          </w:cols>
          <w:pgMar w:left="300" w:top="407"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 (DEFICIT)</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 AND 2024</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71" w:lineRule="exact"/>
        <w:rPr>
          <w:sz w:val="20"/>
          <w:szCs w:val="20"/>
          <w:color w:val="auto"/>
        </w:rPr>
      </w:pPr>
    </w:p>
    <w:tbl>
      <w:tblPr>
        <w:tblLayout w:type="fixed"/>
        <w:tblInd w:w="13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9"/>
            <w:vMerge w:val="restart"/>
          </w:tcPr>
          <w:p>
            <w:pPr>
              <w:jc w:val="center"/>
              <w:ind w:left="145"/>
              <w:spacing w:after="0"/>
              <w:rPr>
                <w:sz w:val="20"/>
                <w:szCs w:val="20"/>
                <w:color w:val="auto"/>
              </w:rPr>
            </w:pPr>
            <w:r>
              <w:rPr>
                <w:rFonts w:ascii="Times New Roman" w:cs="Times New Roman" w:eastAsia="Times New Roman" w:hAnsi="Times New Roman"/>
                <w:sz w:val="10"/>
                <w:szCs w:val="10"/>
                <w:b w:val="1"/>
                <w:bCs w:val="1"/>
                <w:color w:val="auto"/>
                <w:w w:val="97"/>
              </w:rPr>
              <w:t>Stockholders’ Equity (Deficit)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3"/>
          </w:tcPr>
          <w:p>
            <w:pPr>
              <w:jc w:val="center"/>
              <w:ind w:left="106"/>
              <w:spacing w:after="0" w:line="110" w:lineRule="exact"/>
              <w:rPr>
                <w:sz w:val="20"/>
                <w:szCs w:val="20"/>
                <w:color w:val="auto"/>
              </w:rPr>
            </w:pPr>
            <w:r>
              <w:rPr>
                <w:rFonts w:ascii="Times New Roman" w:cs="Times New Roman" w:eastAsia="Times New Roman" w:hAnsi="Times New Roman"/>
                <w:sz w:val="10"/>
                <w:szCs w:val="10"/>
                <w:b w:val="1"/>
                <w:bCs w:val="1"/>
                <w:color w:val="auto"/>
                <w:w w:val="97"/>
              </w:rPr>
              <w:t>Subject to</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9"/>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280" w:type="dxa"/>
            <w:vAlign w:val="bottom"/>
            <w:gridSpan w:val="6"/>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Redeemable Convertible</w:t>
            </w:r>
          </w:p>
        </w:tc>
        <w:tc>
          <w:tcPr>
            <w:tcW w:w="60" w:type="dxa"/>
            <w:vAlign w:val="bottom"/>
          </w:tcPr>
          <w:p>
            <w:pPr>
              <w:spacing w:after="0"/>
              <w:rPr>
                <w:sz w:val="6"/>
                <w:szCs w:val="6"/>
                <w:color w:val="auto"/>
              </w:rPr>
            </w:pPr>
          </w:p>
        </w:tc>
        <w:tc>
          <w:tcPr>
            <w:tcW w:w="620" w:type="dxa"/>
            <w:vAlign w:val="bottom"/>
            <w:gridSpan w:val="3"/>
          </w:tcPr>
          <w:p>
            <w:pPr>
              <w:jc w:val="center"/>
              <w:ind w:left="106"/>
              <w:spacing w:after="0" w:line="81" w:lineRule="exact"/>
              <w:rPr>
                <w:sz w:val="20"/>
                <w:szCs w:val="20"/>
                <w:color w:val="auto"/>
              </w:rPr>
            </w:pPr>
            <w:r>
              <w:rPr>
                <w:rFonts w:ascii="Times New Roman" w:cs="Times New Roman" w:eastAsia="Times New Roman" w:hAnsi="Times New Roman"/>
                <w:sz w:val="9"/>
                <w:szCs w:val="9"/>
                <w:b w:val="1"/>
                <w:bCs w:val="1"/>
                <w:color w:val="auto"/>
              </w:rPr>
              <w:t>Possible</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jc w:val="center"/>
              <w:ind w:right="46"/>
              <w:spacing w:after="0" w:line="81" w:lineRule="exact"/>
              <w:rPr>
                <w:sz w:val="20"/>
                <w:szCs w:val="20"/>
                <w:color w:val="auto"/>
              </w:rPr>
            </w:pPr>
            <w:r>
              <w:rPr>
                <w:rFonts w:ascii="Times New Roman" w:cs="Times New Roman" w:eastAsia="Times New Roman" w:hAnsi="Times New Roman"/>
                <w:sz w:val="9"/>
                <w:szCs w:val="9"/>
                <w:b w:val="1"/>
                <w:bCs w:val="1"/>
                <w:color w:val="auto"/>
              </w:rPr>
              <w:t>Total</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280" w:type="dxa"/>
            <w:vAlign w:val="bottom"/>
            <w:gridSpan w:val="6"/>
          </w:tcPr>
          <w:p>
            <w:pPr>
              <w:jc w:val="center"/>
              <w:ind w:right="100"/>
              <w:spacing w:after="0" w:line="105" w:lineRule="exact"/>
              <w:rPr>
                <w:sz w:val="20"/>
                <w:szCs w:val="20"/>
                <w:color w:val="auto"/>
              </w:rPr>
            </w:pPr>
            <w:r>
              <w:rPr>
                <w:rFonts w:ascii="Times New Roman" w:cs="Times New Roman" w:eastAsia="Times New Roman" w:hAnsi="Times New Roman"/>
                <w:sz w:val="10"/>
                <w:szCs w:val="10"/>
                <w:b w:val="1"/>
                <w:bCs w:val="1"/>
                <w:color w:val="auto"/>
                <w:w w:val="96"/>
              </w:rPr>
              <w:t>Preferred Stock</w:t>
            </w:r>
          </w:p>
        </w:tc>
        <w:tc>
          <w:tcPr>
            <w:tcW w:w="60" w:type="dxa"/>
            <w:vAlign w:val="bottom"/>
          </w:tcPr>
          <w:p>
            <w:pPr>
              <w:spacing w:after="0"/>
              <w:rPr>
                <w:sz w:val="9"/>
                <w:szCs w:val="9"/>
                <w:color w:val="auto"/>
              </w:rPr>
            </w:pPr>
          </w:p>
        </w:tc>
        <w:tc>
          <w:tcPr>
            <w:tcW w:w="780" w:type="dxa"/>
            <w:vAlign w:val="bottom"/>
            <w:gridSpan w:val="4"/>
          </w:tcPr>
          <w:p>
            <w:pPr>
              <w:ind w:left="140"/>
              <w:spacing w:after="0" w:line="105" w:lineRule="exact"/>
              <w:rPr>
                <w:sz w:val="20"/>
                <w:szCs w:val="20"/>
                <w:color w:val="auto"/>
              </w:rPr>
            </w:pPr>
            <w:r>
              <w:rPr>
                <w:rFonts w:ascii="Times New Roman" w:cs="Times New Roman" w:eastAsia="Times New Roman" w:hAnsi="Times New Roman"/>
                <w:sz w:val="10"/>
                <w:szCs w:val="10"/>
                <w:b w:val="1"/>
                <w:bCs w:val="1"/>
                <w:color w:val="auto"/>
              </w:rPr>
              <w:t>Redemption</w:t>
            </w:r>
          </w:p>
        </w:tc>
        <w:tc>
          <w:tcPr>
            <w:tcW w:w="120" w:type="dxa"/>
            <w:vAlign w:val="bottom"/>
          </w:tcPr>
          <w:p>
            <w:pPr>
              <w:spacing w:after="0"/>
              <w:rPr>
                <w:sz w:val="9"/>
                <w:szCs w:val="9"/>
                <w:color w:val="auto"/>
              </w:rPr>
            </w:pPr>
          </w:p>
        </w:tc>
        <w:tc>
          <w:tcPr>
            <w:tcW w:w="880" w:type="dxa"/>
            <w:vAlign w:val="bottom"/>
            <w:gridSpan w:val="3"/>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5"/>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w w:val="97"/>
              </w:rPr>
              <w:t>Treasury Stock</w:t>
            </w:r>
          </w:p>
        </w:tc>
        <w:tc>
          <w:tcPr>
            <w:tcW w:w="100" w:type="dxa"/>
            <w:vAlign w:val="bottom"/>
          </w:tcPr>
          <w:p>
            <w:pPr>
              <w:spacing w:after="0"/>
              <w:rPr>
                <w:sz w:val="9"/>
                <w:szCs w:val="9"/>
                <w:color w:val="auto"/>
              </w:rPr>
            </w:pPr>
          </w:p>
        </w:tc>
        <w:tc>
          <w:tcPr>
            <w:tcW w:w="56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center"/>
              <w:ind w:right="80"/>
              <w:spacing w:after="0" w:line="105"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79"/>
        </w:trPr>
        <w:tc>
          <w:tcPr>
            <w:tcW w:w="2120" w:type="dxa"/>
            <w:vAlign w:val="bottom"/>
            <w:gridSpan w:val="2"/>
          </w:tcPr>
          <w:p>
            <w:pPr>
              <w:spacing w:after="0" w:line="79" w:lineRule="exact"/>
              <w:rPr>
                <w:sz w:val="20"/>
                <w:szCs w:val="20"/>
                <w:color w:val="auto"/>
              </w:rPr>
            </w:pPr>
            <w:r>
              <w:rPr>
                <w:rFonts w:ascii="Times New Roman" w:cs="Times New Roman" w:eastAsia="Times New Roman" w:hAnsi="Times New Roman"/>
                <w:sz w:val="9"/>
                <w:szCs w:val="9"/>
                <w:i w:val="1"/>
                <w:iCs w:val="1"/>
                <w:color w:val="auto"/>
              </w:rPr>
              <w:t>(Amounts in thousands,</w:t>
            </w:r>
          </w:p>
        </w:tc>
        <w:tc>
          <w:tcPr>
            <w:tcW w:w="5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gridSpan w:val="2"/>
          </w:tcPr>
          <w:p>
            <w:pPr>
              <w:ind w:left="40"/>
              <w:spacing w:after="0" w:line="79" w:lineRule="exact"/>
              <w:rPr>
                <w:sz w:val="20"/>
                <w:szCs w:val="20"/>
                <w:color w:val="auto"/>
              </w:rPr>
            </w:pPr>
            <w:r>
              <w:rPr>
                <w:rFonts w:ascii="Times New Roman" w:cs="Times New Roman" w:eastAsia="Times New Roman" w:hAnsi="Times New Roman"/>
                <w:sz w:val="9"/>
                <w:szCs w:val="9"/>
                <w:b w:val="1"/>
                <w:bCs w:val="1"/>
                <w:color w:val="auto"/>
              </w:rPr>
              <w:t>Paid-in</w:t>
            </w:r>
          </w:p>
        </w:tc>
        <w:tc>
          <w:tcPr>
            <w:tcW w:w="40" w:type="dxa"/>
            <w:vAlign w:val="bottom"/>
          </w:tcPr>
          <w:p>
            <w:pPr>
              <w:spacing w:after="0"/>
              <w:rPr>
                <w:sz w:val="6"/>
                <w:szCs w:val="6"/>
                <w:color w:val="auto"/>
              </w:rPr>
            </w:pPr>
          </w:p>
        </w:tc>
        <w:tc>
          <w:tcPr>
            <w:tcW w:w="680" w:type="dxa"/>
            <w:vAlign w:val="bottom"/>
            <w:gridSpan w:val="3"/>
          </w:tcPr>
          <w:p>
            <w:pPr>
              <w:jc w:val="right"/>
              <w:ind w:right="100"/>
              <w:spacing w:after="0" w:line="79"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180"/>
              <w:spacing w:after="0" w:line="79" w:lineRule="exact"/>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120"/>
        </w:trPr>
        <w:tc>
          <w:tcPr>
            <w:tcW w:w="2120" w:type="dxa"/>
            <w:vAlign w:val="bottom"/>
            <w:gridSpan w:val="2"/>
          </w:tcPr>
          <w:p>
            <w:pPr>
              <w:spacing w:after="0"/>
              <w:rPr>
                <w:sz w:val="20"/>
                <w:szCs w:val="20"/>
                <w:color w:val="auto"/>
              </w:rPr>
            </w:pPr>
            <w:r>
              <w:rPr>
                <w:rFonts w:ascii="Times New Roman" w:cs="Times New Roman" w:eastAsia="Times New Roman" w:hAnsi="Times New Roman"/>
                <w:sz w:val="10"/>
                <w:szCs w:val="10"/>
                <w:i w:val="1"/>
                <w:iCs w:val="1"/>
                <w:color w:val="auto"/>
              </w:rPr>
              <w:t>except shares)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60" w:type="dxa"/>
            <w:vAlign w:val="bottom"/>
          </w:tcPr>
          <w:p>
            <w:pPr>
              <w:spacing w:after="0"/>
              <w:rPr>
                <w:sz w:val="10"/>
                <w:szCs w:val="1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100" w:type="dxa"/>
            <w:vAlign w:val="bottom"/>
          </w:tcPr>
          <w:p>
            <w:pPr>
              <w:spacing w:after="0"/>
              <w:rPr>
                <w:sz w:val="10"/>
                <w:szCs w:val="1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20" w:type="dxa"/>
            <w:vAlign w:val="bottom"/>
          </w:tcPr>
          <w:p>
            <w:pPr>
              <w:spacing w:after="0"/>
              <w:rPr>
                <w:sz w:val="10"/>
                <w:szCs w:val="10"/>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(Deficit)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 of June 30, 2025</w:t>
            </w: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98,881,933</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2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10</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— </w:t>
            </w: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top w:val="single" w:sz="8" w:color="auto"/>
            </w:tcBorders>
            <w:shd w:val="clear" w:color="auto" w:fill="CCEEFF"/>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601,781</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4"/>
                <w:szCs w:val="4"/>
                <w:b w:val="1"/>
                <w:bCs w:val="1"/>
                <w:color w:val="auto"/>
                <w:w w:val="97"/>
              </w:rPr>
              <w:t>$</w:t>
            </w: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(606,601)</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(4,810)</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Issuance of common stock to advisors</w:t>
            </w:r>
          </w:p>
        </w:tc>
        <w:tc>
          <w:tcPr>
            <w:tcW w:w="6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30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769,231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4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2,238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2,238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Exercises of stock options</w:t>
            </w:r>
          </w:p>
        </w:tc>
        <w:tc>
          <w:tcPr>
            <w:tcW w:w="6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15,080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Releases of restricted stock units</w:t>
            </w:r>
          </w:p>
        </w:tc>
        <w:tc>
          <w:tcPr>
            <w:tcW w:w="6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30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1,331,257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4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2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1"/>
                <w:szCs w:val="11"/>
                <w:color w:val="auto"/>
              </w:rPr>
              <w:t>Common stock issued under the committed</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5,673,734</w:t>
            </w: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20,388</w:t>
            </w: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20,389</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 facility</w:t>
            </w:r>
          </w:p>
        </w:tc>
        <w:tc>
          <w:tcPr>
            <w:tcW w:w="6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100" w:type="dxa"/>
            <w:vAlign w:val="bottom"/>
          </w:tcPr>
          <w:p>
            <w:pPr>
              <w:spacing w:after="0" w:line="99" w:lineRule="exact"/>
              <w:rPr>
                <w:sz w:val="20"/>
                <w:szCs w:val="20"/>
                <w:color w:val="auto"/>
              </w:rPr>
            </w:pPr>
            <w:r>
              <w:rPr>
                <w:rFonts w:ascii="Times New Roman" w:cs="Times New Roman" w:eastAsia="Times New Roman" w:hAnsi="Times New Roman"/>
                <w:sz w:val="11"/>
                <w:szCs w:val="11"/>
                <w:color w:val="auto"/>
              </w:rPr>
              <w:t>Committed equity facility fee settled in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83,353</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8"/>
                <w:szCs w:val="8"/>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Stock-based compensation</w:t>
            </w:r>
          </w:p>
        </w:tc>
        <w:tc>
          <w:tcPr>
            <w:tcW w:w="6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9,486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9,486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2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(26,258)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(26,258)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21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as of September 30, 2025</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32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7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106,754,588</w:t>
            </w:r>
          </w:p>
        </w:tc>
        <w:tc>
          <w:tcPr>
            <w:tcW w:w="280" w:type="dxa"/>
            <w:vAlign w:val="bottom"/>
            <w:gridSpan w:val="2"/>
            <w:shd w:val="clear" w:color="auto" w:fill="CCEEFF"/>
          </w:tcPr>
          <w:p>
            <w:pPr>
              <w:jc w:val="right"/>
              <w:ind w:right="109"/>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11</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16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634,154</w:t>
            </w:r>
          </w:p>
        </w:tc>
        <w:tc>
          <w:tcPr>
            <w:tcW w:w="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31"/>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(632,859)</w:t>
            </w:r>
          </w:p>
        </w:tc>
        <w:tc>
          <w:tcPr>
            <w:tcW w:w="16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1,306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Stockholders’ Deficit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center"/>
              <w:ind w:left="106"/>
              <w:spacing w:after="0" w:line="119" w:lineRule="exact"/>
              <w:rPr>
                <w:sz w:val="20"/>
                <w:szCs w:val="20"/>
                <w:color w:val="auto"/>
              </w:rPr>
            </w:pPr>
            <w:r>
              <w:rPr>
                <w:rFonts w:ascii="Times New Roman" w:cs="Times New Roman" w:eastAsia="Times New Roman" w:hAnsi="Times New Roman"/>
                <w:sz w:val="11"/>
                <w:szCs w:val="11"/>
                <w:b w:val="1"/>
                <w:bCs w:val="1"/>
                <w:color w:val="auto"/>
                <w:w w:val="97"/>
              </w:rPr>
              <w:t>Subject to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7"/>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80" w:type="dxa"/>
            <w:vAlign w:val="bottom"/>
            <w:gridSpan w:val="6"/>
          </w:tcPr>
          <w:p>
            <w:pPr>
              <w:jc w:val="center"/>
              <w:ind w:right="100"/>
              <w:spacing w:after="0" w:line="93" w:lineRule="exact"/>
              <w:rPr>
                <w:sz w:val="20"/>
                <w:szCs w:val="20"/>
                <w:color w:val="auto"/>
              </w:rPr>
            </w:pPr>
            <w:r>
              <w:rPr>
                <w:rFonts w:ascii="Times New Roman" w:cs="Times New Roman" w:eastAsia="Times New Roman" w:hAnsi="Times New Roman"/>
                <w:sz w:val="9"/>
                <w:szCs w:val="9"/>
                <w:b w:val="1"/>
                <w:bCs w:val="1"/>
                <w:color w:val="auto"/>
              </w:rPr>
              <w:t>Redeemable Convertible</w:t>
            </w:r>
          </w:p>
        </w:tc>
        <w:tc>
          <w:tcPr>
            <w:tcW w:w="60" w:type="dxa"/>
            <w:vAlign w:val="bottom"/>
          </w:tcPr>
          <w:p>
            <w:pPr>
              <w:spacing w:after="0"/>
              <w:rPr>
                <w:sz w:val="8"/>
                <w:szCs w:val="8"/>
                <w:color w:val="auto"/>
              </w:rPr>
            </w:pPr>
          </w:p>
        </w:tc>
        <w:tc>
          <w:tcPr>
            <w:tcW w:w="620" w:type="dxa"/>
            <w:vAlign w:val="bottom"/>
            <w:gridSpan w:val="3"/>
          </w:tcPr>
          <w:p>
            <w:pPr>
              <w:jc w:val="center"/>
              <w:ind w:left="86"/>
              <w:spacing w:after="0" w:line="93" w:lineRule="exact"/>
              <w:rPr>
                <w:sz w:val="20"/>
                <w:szCs w:val="20"/>
                <w:color w:val="auto"/>
              </w:rPr>
            </w:pPr>
            <w:r>
              <w:rPr>
                <w:rFonts w:ascii="Times New Roman" w:cs="Times New Roman" w:eastAsia="Times New Roman" w:hAnsi="Times New Roman"/>
                <w:sz w:val="9"/>
                <w:szCs w:val="9"/>
                <w:b w:val="1"/>
                <w:bCs w:val="1"/>
                <w:color w:val="auto"/>
              </w:rPr>
              <w:t>Possible</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8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Preferred Stock</w:t>
            </w:r>
          </w:p>
        </w:tc>
        <w:tc>
          <w:tcPr>
            <w:tcW w:w="60" w:type="dxa"/>
            <w:vAlign w:val="bottom"/>
          </w:tcPr>
          <w:p>
            <w:pPr>
              <w:spacing w:after="0"/>
              <w:rPr>
                <w:sz w:val="11"/>
                <w:szCs w:val="11"/>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Redemption</w:t>
            </w:r>
          </w:p>
        </w:tc>
        <w:tc>
          <w:tcPr>
            <w:tcW w:w="12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Treasury Stock</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83"/>
        </w:trPr>
        <w:tc>
          <w:tcPr>
            <w:tcW w:w="2120" w:type="dxa"/>
            <w:vAlign w:val="bottom"/>
            <w:gridSpan w:val="2"/>
          </w:tcPr>
          <w:p>
            <w:pPr>
              <w:spacing w:after="0" w:line="83" w:lineRule="exact"/>
              <w:rPr>
                <w:sz w:val="20"/>
                <w:szCs w:val="20"/>
                <w:color w:val="auto"/>
              </w:rPr>
            </w:pPr>
            <w:r>
              <w:rPr>
                <w:rFonts w:ascii="Times New Roman" w:cs="Times New Roman" w:eastAsia="Times New Roman" w:hAnsi="Times New Roman"/>
                <w:sz w:val="9"/>
                <w:szCs w:val="9"/>
                <w:i w:val="1"/>
                <w:iCs w:val="1"/>
                <w:color w:val="auto"/>
              </w:rPr>
              <w:t>(Amounts in thousands,</w:t>
            </w: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ind w:left="20"/>
              <w:spacing w:after="0" w:line="83" w:lineRule="exact"/>
              <w:rPr>
                <w:sz w:val="20"/>
                <w:szCs w:val="20"/>
                <w:color w:val="auto"/>
              </w:rPr>
            </w:pPr>
            <w:r>
              <w:rPr>
                <w:rFonts w:ascii="Times New Roman" w:cs="Times New Roman" w:eastAsia="Times New Roman" w:hAnsi="Times New Roman"/>
                <w:sz w:val="9"/>
                <w:szCs w:val="9"/>
                <w:b w:val="1"/>
                <w:bCs w:val="1"/>
                <w:color w:val="auto"/>
              </w:rPr>
              <w:t>Paid-in</w:t>
            </w:r>
          </w:p>
        </w:tc>
        <w:tc>
          <w:tcPr>
            <w:tcW w:w="720" w:type="dxa"/>
            <w:vAlign w:val="bottom"/>
            <w:gridSpan w:val="4"/>
          </w:tcPr>
          <w:p>
            <w:pPr>
              <w:jc w:val="center"/>
              <w:ind w:right="40"/>
              <w:spacing w:after="0" w:line="83"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760" w:type="dxa"/>
            <w:vAlign w:val="bottom"/>
            <w:gridSpan w:val="4"/>
          </w:tcPr>
          <w:p>
            <w:pPr>
              <w:ind w:left="60"/>
              <w:spacing w:after="0" w:line="83"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29"/>
        </w:trPr>
        <w:tc>
          <w:tcPr>
            <w:tcW w:w="21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except shares)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87"/>
              </w:rPr>
              <w:t>Shares</w:t>
            </w:r>
          </w:p>
        </w:tc>
        <w:tc>
          <w:tcPr>
            <w:tcW w:w="100" w:type="dxa"/>
            <w:vAlign w:val="bottom"/>
          </w:tcPr>
          <w:p>
            <w:pPr>
              <w:spacing w:after="0"/>
              <w:rPr>
                <w:sz w:val="11"/>
                <w:szCs w:val="1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2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Balance as of June 30, 2024</w:t>
            </w:r>
          </w:p>
        </w:tc>
        <w:tc>
          <w:tcPr>
            <w:tcW w:w="5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34,712,525</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4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173,347</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140"/>
              <w:spacing w:after="0" w:line="10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13,633,706</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4"/>
                <w:szCs w:val="4"/>
                <w:color w:val="auto"/>
                <w:w w:val="97"/>
              </w:rPr>
              <w:t>$</w:t>
            </w:r>
          </w:p>
        </w:tc>
        <w:tc>
          <w:tcPr>
            <w:tcW w:w="2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96,887</w:t>
            </w: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ind w:left="80"/>
              <w:spacing w:after="0" w:line="10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142,221</w:t>
            </w: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(396,952)</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1"/>
                <w:szCs w:val="11"/>
                <w:color w:val="auto"/>
              </w:rPr>
              <w:t>(254,731)</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Retroactive application of recapitalization</w:t>
            </w:r>
          </w:p>
        </w:tc>
        <w:tc>
          <w:tcPr>
            <w:tcW w:w="6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(34,712,525)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w w:val="97"/>
              </w:rPr>
              <w:t>(173,347)</w:t>
            </w:r>
          </w:p>
        </w:tc>
        <w:tc>
          <w:tcPr>
            <w:tcW w:w="60" w:type="dxa"/>
            <w:vAlign w:val="bottom"/>
          </w:tcPr>
          <w:p>
            <w:pPr>
              <w:spacing w:after="0"/>
              <w:rPr>
                <w:sz w:val="10"/>
                <w:szCs w:val="10"/>
                <w:color w:val="auto"/>
              </w:rPr>
            </w:pPr>
          </w:p>
        </w:tc>
        <w:tc>
          <w:tcPr>
            <w:tcW w:w="30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34,712,525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w:t>
            </w:r>
          </w:p>
        </w:tc>
        <w:tc>
          <w:tcPr>
            <w:tcW w:w="52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color w:val="auto"/>
              </w:rPr>
              <w:t>(96,887)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173,342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173,347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21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Adjusted balance - beginning of period</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48,346,231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315,563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(396,952)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(81,384)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Exercise of stock options</w:t>
            </w:r>
          </w:p>
        </w:tc>
        <w:tc>
          <w:tcPr>
            <w:tcW w:w="6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30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72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color w:val="auto"/>
              </w:rPr>
              <w:t>7,384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420" w:type="dxa"/>
            <w:vAlign w:val="bottom"/>
            <w:gridSpan w:val="2"/>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Stock-based compensation</w:t>
            </w:r>
          </w:p>
        </w:tc>
        <w:tc>
          <w:tcPr>
            <w:tcW w:w="6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359</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359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10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ind w:left="14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2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84"/>
              </w:rPr>
              <w:t>— 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260"/>
              <w:spacing w:after="0" w:line="116" w:lineRule="exact"/>
              <w:rPr>
                <w:sz w:val="20"/>
                <w:szCs w:val="20"/>
                <w:color w:val="auto"/>
              </w:rPr>
            </w:pPr>
            <w:r>
              <w:rPr>
                <w:rFonts w:ascii="Times New Roman" w:cs="Times New Roman" w:eastAsia="Times New Roman" w:hAnsi="Times New Roman"/>
                <w:sz w:val="11"/>
                <w:szCs w:val="11"/>
                <w:color w:val="auto"/>
                <w:w w:val="96"/>
              </w:rPr>
              <w:t>— 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(25,607)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40"/>
              <w:spacing w:after="0" w:line="116" w:lineRule="exact"/>
              <w:rPr>
                <w:sz w:val="20"/>
                <w:szCs w:val="20"/>
                <w:color w:val="auto"/>
              </w:rPr>
            </w:pPr>
            <w:r>
              <w:rPr>
                <w:rFonts w:ascii="Times New Roman" w:cs="Times New Roman" w:eastAsia="Times New Roman" w:hAnsi="Times New Roman"/>
                <w:sz w:val="11"/>
                <w:szCs w:val="11"/>
                <w:color w:val="auto"/>
              </w:rPr>
              <w:t>(25,607)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21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5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8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line="116" w:lineRule="exact"/>
              <w:rPr>
                <w:sz w:val="20"/>
                <w:szCs w:val="20"/>
                <w:color w:val="auto"/>
              </w:rPr>
            </w:pPr>
            <w:r>
              <w:rPr>
                <w:rFonts w:ascii="Times New Roman" w:cs="Times New Roman" w:eastAsia="Times New Roman" w:hAnsi="Times New Roman"/>
                <w:sz w:val="11"/>
                <w:szCs w:val="11"/>
                <w:b w:val="1"/>
                <w:bCs w:val="1"/>
                <w:color w:val="auto"/>
                <w:w w:val="84"/>
              </w:rPr>
              <w:t>— </w:t>
            </w:r>
          </w:p>
        </w:tc>
        <w:tc>
          <w:tcPr>
            <w:tcW w:w="32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720" w:type="dxa"/>
            <w:vAlign w:val="bottom"/>
            <w:gridSpan w:val="2"/>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48,353,615</w:t>
            </w:r>
          </w:p>
        </w:tc>
        <w:tc>
          <w:tcPr>
            <w:tcW w:w="280" w:type="dxa"/>
            <w:vAlign w:val="bottom"/>
            <w:gridSpan w:val="2"/>
            <w:shd w:val="clear" w:color="auto" w:fill="CCEEFF"/>
          </w:tcPr>
          <w:p>
            <w:pPr>
              <w:jc w:val="right"/>
              <w:ind w:right="109"/>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5</w:t>
            </w:r>
          </w:p>
        </w:tc>
        <w:tc>
          <w:tcPr>
            <w:tcW w:w="1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1"/>
                <w:szCs w:val="11"/>
                <w:b w:val="1"/>
                <w:bCs w:val="1"/>
                <w:color w:val="auto"/>
              </w:rPr>
              <w:t>— </w:t>
            </w:r>
          </w:p>
        </w:tc>
        <w:tc>
          <w:tcPr>
            <w:tcW w:w="24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CEEFF"/>
          </w:tcPr>
          <w:p>
            <w:pPr>
              <w:ind w:left="80"/>
              <w:spacing w:after="0" w:line="116" w:lineRule="exact"/>
              <w:rPr>
                <w:sz w:val="20"/>
                <w:szCs w:val="20"/>
                <w:color w:val="auto"/>
              </w:rPr>
            </w:pPr>
            <w:r>
              <w:rPr>
                <w:rFonts w:ascii="Times New Roman" w:cs="Times New Roman" w:eastAsia="Times New Roman" w:hAnsi="Times New Roman"/>
                <w:sz w:val="11"/>
                <w:szCs w:val="11"/>
                <w:b w:val="1"/>
                <w:bCs w:val="1"/>
                <w:color w:val="auto"/>
              </w:rPr>
              <w:t xml:space="preserve">— </w:t>
            </w:r>
          </w:p>
        </w:tc>
        <w:tc>
          <w:tcPr>
            <w:tcW w:w="160" w:type="dxa"/>
            <w:vAlign w:val="bottom"/>
            <w:gridSpan w:val="2"/>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315,960</w:t>
            </w:r>
          </w:p>
        </w:tc>
        <w:tc>
          <w:tcPr>
            <w:tcW w:w="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31"/>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(422,559)</w:t>
            </w:r>
          </w:p>
        </w:tc>
        <w:tc>
          <w:tcPr>
            <w:tcW w:w="160" w:type="dxa"/>
            <w:vAlign w:val="bottom"/>
            <w:gridSpan w:val="2"/>
            <w:shd w:val="clear" w:color="auto" w:fill="CCEEFF"/>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2"/>
            <w:shd w:val="clear" w:color="auto" w:fill="CCEEFF"/>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(106,594)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F-6</w:t>
      </w:r>
    </w:p>
    <w:p>
      <w:pPr>
        <w:sectPr>
          <w:pgSz w:w="11900" w:h="16838" w:orient="portrait"/>
          <w:cols w:equalWidth="0" w:num="1">
            <w:col w:w="10159"/>
          </w:cols>
          <w:pgMar w:left="300" w:top="407"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67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w w:val="91"/>
              </w:rPr>
              <w:t>(57,290)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w w:val="96"/>
              </w:rPr>
              <w:t>(35,788)</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(1,165)</w:t>
            </w: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Merger and PIPE financing, net of transaction costs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Funds held in escrow</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Payment of deferred offering costs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(3,668)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advances from related party</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common stock, net of financing charge on the committed equity facility</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 of committed equity facility transaction costs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short-term demand notes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convertible notes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110,718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31,773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102,380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(26,224)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65,427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68,640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7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24,001</w:t>
            </w:r>
          </w:p>
        </w:tc>
        <w:tc>
          <w:tcPr>
            <w:tcW w:w="1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 (included within other assets)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24,264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68,640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7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Supplemental non-cash disclosures:</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Capitalized deferred offering costs included in accounts payable and accrued expenses and other current liabilities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warrants with convertible notes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asset obtained in exchange for new operating lease liabilities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under committed equity facility</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to advisors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convertible notes to common stock</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314,334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exercise of warrants for common stock</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warrants for professional services</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for shareholder note receivable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 of common shares with cash held in escrow</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F-7</w:t>
      </w:r>
    </w:p>
    <w:p>
      <w:pPr>
        <w:sectPr>
          <w:pgSz w:w="11900" w:h="16838" w:orient="portrait"/>
          <w:cols w:equalWidth="0" w:num="1">
            <w:col w:w="10159"/>
          </w:cols>
          <w:pgMar w:left="300" w:top="407"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 Organization and Description of Business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Description of Business</w:t>
      </w:r>
    </w:p>
    <w:p>
      <w:pPr>
        <w:spacing w:after="0" w:line="93"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Blaize Holdings, Inc. (together with its subsidiaries, “Blaize,” or the “Company”) is headquartered in El Dorado Hills, California. The condensed consolidated financial statements of the Company, post-Merger (as defined below), include the accounts of the Company and its wholly owned subsidiaries. Prior to the Merger, the Company’s condensed consolidated financial statements included that of Legacy Blaize, as defined below, and included the accounts of Legacy Blaize and its wholly owned subsidiaries.</w:t>
      </w:r>
    </w:p>
    <w:p>
      <w:pPr>
        <w:spacing w:after="0" w:line="141"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The Company designs and develops low-power, high-efficiency, programmable artificial intelligence (“AI”) edge computing hardware and software, offering edge computing solutions for AI data collection and processing, with a focus on smart vision and other AI applications for the smart city, defense, retail and enterprise markets.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 and Reverse Recapitalization</w:t>
      </w:r>
    </w:p>
    <w:p>
      <w:pPr>
        <w:spacing w:after="0" w:line="93" w:lineRule="exact"/>
        <w:rPr>
          <w:sz w:val="20"/>
          <w:szCs w:val="20"/>
          <w:color w:val="auto"/>
        </w:rPr>
      </w:pPr>
    </w:p>
    <w:p>
      <w:pPr>
        <w:ind w:left="1360" w:right="419"/>
        <w:spacing w:after="0" w:line="257" w:lineRule="auto"/>
        <w:rPr>
          <w:sz w:val="20"/>
          <w:szCs w:val="20"/>
          <w:color w:val="auto"/>
        </w:rPr>
      </w:pPr>
      <w:r>
        <w:rPr>
          <w:rFonts w:ascii="Times New Roman" w:cs="Times New Roman" w:eastAsia="Times New Roman" w:hAnsi="Times New Roman"/>
          <w:sz w:val="14"/>
          <w:szCs w:val="14"/>
          <w:color w:val="auto"/>
        </w:rPr>
        <w:t>On January 13, 2025 (the “Closing Date”), the Company consummated the transaction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On the Closing Date, Merger Sub merged with and into Legacy Blaize, with Legacy Blaize surviving the Merger as a wholly owned subsidiary of the Company (together with the other transactions contemplated by the Merger Agreement, the “Business Combination”).</w:t>
      </w:r>
    </w:p>
    <w:p>
      <w:pPr>
        <w:spacing w:after="0" w:line="14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Concurrent with the Merger, BurTech was renamed Blaize Holdings, Inc. Beginning on January 14, 2025, Blaize’s common stock and warrants trade on The Nasdaq Stock Market LLC (“Nasdaq”) under the ticker symbols “BZAI” and “BZAIW”, respectively.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the Merger</w:t>
      </w:r>
    </w:p>
    <w:p>
      <w:pPr>
        <w:spacing w:after="0" w:line="93"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The Merger is accounted for as a reverse recapitalization, with BurTech treated as the acquired company and Legacy Blaize treated as the acquirer for financial reporting purposes. This accounting treatment is equivalent to Legacy Blaize issuing stock for the net assets of BurTech, accompanied by a recapitalization whereby no goodwill or other intangible assets are recorded. Operations prior to the Merger are those of Legacy Blaize. For periods prior to the Merger, the reported share and per share amounts have been retroactively converted by applying the Exchange Ratio. Legacy Blaize shareholders were issued 87,314,968 shares of common stock.</w:t>
      </w:r>
    </w:p>
    <w:p>
      <w:pPr>
        <w:spacing w:after="0" w:line="14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Prior to the Merger, BurTech LP, LLC (“BurTech LP”) was the sponsor of BurTech (the “Sponsor”) and with the close of the Merger, BurTech LP and its affiliated entities have remained a significant shareholder in Blaize.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9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F-8</w:t>
      </w:r>
    </w:p>
    <w:p>
      <w:pPr>
        <w:sectPr>
          <w:pgSz w:w="11900" w:h="16838" w:orient="portrait"/>
          <w:cols w:equalWidth="0" w:num="1">
            <w:col w:w="10159"/>
          </w:cols>
          <w:pgMar w:left="300" w:top="407"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4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Since the inception of the Company and through September 30, 2025, the Company has funded its operations primarily with cash flows from contributions from founders or other investors and other financing activities. The Company has incurred recurring losses and negative operating cash flows since its inception, including net losses of $203.6 million and $54.5 million for the nine months ended September 30, 2025 and 2024, respectively. As of September 30, 2025, the Company had cash and cash equivalents of $24.0 million, and an accumulated deficit of $632.9 million.</w:t>
      </w:r>
    </w:p>
    <w:p>
      <w:pPr>
        <w:spacing w:after="0" w:line="14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On July 14, 2025, the Company entered into a Common Stock Purchase Agreement (the “Committed Equity Facility”) and a related Registration Rights Agreement with B. Riley Principal Capital II, LLC (“B. Riley”). Pursuant to the Committed Equity Facility, the Company has the right, but not the obligation, to sell to B. Riley up to an aggregate of $50.0 million in gross proceeds of newly issued shares of the Company’s common stock, subject to certain conditions and limitations, which will be used to further support the Company’s growth strategy (see Notes 2, 6 and 13).</w:t>
      </w:r>
    </w:p>
    <w:p>
      <w:pPr>
        <w:spacing w:after="0" w:line="14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Company’s ability to continue to meet its obligations, to achieve its business objectives and continue as a going concern is dependent upon several factors, including its revenue growth rate, the timing and extent of spending to support further sales and marketing and research and development efforts. In order to finance its operations, the Company will need to raise additional financing. There can be no assurance that the Company will be able to raise additional financing.</w:t>
      </w:r>
    </w:p>
    <w:p>
      <w:pPr>
        <w:spacing w:after="0" w:line="14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 xml:space="preserve">As a result of the above, in connection with its assessment of going concern considerations in accordance with Financial Accounting Standard Board’s (“FASB”) Accounting Standards Update (“ASU”) 2014-15, </w:t>
      </w:r>
      <w:r>
        <w:rPr>
          <w:rFonts w:ascii="Times New Roman" w:cs="Times New Roman" w:eastAsia="Times New Roman" w:hAnsi="Times New Roman"/>
          <w:sz w:val="14"/>
          <w:szCs w:val="14"/>
          <w:i w:val="1"/>
          <w:iCs w:val="1"/>
          <w:color w:val="auto"/>
        </w:rPr>
        <w:t>Disclosures of Uncertainties about an Entity’s Ability to Continue as a Going Concern</w:t>
      </w:r>
      <w:r>
        <w:rPr>
          <w:rFonts w:ascii="Times New Roman" w:cs="Times New Roman" w:eastAsia="Times New Roman" w:hAnsi="Times New Roman"/>
          <w:sz w:val="14"/>
          <w:szCs w:val="14"/>
          <w:color w:val="auto"/>
        </w:rPr>
        <w:t>, management has determined that the Company’s liquidity condition raises substantial doubt about its ability to continue as a going concern through one year from the date that these condensed consolidated financial statements are issued.</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These condensed consolidated financial statements have been prepared in accordance with generally accepted accounting principles in the United States (“U.S. GAAP”) for interim financial information and with the instructions to Form 10-Q and Rule 10-01 of Regulation S-X. Accordingly, they do not include all the information and footnotes required by U.S. GAAP for complete financial statements. The accompanying</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F-9</w:t>
      </w:r>
    </w:p>
    <w:p>
      <w:pPr>
        <w:sectPr>
          <w:pgSz w:w="11900" w:h="16838" w:orient="portrait"/>
          <w:cols w:equalWidth="0" w:num="1">
            <w:col w:w="10159"/>
          </w:cols>
          <w:pgMar w:left="300" w:top="407"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78" w:lineRule="auto"/>
        <w:rPr>
          <w:sz w:val="20"/>
          <w:szCs w:val="20"/>
          <w:color w:val="auto"/>
        </w:rPr>
      </w:pPr>
      <w:r>
        <w:rPr>
          <w:rFonts w:ascii="Times New Roman" w:cs="Times New Roman" w:eastAsia="Times New Roman" w:hAnsi="Times New Roman"/>
          <w:sz w:val="13"/>
          <w:szCs w:val="13"/>
          <w:color w:val="auto"/>
        </w:rPr>
        <w:t>unaudited interim condensed consolidated financial statements reflect all adjustments which are, in the opinion of management, necessary for a fair statement of the results for the interim periods presented, and all significant intercompany balances and transactions have been eliminated in consolidation for all periods presented. The Company has no other comprehensive income or loss, therefore net loss was equal to other comprehensive loss for all periods presented. The results of operations of any interim periods are not necessarily indicative of the results of operations to be expected for the full fiscal year. The unaudited interim condensed consolidated financial statements should be read in conjunction with Blaize, Inc.’s consolidated financial statements and accompanying footnotes included in the Company’s Form 8-K/A filed with the U.S. Securities and Exchange Commission (“SEC”) on April 15, 2025, which provides a more complete discussion of the Company’s accounting policies and certain other information.</w:t>
      </w:r>
    </w:p>
    <w:p>
      <w:pPr>
        <w:spacing w:after="0" w:line="21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accordance with U.S. GAAP requires the Company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presented. Such estimates and assumptions include, but are not limited to, those related to revenue recognition, the allowance for credit losses, the net realizable value of inventory, the useful lives of long-lived assets, the incremental borrowing rate used in calculating operating lease right of use assets, the accounting for income taxes, the estimates used to evaluate the recoverability of long-lived assets, and the estimated fair values of historical convertible notes and legacy warrants, the Other Earnout Shares, the Committed Equity Facility, unissued shares of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w:t>
      </w:r>
    </w:p>
    <w:p>
      <w:pPr>
        <w:spacing w:after="0" w:line="141"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As of September 30, 2025 and December 31, 2024, the Company had cash and cash equivalents balances in excess of domestic and international insurance limits of $23.1 million and $49.3 million, respectively.</w:t>
      </w:r>
    </w:p>
    <w:p>
      <w:pPr>
        <w:spacing w:after="0" w:line="125"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As of September 30, 2025, the Company held $3.8 million in mutual funds and less than $0.1 million in U.S. Government money market funds, while as of December 31, 2024, the Company held $30.6 million in U.S. Government treasury securities, $9.2 million in U.S. Government money market funds, and $5.1 million in mutual funds (see Note 5).</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3" w:lineRule="exact"/>
        <w:rPr>
          <w:sz w:val="20"/>
          <w:szCs w:val="20"/>
          <w:color w:val="auto"/>
        </w:rPr>
      </w:pPr>
    </w:p>
    <w:p>
      <w:pPr>
        <w:jc w:val="both"/>
        <w:ind w:left="1360" w:right="239"/>
        <w:spacing w:after="0" w:line="283" w:lineRule="auto"/>
        <w:rPr>
          <w:sz w:val="20"/>
          <w:szCs w:val="20"/>
          <w:color w:val="auto"/>
        </w:rPr>
      </w:pPr>
      <w:r>
        <w:rPr>
          <w:rFonts w:ascii="Times New Roman" w:cs="Times New Roman" w:eastAsia="Times New Roman" w:hAnsi="Times New Roman"/>
          <w:sz w:val="14"/>
          <w:szCs w:val="14"/>
          <w:color w:val="auto"/>
        </w:rPr>
        <w:t>Restricted cash represents cash balances held as security deposits related to international payment services. As of September 30, 2025 and December 31, 2024, restricted cash of $0.3 million was included within other assets on the condensed consolidated balance sheets.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Accounts receivable, net is recorded at the invoiced amount and does not accrue interest. The allowance for credit losses is the Company’s estimate of the amount of probable credit losses in the Company’s existing</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F-10</w:t>
      </w:r>
    </w:p>
    <w:p>
      <w:pPr>
        <w:sectPr>
          <w:pgSz w:w="11900" w:h="16838" w:orient="portrait"/>
          <w:cols w:equalWidth="0" w:num="1">
            <w:col w:w="10159"/>
          </w:cols>
          <w:pgMar w:left="300" w:top="407"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against the allowance after all means of collection have been exhausted and the potential for recovery is considered remote. The allowance for credit losses was $0.4 million as of September 30, 2025 and December 31, 2024.</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3"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condensed consolidated statements of operations.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Deferred offering costs consist of direct incremental legal, consulting and banking fees incurred from issuing securities. The Company’s deferred offering costs primarily relate to offering costs associated with the Merger (see Note 3), as well as offering costs associated with future equity financing arrangements.</w:t>
      </w:r>
    </w:p>
    <w:p>
      <w:pPr>
        <w:spacing w:after="0" w:line="136" w:lineRule="exact"/>
        <w:rPr>
          <w:sz w:val="20"/>
          <w:szCs w:val="20"/>
          <w:color w:val="auto"/>
        </w:rPr>
      </w:pPr>
    </w:p>
    <w:p>
      <w:pPr>
        <w:ind w:left="1360" w:right="239"/>
        <w:spacing w:after="0" w:line="287" w:lineRule="auto"/>
        <w:rPr>
          <w:sz w:val="20"/>
          <w:szCs w:val="20"/>
          <w:color w:val="auto"/>
        </w:rPr>
      </w:pPr>
      <w:r>
        <w:rPr>
          <w:rFonts w:ascii="Times New Roman" w:cs="Times New Roman" w:eastAsia="Times New Roman" w:hAnsi="Times New Roman"/>
          <w:sz w:val="13"/>
          <w:szCs w:val="13"/>
          <w:color w:val="auto"/>
        </w:rPr>
        <w:t>Upon the consummation of the Merger, the related offering costs that had been capitalized were fully expensed within transaction costs on the condensed consolidated statement of operations during the nine months ended September 30, 2025. As of September 30, 2025, there was $0.2 million of capitalized deferred offering costs in relation to future equity financing arrangements, and as of December 31, 2024, there was $11.1 million of deferred offering costs in relation to the Merger, respectively, included in prepaid expenses and other current assets on the condensed consolidated balance sheets.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2025 and 2024, the Company did not recognize any impairment expense related to its long-lived assets.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Evaluation</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Company evaluates the terms of its debt instruments and other contracts to determine if those contracts or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F-11</w:t>
      </w:r>
    </w:p>
    <w:p>
      <w:pPr>
        <w:sectPr>
          <w:pgSz w:w="11900" w:h="16838" w:orient="portrait"/>
          <w:cols w:equalWidth="0" w:num="1">
            <w:col w:w="10159"/>
          </w:cols>
          <w:pgMar w:left="300" w:top="407"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Committed Equity Facility</w:t>
      </w:r>
    </w:p>
    <w:p>
      <w:pPr>
        <w:spacing w:after="0" w:line="91" w:lineRule="exact"/>
        <w:rPr>
          <w:sz w:val="20"/>
          <w:szCs w:val="20"/>
          <w:color w:val="auto"/>
        </w:rPr>
      </w:pPr>
    </w:p>
    <w:p>
      <w:pPr>
        <w:ind w:left="1360" w:right="279"/>
        <w:spacing w:after="0" w:line="262" w:lineRule="auto"/>
        <w:rPr>
          <w:sz w:val="20"/>
          <w:szCs w:val="20"/>
          <w:color w:val="auto"/>
        </w:rPr>
      </w:pPr>
      <w:r>
        <w:rPr>
          <w:rFonts w:ascii="Times New Roman" w:cs="Times New Roman" w:eastAsia="Times New Roman" w:hAnsi="Times New Roman"/>
          <w:sz w:val="14"/>
          <w:szCs w:val="14"/>
          <w:color w:val="auto"/>
        </w:rPr>
        <w:t xml:space="preserve">The Company evaluated the Committed Equity Facility to determine whether it should be accounted for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and concluded that it is an equity-linked contract that does not qualify for equity classification (see Notes 1, 6 and 13). As a result, the Committed Equity Facility is considered to be a freestanding purchased put right and should be accounted for as a derivative with fair value accounting. Changes in the fair value of the Committed Equity Facility will be recorded on the condensed consolidated statements of operations.</w:t>
      </w:r>
    </w:p>
    <w:p>
      <w:pPr>
        <w:spacing w:after="0" w:line="140"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Additionally, the Company analyzed the subsequent draws on the Committed Equity Facility and determined that each draw would be considered a forward contract and should be accounted for individually as derivatives with fair value accounting. As of September 30, 2025, the forward contracts from subsequent draws on the Committed Equity Facility were insignificant.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Blaize Convertible Notes</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 xml:space="preserve">Prior to the consummation of the Merger, the Company accounted for its convertible notes, some of which contained predominantly fixed rate conversion features under ASU 2020-06, </w:t>
      </w:r>
      <w:r>
        <w:rPr>
          <w:rFonts w:ascii="Times New Roman" w:cs="Times New Roman" w:eastAsia="Times New Roman" w:hAnsi="Times New Roman"/>
          <w:sz w:val="14"/>
          <w:szCs w:val="14"/>
          <w:i w:val="1"/>
          <w:iCs w:val="1"/>
          <w:color w:val="auto"/>
        </w:rPr>
        <w:t>Debt—Debt with Conversion and Other Options (Subtopic 470-20) and Derivatives and Hedging—Contracts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 Entity’s Own Equity (Subtopic 815-40): Accounting for Convertible Instruments and Contracts in an Entity’s Own Equity</w:t>
      </w:r>
      <w:r>
        <w:rPr>
          <w:rFonts w:ascii="Times New Roman" w:cs="Times New Roman" w:eastAsia="Times New Roman" w:hAnsi="Times New Roman"/>
          <w:sz w:val="14"/>
          <w:szCs w:val="14"/>
          <w:color w:val="auto"/>
        </w:rPr>
        <w:t>. The Company elected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account for its convertible notes at fair value at each period end pursuant to ASC 825, </w:t>
      </w:r>
      <w:r>
        <w:rPr>
          <w:rFonts w:ascii="Times New Roman" w:cs="Times New Roman" w:eastAsia="Times New Roman" w:hAnsi="Times New Roman"/>
          <w:sz w:val="14"/>
          <w:szCs w:val="14"/>
          <w:i w:val="1"/>
          <w:iCs w:val="1"/>
          <w:color w:val="auto"/>
        </w:rPr>
        <w:t>Financial Instruments</w:t>
      </w:r>
      <w:r>
        <w:rPr>
          <w:rFonts w:ascii="Times New Roman" w:cs="Times New Roman" w:eastAsia="Times New Roman" w:hAnsi="Times New Roman"/>
          <w:sz w:val="14"/>
          <w:szCs w:val="14"/>
          <w:color w:val="auto"/>
        </w:rPr>
        <w:t xml:space="preserve"> wherein changes in the fair value were recorded as change in fair value of convertible notes in the condensed consolidated statements of operations. The convertible notes were remeasured just prior to the date of the Merger, and upon the closing of the Merger, the convertible notes were fully converted into shares of common stock (see Note 3 and Note 5).</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Warrants</w:t>
      </w:r>
    </w:p>
    <w:p>
      <w:pPr>
        <w:spacing w:after="0" w:line="9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Prior to the consummation of the Merger, the Company had issued freestanding warrants in connection with certain of its convertible debt agreements and preferred stock issuances which were recorded as current liabilities on the condensed consolidated balance sheets at their estimated fair value. At initial recognition, the warrants were recorded at their estimated fair value calculated using the Black-Scholes-Merton (“Black-Scholes”) option pricing model (see Note 10). The liability associated with these warrants was subject to fair value remeasurement at each balance sheet date, with changes in fair value recorded in change in the fair value of warrants on the condensed consolidated statements of operations. The warrants were remeasured just prior to the date of the Merger and, upon the consummation of the Merger, the warrants were fully converted into shares of common stock.</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Earnout Shares</w:t>
      </w:r>
    </w:p>
    <w:p>
      <w:pPr>
        <w:spacing w:after="0" w:line="93"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In connection with the Merger, Legacy Blaize shareholders and employee equity award holders (including holders of stock options and restricted stock units (“RSUs”) are entitled to receive up to 15,000,000 shares of common stock and Burkhan has the right to receive up to 2,600,000 shares of common stock. (collectively, the “Earnout Shares”) (see Note 3).</w:t>
      </w:r>
    </w:p>
    <w:p>
      <w:pPr>
        <w:spacing w:after="0" w:line="136"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 xml:space="preserve">Earnout Shares issued to eligible Legacy Blaize employee equity award holders (“Employee Earnout Shares”) are considered a compensatory award and are accounted for under ASC 718, </w:t>
      </w:r>
      <w:r>
        <w:rPr>
          <w:rFonts w:ascii="Times New Roman" w:cs="Times New Roman" w:eastAsia="Times New Roman" w:hAnsi="Times New Roman"/>
          <w:sz w:val="14"/>
          <w:szCs w:val="14"/>
          <w:i w:val="1"/>
          <w:iCs w:val="1"/>
          <w:color w:val="auto"/>
        </w:rPr>
        <w:t>Share-Based Compensation</w:t>
      </w:r>
      <w:r>
        <w:rPr>
          <w:rFonts w:ascii="Times New Roman" w:cs="Times New Roman" w:eastAsia="Times New Roman" w:hAnsi="Times New Roman"/>
          <w:sz w:val="14"/>
          <w:szCs w:val="14"/>
          <w:color w:val="auto"/>
        </w:rPr>
        <w:t>. Further, these Employee Earnout Shares have been determined to be equity classified and accordingly, will not be remeasured at each reporting date.</w:t>
      </w:r>
    </w:p>
    <w:p>
      <w:pPr>
        <w:spacing w:after="0" w:line="13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 xml:space="preserve">Earnout Shares issued to Burkhan and Legacy Blaize shareholders not within the scope of ASC 718 (the “Other Earnout Shares”), were evaluated by management under ASC 480, </w:t>
      </w:r>
      <w:r>
        <w:rPr>
          <w:rFonts w:ascii="Times New Roman" w:cs="Times New Roman" w:eastAsia="Times New Roman" w:hAnsi="Times New Roman"/>
          <w:sz w:val="14"/>
          <w:szCs w:val="14"/>
          <w:i w:val="1"/>
          <w:iCs w:val="1"/>
          <w:color w:val="auto"/>
        </w:rPr>
        <w:t>Distinguishing Liabilities from Equity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F-12</w:t>
      </w:r>
    </w:p>
    <w:p>
      <w:pPr>
        <w:sectPr>
          <w:pgSz w:w="11900" w:h="16838" w:orient="portrait"/>
          <w:cols w:equalWidth="0" w:num="1">
            <w:col w:w="10159"/>
          </w:cols>
          <w:pgMar w:left="300" w:top="407"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(“ASC 480”), and ASC 815. The Company determined that the Other Earnout Shares are freestanding and not liability-classified under ASC 480 but represented a structured forward contract pursuant to ASC 815, which resulted in liability classification (see Note 3). Therefore, the Company considers the Other Earnout Shares a derivative liability and will remeasure the Other Earnout Shares at each reporting date, with changes in the fair value recorded on the condensed consolidated statements of operations.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Blaize Redeemable Convertible Preferred Stock</w:t>
      </w:r>
    </w:p>
    <w:p>
      <w:pPr>
        <w:spacing w:after="0" w:line="93" w:lineRule="exact"/>
        <w:rPr>
          <w:sz w:val="20"/>
          <w:szCs w:val="20"/>
          <w:color w:val="auto"/>
        </w:rPr>
      </w:pPr>
    </w:p>
    <w:p>
      <w:pPr>
        <w:jc w:val="both"/>
        <w:ind w:left="1360" w:right="279"/>
        <w:spacing w:after="0" w:line="281" w:lineRule="auto"/>
        <w:rPr>
          <w:sz w:val="20"/>
          <w:szCs w:val="20"/>
          <w:color w:val="auto"/>
        </w:rPr>
      </w:pPr>
      <w:r>
        <w:rPr>
          <w:rFonts w:ascii="Times New Roman" w:cs="Times New Roman" w:eastAsia="Times New Roman" w:hAnsi="Times New Roman"/>
          <w:sz w:val="13"/>
          <w:szCs w:val="13"/>
          <w:color w:val="auto"/>
        </w:rPr>
        <w:t>Prior to the consummation of the Merger, the Company had (i) Series Seed Shadow Preferred Stock, (ii) Series A Shadow Preferred Stock, (iii) Series B Shadow Preferred Stock, (iv) Series C Shadow Preferred Stock, (v) Series D Shadow Preferred Stock, (vi) Series D Exchange Shadow Preferred Stock,</w:t>
      </w:r>
    </w:p>
    <w:p>
      <w:pPr>
        <w:spacing w:after="0" w:line="1" w:lineRule="exact"/>
        <w:rPr>
          <w:sz w:val="20"/>
          <w:szCs w:val="20"/>
          <w:color w:val="auto"/>
        </w:rPr>
      </w:pPr>
    </w:p>
    <w:p>
      <w:pPr>
        <w:ind w:left="1360" w:right="379" w:hanging="5"/>
        <w:spacing w:after="0" w:line="277" w:lineRule="auto"/>
        <w:tabs>
          <w:tab w:leader="none" w:pos="163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Series D-1 Shadow Preferred Stock, (viii) Series D-1 Exchange Shadow Preferred Stock, and (ix) Series D-2 Shadow Preferred Stock, all outstanding. The Company’s redeemable convertible preferred stock had been classified outside of stockholders’ equity (deficit), as mezzanine equity, due to the redemption option of the preferred stock shareholders. The Company recorded redeemable convertible preferred stock at fair value on the dates of issuance, net of issuance costs. The Company adjusted the carrying values of the redeemable convertible preferred stock, subsequent to the initial issuance date, to the redemption value of such shares because it was probable that the convertible preferred stock would become redeemable.</w:t>
      </w:r>
    </w:p>
    <w:p>
      <w:pPr>
        <w:spacing w:after="0" w:line="132"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Upon the consummation of the Merger, all shares of redeemable convertible preferred stock outstanding were converted into shares of common stock (see Note 3). All shares of redeemable convertible preferred stock that were converted into shares of common stock were retroactively adjusted using the exchange ratio and reclassified into permanent equity as a result of the Merger.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9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as well as each subsequent reporting period end while the warrants are outstanding.</w:t>
      </w:r>
    </w:p>
    <w:p>
      <w:pPr>
        <w:spacing w:after="0" w:line="143"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 analyzed the warrants issued in BurTech’s Initial Public Offering (“Public Warrants”), warrants included in the private placement Units (the “Private Warrants”), and warrants issued to advisor for services (the “Common Stock Warrants”) and determined they are considered to be freestanding instruments and do not exhibit any of the characteristics in ASC 480 and therefore are not classified as liabilities under ASC 480. As of September 30, 2025, the Company’s outstanding public warrants and private warrants met all the requirements for equity classification under ASC 815 and therefore were classified as equity. As of December 31, 2024, Legacy Blaize warrants were classified as liabilities, as described above.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The Company derives all its revenue from contracts with customers, including sales of hardware and software products and engineering services, all as further described below. The Company recognizes revenue under</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F-13</w:t>
      </w:r>
    </w:p>
    <w:p>
      <w:pPr>
        <w:sectPr>
          <w:pgSz w:w="11900" w:h="16838" w:orient="portrait"/>
          <w:cols w:equalWidth="0" w:num="1">
            <w:col w:w="10159"/>
          </w:cols>
          <w:pgMar w:left="300" w:top="40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xml:space="preserve">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in which it determines revenue recognition through the following steps:</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1: Identify the contract with the customer.</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2: Identify the performance obligations in the contract.</w:t>
      </w:r>
    </w:p>
    <w:p>
      <w:pPr>
        <w:spacing w:after="0" w:line="93"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3: Determine the transaction price.</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4: Allocate the transaction price to the performance obligations in the contract.</w:t>
      </w:r>
    </w:p>
    <w:p>
      <w:pPr>
        <w:spacing w:after="0" w:line="93"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Contracts that contain multiple performance obligations require an allocation of the transaction price to each performance obligation based on each performance obligation’s relative standalone selling price.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5: Recognize revenue when the company satisfies a performance obligation.</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a period of time. Hardware revenue is recognized at a point in time when the product is shipped.</w:t>
      </w:r>
    </w:p>
    <w:p>
      <w:pPr>
        <w:spacing w:after="0" w:line="136" w:lineRule="exact"/>
        <w:rPr>
          <w:sz w:val="20"/>
          <w:szCs w:val="20"/>
          <w:color w:val="auto"/>
        </w:rPr>
      </w:pPr>
    </w:p>
    <w:p>
      <w:pPr>
        <w:jc w:val="both"/>
        <w:ind w:left="1360" w:right="459"/>
        <w:spacing w:after="0" w:line="267" w:lineRule="auto"/>
        <w:rPr>
          <w:sz w:val="20"/>
          <w:szCs w:val="20"/>
          <w:color w:val="auto"/>
        </w:rPr>
      </w:pPr>
      <w:r>
        <w:rPr>
          <w:rFonts w:ascii="Times New Roman" w:cs="Times New Roman" w:eastAsia="Times New Roman" w:hAnsi="Times New Roman"/>
          <w:sz w:val="14"/>
          <w:szCs w:val="14"/>
          <w:color w:val="auto"/>
        </w:rPr>
        <w:t>Revenue from hardware product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36"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Licenses for on-premises software provide the customer with a right to use the software as it exists when made available to the customer. Revenue from distinct on-premises licenses is recognized up-front at the point in time when the software is made available to the customer.</w:t>
      </w:r>
    </w:p>
    <w:p>
      <w:pPr>
        <w:spacing w:after="0" w:line="125"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The Company’s license and development arrangements entail revenue from the licensing of its intellectual property (“IP”) and also include revenue from engineering services to configure the Company’s IP and hardware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F-14</w:t>
      </w:r>
    </w:p>
    <w:p>
      <w:pPr>
        <w:sectPr>
          <w:pgSz w:w="11900" w:h="16838" w:orient="portrait"/>
          <w:cols w:equalWidth="0" w:num="1">
            <w:col w:w="10159"/>
          </w:cols>
          <w:pgMar w:left="300" w:top="407"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4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w:t>
      </w:r>
    </w:p>
    <w:p>
      <w:pPr>
        <w:spacing w:after="0" w:line="146"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5"/>
          </w:tcPr>
          <w:p>
            <w:pPr>
              <w:ind w:left="2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87"/>
        </w:trPr>
        <w:tc>
          <w:tcPr>
            <w:tcW w:w="476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2"/>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 </w:t>
            </w:r>
          </w:p>
        </w:tc>
        <w:tc>
          <w:tcPr>
            <w:tcW w:w="2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center"/>
              <w:ind w:right="42"/>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760" w:type="dxa"/>
            <w:vAlign w:val="bottom"/>
            <w:vMerge w:val="continue"/>
          </w:tcPr>
          <w:p>
            <w:pPr>
              <w:spacing w:after="0"/>
              <w:rPr>
                <w:sz w:val="11"/>
                <w:szCs w:val="11"/>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2025 </w:t>
            </w:r>
          </w:p>
        </w:tc>
        <w:tc>
          <w:tcPr>
            <w:tcW w:w="240" w:type="dxa"/>
            <w:vAlign w:val="bottom"/>
          </w:tcPr>
          <w:p>
            <w:pPr>
              <w:spacing w:after="0"/>
              <w:rPr>
                <w:sz w:val="11"/>
                <w:szCs w:val="11"/>
                <w:color w:val="auto"/>
              </w:rPr>
            </w:pPr>
          </w:p>
        </w:tc>
        <w:tc>
          <w:tcPr>
            <w:tcW w:w="6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8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78"/>
              </w:rPr>
              <w:t>2025 </w:t>
            </w:r>
          </w:p>
        </w:tc>
        <w:tc>
          <w:tcPr>
            <w:tcW w:w="240" w:type="dxa"/>
            <w:vAlign w:val="bottom"/>
          </w:tcPr>
          <w:p>
            <w:pPr>
              <w:spacing w:after="0"/>
              <w:rPr>
                <w:sz w:val="11"/>
                <w:szCs w:val="11"/>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0" w:type="dxa"/>
            <w:vAlign w:val="bottom"/>
          </w:tcPr>
          <w:p>
            <w:pPr>
              <w:spacing w:after="0"/>
              <w:rPr>
                <w:sz w:val="1"/>
                <w:szCs w:val="1"/>
                <w:color w:val="auto"/>
              </w:rPr>
            </w:pPr>
          </w:p>
        </w:tc>
      </w:tr>
      <w:tr>
        <w:trPr>
          <w:trHeight w:val="159"/>
        </w:trPr>
        <w:tc>
          <w:tcPr>
            <w:tcW w:w="4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as of beginning of period</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$2,462</w:t>
            </w: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$ 1,100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6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Additions to deferred revenue</w:t>
            </w:r>
            <w:r>
              <w:rPr>
                <w:rFonts w:ascii="Times New Roman" w:cs="Times New Roman" w:eastAsia="Times New Roman" w:hAnsi="Times New Roman"/>
                <w:sz w:val="17"/>
                <w:szCs w:val="17"/>
                <w:color w:val="auto"/>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4"/>
                <w:szCs w:val="14"/>
                <w:color w:val="auto"/>
              </w:rPr>
              <w:t>Deferred revenue recognized</w:t>
            </w:r>
            <w:r>
              <w:rPr>
                <w:rFonts w:ascii="Times New Roman" w:cs="Times New Roman" w:eastAsia="Times New Roman" w:hAnsi="Times New Roman"/>
                <w:sz w:val="17"/>
                <w:szCs w:val="17"/>
                <w:color w:val="auto"/>
                <w:vertAlign w:val="superscript"/>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w:t>
            </w: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(735)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(1,102)</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end of period</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1,727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579" w:hanging="345"/>
        <w:spacing w:after="0" w:line="236" w:lineRule="auto"/>
        <w:tabs>
          <w:tab w:leader="none" w:pos="1700" w:val="left"/>
        </w:tabs>
        <w:numPr>
          <w:ilvl w:val="0"/>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Additions to deferred revenue and deferred revenue recognized during the three and nine months ended September 30, 2025 are from related parties (see Note 16).</w:t>
      </w:r>
    </w:p>
    <w:p>
      <w:pPr>
        <w:spacing w:after="0" w:line="154"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25" w:lineRule="exact"/>
        <w:rPr>
          <w:sz w:val="20"/>
          <w:szCs w:val="20"/>
          <w:color w:val="auto"/>
        </w:rPr>
      </w:pPr>
    </w:p>
    <w:p>
      <w:pPr>
        <w:ind w:left="1360" w:right="539"/>
        <w:spacing w:after="0" w:line="323" w:lineRule="auto"/>
        <w:rPr>
          <w:sz w:val="20"/>
          <w:szCs w:val="20"/>
          <w:color w:val="auto"/>
        </w:rPr>
      </w:pPr>
      <w:r>
        <w:rPr>
          <w:rFonts w:ascii="Times New Roman" w:cs="Times New Roman" w:eastAsia="Times New Roman" w:hAnsi="Times New Roman"/>
          <w:sz w:val="13"/>
          <w:szCs w:val="13"/>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offers a standard assurance-type warranty to customers for hardware product sales.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Cost of revenue is primarily comprised of the cost of semiconductors purchased from contract manufacturers, including wafer fabrication, assembly, testing and packaging, board, and device costs as well as indirect costs such as inventory carrying costs and inventory valuation reserves. In addition, cost of revenue also includes direct labor costs when applicable. There is no depreciation and amortization allocable to cost of revenue; however, if such depreciation and amortization expense were to be incurred, it would be allocated to cost of revenue.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F-15</w:t>
      </w:r>
    </w:p>
    <w:p>
      <w:pPr>
        <w:sectPr>
          <w:pgSz w:w="11900" w:h="16838" w:orient="portrait"/>
          <w:cols w:equalWidth="0" w:num="1">
            <w:col w:w="10159"/>
          </w:cols>
          <w:pgMar w:left="300" w:top="407"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Company is subject to tax audits in various jurisdictions. The Company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the provision for income taxes.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jc w:val="both"/>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 recognizes the cost of stock options granted to employees, consultants, and directors based on the fair value of those awards at the date of grant over the requisite service period. The fair value of stock options granted is determined using the Black-Scholes option pricing model using various inputs, including Company estimates of expected share price volatility, term, risk-free rate and future dividends. The Company has elected the simplified method to determine the expected term of the option grants.</w:t>
      </w:r>
    </w:p>
    <w:p>
      <w:pPr>
        <w:spacing w:after="0" w:line="14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The Company also grants RSUs to employees, consultants, and directors which vest upon the satisfaction of a service-based condition. The fair value of RSUs is determined based on the fair value of common stock at the date of grant. Due to the Merger that occurred during the nine months ended September 30, 2025, the Company recorded cumulative stock-based compensation using the accelerated attribution method for those RSUs for which the service condition was satisfied prior to the Merger, and will record the remaining unrecognized stock-based compensation over the remainder of the requisite service period (see Note 14). Forfeitures are recognized as they occur.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3" w:lineRule="exact"/>
        <w:rPr>
          <w:sz w:val="20"/>
          <w:szCs w:val="20"/>
          <w:color w:val="auto"/>
        </w:rPr>
      </w:pPr>
    </w:p>
    <w:p>
      <w:pPr>
        <w:ind w:left="1360" w:right="339"/>
        <w:spacing w:after="0" w:line="277" w:lineRule="auto"/>
        <w:rPr>
          <w:sz w:val="20"/>
          <w:szCs w:val="20"/>
          <w:color w:val="auto"/>
        </w:rPr>
      </w:pPr>
      <w:r>
        <w:rPr>
          <w:rFonts w:ascii="Times New Roman" w:cs="Times New Roman" w:eastAsia="Times New Roman" w:hAnsi="Times New Roman"/>
          <w:sz w:val="13"/>
          <w:szCs w:val="13"/>
          <w:color w:val="auto"/>
        </w:rPr>
        <w:t>The Company determines fair value measurements used in its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w:t>
      </w:r>
    </w:p>
    <w:p>
      <w:pPr>
        <w:spacing w:after="0" w:line="2" w:lineRule="exact"/>
        <w:rPr>
          <w:sz w:val="20"/>
          <w:szCs w:val="20"/>
          <w:color w:val="auto"/>
        </w:rPr>
      </w:pPr>
    </w:p>
    <w:p>
      <w:pPr>
        <w:ind w:left="1360" w:right="279" w:hanging="5"/>
        <w:spacing w:after="0" w:line="256" w:lineRule="auto"/>
        <w:tabs>
          <w:tab w:leader="none" w:pos="156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requires fair value measurements be classified and disclosed in one of the following pricing categories:</w:t>
      </w:r>
    </w:p>
    <w:p>
      <w:pPr>
        <w:spacing w:after="0" w:line="162" w:lineRule="exact"/>
        <w:rPr>
          <w:sz w:val="20"/>
          <w:szCs w:val="20"/>
          <w:color w:val="auto"/>
        </w:rPr>
      </w:pPr>
    </w:p>
    <w:p>
      <w:pPr>
        <w:ind w:left="2040" w:right="399" w:hanging="693"/>
        <w:spacing w:after="0" w:line="283" w:lineRule="auto"/>
        <w:tabs>
          <w:tab w:leader="none" w:pos="2020" w:val="left"/>
        </w:tabs>
        <w:rPr>
          <w:sz w:val="20"/>
          <w:szCs w:val="20"/>
          <w:color w:val="auto"/>
        </w:rPr>
      </w:pPr>
      <w:r>
        <w:rPr>
          <w:rFonts w:ascii="Times New Roman" w:cs="Times New Roman" w:eastAsia="Times New Roman" w:hAnsi="Times New Roman"/>
          <w:sz w:val="14"/>
          <w:szCs w:val="14"/>
          <w:i w:val="1"/>
          <w:iCs w:val="1"/>
          <w:color w:val="auto"/>
        </w:rPr>
        <w:t>Level 1:</w:t>
      </w:r>
      <w:r>
        <w:rPr>
          <w:sz w:val="20"/>
          <w:szCs w:val="20"/>
          <w:color w:val="auto"/>
        </w:rPr>
        <w:tab/>
      </w:r>
      <w:r>
        <w:rPr>
          <w:rFonts w:ascii="Times New Roman" w:cs="Times New Roman" w:eastAsia="Times New Roman" w:hAnsi="Times New Roman"/>
          <w:sz w:val="14"/>
          <w:szCs w:val="14"/>
          <w:color w:val="auto"/>
        </w:rPr>
        <w:t>This level consists of unadjusted quoted prices in active markets for identical assets or liabilities that the reporting entity can access at the measurement date.</w:t>
      </w:r>
    </w:p>
    <w:p>
      <w:pPr>
        <w:spacing w:after="0" w:line="41" w:lineRule="exact"/>
        <w:rPr>
          <w:sz w:val="20"/>
          <w:szCs w:val="20"/>
          <w:color w:val="auto"/>
        </w:rPr>
      </w:pPr>
    </w:p>
    <w:p>
      <w:pPr>
        <w:ind w:left="2040" w:right="339" w:hanging="693"/>
        <w:spacing w:after="0" w:line="267" w:lineRule="auto"/>
        <w:tabs>
          <w:tab w:leader="none" w:pos="2020" w:val="left"/>
        </w:tabs>
        <w:rPr>
          <w:sz w:val="20"/>
          <w:szCs w:val="20"/>
          <w:color w:val="auto"/>
        </w:rPr>
      </w:pPr>
      <w:r>
        <w:rPr>
          <w:rFonts w:ascii="Times New Roman" w:cs="Times New Roman" w:eastAsia="Times New Roman" w:hAnsi="Times New Roman"/>
          <w:sz w:val="14"/>
          <w:szCs w:val="14"/>
          <w:i w:val="1"/>
          <w:iCs w:val="1"/>
          <w:color w:val="auto"/>
        </w:rPr>
        <w:t>Level 2:</w:t>
      </w:r>
      <w:r>
        <w:rPr>
          <w:sz w:val="20"/>
          <w:szCs w:val="20"/>
          <w:color w:val="auto"/>
        </w:rPr>
        <w:tab/>
      </w:r>
      <w:r>
        <w:rPr>
          <w:rFonts w:ascii="Times New Roman" w:cs="Times New Roman" w:eastAsia="Times New Roman" w:hAnsi="Times New Roman"/>
          <w:sz w:val="14"/>
          <w:szCs w:val="14"/>
          <w:color w:val="auto"/>
        </w:rPr>
        <w:t>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w:t>
      </w:r>
    </w:p>
    <w:p>
      <w:pPr>
        <w:spacing w:after="0" w:line="51" w:lineRule="exact"/>
        <w:rPr>
          <w:sz w:val="20"/>
          <w:szCs w:val="20"/>
          <w:color w:val="auto"/>
        </w:rPr>
      </w:pPr>
    </w:p>
    <w:p>
      <w:pPr>
        <w:ind w:left="2040" w:right="259" w:hanging="693"/>
        <w:spacing w:after="0" w:line="267" w:lineRule="auto"/>
        <w:tabs>
          <w:tab w:leader="none" w:pos="2020" w:val="left"/>
        </w:tabs>
        <w:rPr>
          <w:sz w:val="20"/>
          <w:szCs w:val="20"/>
          <w:color w:val="auto"/>
        </w:rPr>
      </w:pPr>
      <w:r>
        <w:rPr>
          <w:rFonts w:ascii="Times New Roman" w:cs="Times New Roman" w:eastAsia="Times New Roman" w:hAnsi="Times New Roman"/>
          <w:sz w:val="14"/>
          <w:szCs w:val="14"/>
          <w:i w:val="1"/>
          <w:iCs w:val="1"/>
          <w:color w:val="auto"/>
        </w:rPr>
        <w:t>Level 3:</w:t>
      </w:r>
      <w:r>
        <w:rPr>
          <w:sz w:val="20"/>
          <w:szCs w:val="20"/>
          <w:color w:val="auto"/>
        </w:rPr>
        <w:tab/>
      </w:r>
      <w:r>
        <w:rPr>
          <w:rFonts w:ascii="Times New Roman" w:cs="Times New Roman" w:eastAsia="Times New Roman" w:hAnsi="Times New Roman"/>
          <w:sz w:val="14"/>
          <w:szCs w:val="14"/>
          <w:color w:val="auto"/>
        </w:rPr>
        <w:t>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w:t>
      </w:r>
    </w:p>
    <w:p>
      <w:pPr>
        <w:spacing w:after="0" w:line="138"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carrying amounts of cash, accounts receivable (including from related parties), prepaid expenses and other current assets, accounts payable, accrued expenses and other current liabilities (including to related parties),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F-16</w:t>
      </w:r>
    </w:p>
    <w:p>
      <w:pPr>
        <w:sectPr>
          <w:pgSz w:w="11900" w:h="16838" w:orient="portrait"/>
          <w:cols w:equalWidth="0" w:num="1">
            <w:col w:w="10159"/>
          </w:cols>
          <w:pgMar w:left="300" w:top="407"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accrued compensation, accrued loss on purchase commitments, and working capital loans approximate their fair values due to their short-term maturities.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93"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The Company’s reporting and functional currency is the United States dollar (“USD”). The local currencies of its foreign subsidiaries are the Indian rupee and British pound,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net, in the condensed consolidated statements of operations. During the three and nine months ended September 30, 2025 and 2024, foreign currency transaction gains and losses were immaterial.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The Company’s cash and cash equivalents are primarily on deposit at high-credit quality financial institutions or invested in U.S. Government treasury securities, mutual funds, and money market funds. The Company’s cash accounts in a financial institution may at times exceed the FDIC insurance coverage of $250,000. Investments in money markets are not insured or guaranteed by the FDIC or any other government agency.</w:t>
      </w:r>
    </w:p>
    <w:p>
      <w:pPr>
        <w:spacing w:after="0" w:line="136"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Company is exposed to credit risk in the event of nonpayment by customers up to the amounts recorded on the consolidated balance sheets. The Company manages its accounts receivable credit risk through ongoing credit evaluation of the financial condition of its customers.</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As of September 30, 2025, two customers, one a related party (see Note 16), accounted for approximately 25% and 65% of the Company’s accounts receivable. As of December 31, 2024, one customer accounted for approximately 98% of the Company’s accounts receivable.</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Historically, a relatively small number of customers have accounted for a significant portion of the Company’s revenue. The following table presents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Company’s significant customers: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78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00" w:type="dxa"/>
            <w:vAlign w:val="bottom"/>
          </w:tcPr>
          <w:p>
            <w:pPr>
              <w:spacing w:after="0"/>
              <w:rPr>
                <w:sz w:val="11"/>
                <w:szCs w:val="11"/>
                <w:color w:val="auto"/>
              </w:rPr>
            </w:pPr>
          </w:p>
        </w:tc>
        <w:tc>
          <w:tcPr>
            <w:tcW w:w="1540" w:type="dxa"/>
            <w:vAlign w:val="bottom"/>
            <w:gridSpan w:val="4"/>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3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8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400" w:type="dxa"/>
            <w:vAlign w:val="bottom"/>
          </w:tcPr>
          <w:p>
            <w:pPr>
              <w:spacing w:after="0"/>
              <w:rPr>
                <w:sz w:val="7"/>
                <w:szCs w:val="7"/>
                <w:color w:val="auto"/>
              </w:rPr>
            </w:pPr>
          </w:p>
        </w:tc>
        <w:tc>
          <w:tcPr>
            <w:tcW w:w="1040" w:type="dxa"/>
            <w:vAlign w:val="bottom"/>
            <w:gridSpan w:val="2"/>
          </w:tcPr>
          <w:p>
            <w:pPr>
              <w:jc w:val="center"/>
              <w:ind w:right="744"/>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340" w:type="dxa"/>
            <w:vAlign w:val="bottom"/>
          </w:tcPr>
          <w:p>
            <w:pPr>
              <w:jc w:val="center"/>
              <w:ind w:right="4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gridSpan w:val="2"/>
          </w:tcPr>
          <w:p>
            <w:pPr>
              <w:jc w:val="center"/>
              <w:ind w:right="744"/>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340" w:type="dxa"/>
            <w:vAlign w:val="bottom"/>
          </w:tcPr>
          <w:p>
            <w:pPr>
              <w:jc w:val="center"/>
              <w:ind w:right="40"/>
              <w:spacing w:after="0"/>
              <w:rPr>
                <w:sz w:val="20"/>
                <w:szCs w:val="20"/>
                <w:color w:val="auto"/>
              </w:rPr>
            </w:pPr>
            <w:r>
              <w:rPr>
                <w:rFonts w:ascii="Times New Roman" w:cs="Times New Roman" w:eastAsia="Times New Roman" w:hAnsi="Times New Roman"/>
                <w:sz w:val="4"/>
                <w:szCs w:val="4"/>
                <w:b w:val="1"/>
                <w:bCs w:val="1"/>
                <w:color w:val="auto"/>
                <w:w w:val="98"/>
              </w:rPr>
              <w:t> </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tcPr>
          <w:p>
            <w:pPr>
              <w:spacing w:after="0"/>
              <w:rPr>
                <w:sz w:val="11"/>
                <w:szCs w:val="11"/>
                <w:color w:val="auto"/>
              </w:rPr>
            </w:pPr>
          </w:p>
        </w:tc>
        <w:tc>
          <w:tcPr>
            <w:tcW w:w="2440" w:type="dxa"/>
            <w:vAlign w:val="bottom"/>
            <w:gridSpan w:val="3"/>
          </w:tcPr>
          <w:p>
            <w:pPr>
              <w:jc w:val="center"/>
              <w:ind w:left="533"/>
              <w:spacing w:after="0"/>
              <w:rPr>
                <w:sz w:val="20"/>
                <w:szCs w:val="20"/>
                <w:color w:val="auto"/>
              </w:rPr>
            </w:pPr>
            <w:r>
              <w:rPr>
                <w:rFonts w:ascii="Times New Roman" w:cs="Times New Roman" w:eastAsia="Times New Roman" w:hAnsi="Times New Roman"/>
                <w:sz w:val="11"/>
                <w:szCs w:val="11"/>
                <w:b w:val="1"/>
                <w:bCs w:val="1"/>
                <w:color w:val="auto"/>
                <w:w w:val="72"/>
              </w:rPr>
              <w:t>2025 </w:t>
            </w:r>
          </w:p>
        </w:tc>
        <w:tc>
          <w:tcPr>
            <w:tcW w:w="74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1340" w:type="dxa"/>
            <w:vAlign w:val="bottom"/>
            <w:gridSpan w:val="3"/>
          </w:tcPr>
          <w:p>
            <w:pPr>
              <w:jc w:val="center"/>
              <w:ind w:right="444"/>
              <w:spacing w:after="0"/>
              <w:rPr>
                <w:sz w:val="20"/>
                <w:szCs w:val="20"/>
                <w:color w:val="auto"/>
              </w:rPr>
            </w:pPr>
            <w:r>
              <w:rPr>
                <w:rFonts w:ascii="Times New Roman" w:cs="Times New Roman" w:eastAsia="Times New Roman" w:hAnsi="Times New Roman"/>
                <w:sz w:val="11"/>
                <w:szCs w:val="11"/>
                <w:b w:val="1"/>
                <w:bCs w:val="1"/>
                <w:color w:val="auto"/>
                <w:w w:val="72"/>
              </w:rPr>
              <w:t>2025 </w:t>
            </w:r>
          </w:p>
        </w:tc>
        <w:tc>
          <w:tcPr>
            <w:tcW w:w="5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72"/>
              </w:rPr>
              <w:t>2024 </w:t>
            </w: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A (See Note 16)</w:t>
            </w:r>
          </w:p>
        </w:tc>
        <w:tc>
          <w:tcPr>
            <w:tcW w:w="14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880" w:type="dxa"/>
            <w:vAlign w:val="bottom"/>
            <w:vMerge w:val="continue"/>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line="159" w:lineRule="exact"/>
              <w:rPr>
                <w:sz w:val="20"/>
                <w:szCs w:val="20"/>
                <w:color w:val="auto"/>
              </w:rPr>
            </w:pPr>
            <w:r>
              <w:rPr>
                <w:rFonts w:ascii="Times New Roman" w:cs="Times New Roman" w:eastAsia="Times New Roman" w:hAnsi="Times New Roman"/>
                <w:sz w:val="14"/>
                <w:szCs w:val="14"/>
                <w:color w:val="auto"/>
              </w:rPr>
              <w:t>97%</w:t>
            </w:r>
          </w:p>
        </w:tc>
        <w:tc>
          <w:tcPr>
            <w:tcW w:w="300" w:type="dxa"/>
            <w:vAlign w:val="bottom"/>
            <w:vMerge w:val="continue"/>
            <w:shd w:val="clear" w:color="auto" w:fill="CCEEFF"/>
          </w:tcPr>
          <w:p>
            <w:pPr>
              <w:spacing w:after="0"/>
              <w:rPr>
                <w:sz w:val="13"/>
                <w:szCs w:val="13"/>
                <w:color w:val="auto"/>
              </w:rPr>
            </w:pPr>
          </w:p>
        </w:tc>
        <w:tc>
          <w:tcPr>
            <w:tcW w:w="3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vMerge w:val="continue"/>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68"/>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Customer B (See Note 16)</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C (See Note 16)</w:t>
            </w:r>
          </w:p>
        </w:tc>
        <w:tc>
          <w:tcPr>
            <w:tcW w:w="2440" w:type="dxa"/>
            <w:vAlign w:val="bottom"/>
            <w:tcBorders>
              <w:right w:val="single" w:sz="8" w:color="CCEEFF"/>
            </w:tcBorders>
            <w:gridSpan w:val="3"/>
            <w:shd w:val="clear" w:color="auto" w:fill="CCEEFF"/>
          </w:tcPr>
          <w:p>
            <w:pPr>
              <w:jc w:val="right"/>
              <w:ind w:right="544"/>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340" w:type="dxa"/>
            <w:vAlign w:val="bottom"/>
            <w:tcBorders>
              <w:right w:val="single" w:sz="8" w:color="CCEEFF"/>
            </w:tcBorders>
            <w:gridSpan w:val="3"/>
            <w:shd w:val="clear" w:color="auto" w:fill="CCEEFF"/>
          </w:tcPr>
          <w:p>
            <w:pPr>
              <w:jc w:val="right"/>
              <w:ind w:right="544"/>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Customer D</w:t>
            </w:r>
          </w:p>
        </w:tc>
        <w:tc>
          <w:tcPr>
            <w:tcW w:w="2440" w:type="dxa"/>
            <w:vAlign w:val="bottom"/>
            <w:gridSpan w:val="3"/>
          </w:tcPr>
          <w:p>
            <w:pPr>
              <w:jc w:val="right"/>
              <w:ind w:right="544"/>
              <w:spacing w:after="0"/>
              <w:rPr>
                <w:sz w:val="20"/>
                <w:szCs w:val="20"/>
                <w:color w:val="auto"/>
              </w:rPr>
            </w:pPr>
            <w:r>
              <w:rPr>
                <w:rFonts w:ascii="Times New Roman" w:cs="Times New Roman" w:eastAsia="Times New Roman" w:hAnsi="Times New Roman"/>
                <w:sz w:val="14"/>
                <w:szCs w:val="14"/>
                <w:color w:val="auto"/>
              </w:rPr>
              <w:t>88%</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40" w:type="dxa"/>
            <w:vAlign w:val="bottom"/>
            <w:gridSpan w:val="3"/>
          </w:tcPr>
          <w:p>
            <w:pPr>
              <w:jc w:val="right"/>
              <w:ind w:right="544"/>
              <w:spacing w:after="0"/>
              <w:rPr>
                <w:sz w:val="20"/>
                <w:szCs w:val="20"/>
                <w:color w:val="auto"/>
              </w:rPr>
            </w:pPr>
            <w:r>
              <w:rPr>
                <w:rFonts w:ascii="Times New Roman" w:cs="Times New Roman" w:eastAsia="Times New Roman" w:hAnsi="Times New Roman"/>
                <w:sz w:val="14"/>
                <w:szCs w:val="14"/>
                <w:color w:val="auto"/>
              </w:rPr>
              <w:t>70%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  Defined as less than 10% for the period.</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3"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The Company applies the treasury stock method to determine the dilutive effect of potentially dilutive securities, including warrants, and the if-converted method to determine the dilutive effect of any potentially dilutive convertible securities. The Company’s only participating securities for the three and nine months ended September 30, 2025 and 2024 are shares of the Company’s common stock, and any dividends declared on the common stock would be forfeitable if not vested. Since the Merger was accounted for as a reverse recapitalization, net loss per share has been retroactively adjusted for periods ended prior to the Merger.</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F-17</w:t>
      </w:r>
    </w:p>
    <w:p>
      <w:pPr>
        <w:sectPr>
          <w:pgSz w:w="11900" w:h="16838" w:orient="portrait"/>
          <w:cols w:equalWidth="0" w:num="1">
            <w:col w:w="10159"/>
          </w:cols>
          <w:pgMar w:left="300" w:top="407"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Basic net loss per share is calculated by dividing the net loss attributable to common stockholders by the weighted average number of common stock outstanding during the period, without consideration of potentially dilutive securities. Shares used in the calculation of basic net loss per common share includes vested but unissued shares of common stock that the Company is contractually obligated to issue.</w:t>
      </w:r>
    </w:p>
    <w:p>
      <w:pPr>
        <w:spacing w:after="0" w:line="136" w:lineRule="exact"/>
        <w:rPr>
          <w:sz w:val="20"/>
          <w:szCs w:val="20"/>
          <w:color w:val="auto"/>
        </w:rPr>
      </w:pPr>
    </w:p>
    <w:p>
      <w:pPr>
        <w:ind w:left="1360" w:right="759"/>
        <w:spacing w:after="0" w:line="283" w:lineRule="auto"/>
        <w:rPr>
          <w:sz w:val="20"/>
          <w:szCs w:val="20"/>
          <w:color w:val="auto"/>
        </w:rPr>
      </w:pPr>
      <w:r>
        <w:rPr>
          <w:rFonts w:ascii="Times New Roman" w:cs="Times New Roman" w:eastAsia="Times New Roman" w:hAnsi="Times New Roman"/>
          <w:sz w:val="14"/>
          <w:szCs w:val="14"/>
          <w:color w:val="auto"/>
        </w:rPr>
        <w:t>There are no potentially dilutive securities included in the Company’s diluted net loss per share calculation for the three and nine months ended September 30, 2025 and 2024, as the effect of any potentially dilutive security is anti-dilutive due to the net losses in those periods.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93"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Company operates in one reporting segment. Operating segments are defined as components of an enterprise about which separate financial information is evaluated regularly by the chief operating decision maker (“CODM”) in deciding how to allocate resources and assessing performance. The Company’s Chief Executive Officer is the CODM, who reviews financial information presented on a consolidated basis for the purposes of making operating decisions, allocating resources and evaluating financial performance.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91" w:lineRule="exact"/>
        <w:rPr>
          <w:sz w:val="20"/>
          <w:szCs w:val="20"/>
          <w:color w:val="auto"/>
        </w:rPr>
      </w:pPr>
    </w:p>
    <w:p>
      <w:pPr>
        <w:ind w:left="1360" w:right="379"/>
        <w:spacing w:after="0" w:line="262" w:lineRule="auto"/>
        <w:rPr>
          <w:sz w:val="20"/>
          <w:szCs w:val="20"/>
          <w:color w:val="auto"/>
        </w:rPr>
      </w:pPr>
      <w:r>
        <w:rPr>
          <w:rFonts w:ascii="Times New Roman" w:cs="Times New Roman" w:eastAsia="Times New Roman" w:hAnsi="Times New Roman"/>
          <w:sz w:val="14"/>
          <w:szCs w:val="14"/>
          <w:color w:val="auto"/>
        </w:rPr>
        <w:t xml:space="preserve">In June 2022, the FASB issued ASU 2022-03, </w:t>
      </w:r>
      <w:r>
        <w:rPr>
          <w:rFonts w:ascii="Times New Roman" w:cs="Times New Roman" w:eastAsia="Times New Roman" w:hAnsi="Times New Roman"/>
          <w:sz w:val="14"/>
          <w:szCs w:val="14"/>
          <w:i w:val="1"/>
          <w:iCs w:val="1"/>
          <w:color w:val="auto"/>
        </w:rPr>
        <w:t>Fair Value Measurement (Topic 820): Fair Value Measurement of Equity Securities Subject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Contractual Sale Restrictions</w:t>
      </w:r>
      <w:r>
        <w:rPr>
          <w:rFonts w:ascii="Times New Roman" w:cs="Times New Roman" w:eastAsia="Times New Roman" w:hAnsi="Times New Roman"/>
          <w:sz w:val="14"/>
          <w:szCs w:val="14"/>
          <w:color w:val="auto"/>
        </w:rPr>
        <w:t>. This ASU clarifies guidance in Topic 820 and introduces new disclosure requirements for equity securities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 sale restrictions that are measured at fair value in accordance with Topic 820. The Company adopted this standard on January 1, 2025. The adoption of this standard did not have an impact on its condensed consolidated financial statements.</w:t>
      </w:r>
    </w:p>
    <w:p>
      <w:pPr>
        <w:spacing w:after="0" w:line="138" w:lineRule="exact"/>
        <w:rPr>
          <w:sz w:val="20"/>
          <w:szCs w:val="20"/>
          <w:color w:val="auto"/>
        </w:rPr>
      </w:pPr>
    </w:p>
    <w:p>
      <w:pPr>
        <w:ind w:left="1360" w:right="299"/>
        <w:spacing w:after="0" w:line="268"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This ASU enhances the transparency and decision usefulness of income tax disclosures. This guidance is effective for the Company for the year ended December 31, 2025. The Company is currently evaluating the impact that the adoption of this ASU will have on its condensed consolidated financial statements.</w:t>
      </w:r>
    </w:p>
    <w:p>
      <w:pPr>
        <w:spacing w:after="0" w:line="133" w:lineRule="exact"/>
        <w:rPr>
          <w:sz w:val="20"/>
          <w:szCs w:val="20"/>
          <w:color w:val="auto"/>
        </w:rPr>
      </w:pPr>
    </w:p>
    <w:p>
      <w:pPr>
        <w:ind w:left="1360" w:right="399"/>
        <w:spacing w:after="0" w:line="259"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2024-04, </w:t>
      </w:r>
      <w:r>
        <w:rPr>
          <w:rFonts w:ascii="Times New Roman" w:cs="Times New Roman" w:eastAsia="Times New Roman" w:hAnsi="Times New Roman"/>
          <w:sz w:val="14"/>
          <w:szCs w:val="14"/>
          <w:i w:val="1"/>
          <w:iCs w:val="1"/>
          <w:color w:val="auto"/>
        </w:rPr>
        <w:t>Debt – Debt with Conversion and Other Options (Subtopic 470-20): Induced Conversions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Convertible Debt Instruments. </w:t>
      </w:r>
      <w:r>
        <w:rPr>
          <w:rFonts w:ascii="Times New Roman" w:cs="Times New Roman" w:eastAsia="Times New Roman" w:hAnsi="Times New Roman"/>
          <w:sz w:val="14"/>
          <w:szCs w:val="14"/>
          <w:color w:val="auto"/>
        </w:rPr>
        <w:t>This ASU clarifies guidance on the requirements for determining whether certain settlements of convertible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instruments should be accounted for as an induced conversion or extinguishment. This guidance is effective for the Company beginning on January 1, 2026, and early adoption is permitted, although the Company does not plan to early adopt. The Company is currently evaluating the impact that the adoption of this ASU will have on its condensed consolidated financial statements.</w:t>
      </w:r>
    </w:p>
    <w:p>
      <w:pPr>
        <w:spacing w:after="0" w:line="14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This ASU requires disaggregated disclosure of income statement expenses for public business entities.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ASU does not change the expense captions an entity presents on the face of the income statement; rather, it requires disaggregation of certain expense captions into specified categories in disclosures within the notes to the condensed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4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 Measurement of Credit Losses for Accounts Receivable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Contract Assets</w:t>
      </w:r>
      <w:r>
        <w:rPr>
          <w:rFonts w:ascii="Times New Roman" w:cs="Times New Roman" w:eastAsia="Times New Roman" w:hAnsi="Times New Roman"/>
          <w:sz w:val="14"/>
          <w:szCs w:val="14"/>
          <w:color w:val="auto"/>
        </w:rPr>
        <w:t>. This ASU provides a practical expedient to assume that conditions as of the balance sheet date remain unchanged over the life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asset when estimating expected credit losses for current accounts receivable and current contract assets arising from transactions accounted for under ASC 606. This guidance is effective for the Company beginning on January 1, 2026, and early adoption is permitted, although the Company does not plan to early adopt. The amendments in this ASU should be applied prospectively. The Company is currently evaluating the impact of the adoption of this standard.</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F-18</w:t>
      </w:r>
    </w:p>
    <w:p>
      <w:pPr>
        <w:sectPr>
          <w:pgSz w:w="11900" w:h="16838" w:orient="portrait"/>
          <w:cols w:equalWidth="0" w:num="1">
            <w:col w:w="10159"/>
          </w:cols>
          <w:pgMar w:left="300" w:top="407"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Company does not believe that any other recently issued, not yet effective, accounting standards would have a material effect on the accompanying condensed consolidated financial statements, if adopted.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 Merger and Reverse Recapitalization</w:t>
      </w:r>
    </w:p>
    <w:p>
      <w:pPr>
        <w:spacing w:after="0" w:line="93"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As discussed above, the Merger was consummated on January 13, 2025, which, for accounting purposes, was treated as the equivalent of Legacy Blaize issuing stock for the net assets of BurTech, accompanied by a recapitalization (see Note 1). Under this method of accounting, BurTech was treated as the acquired company for financial accounting and reporting purposes under U.S. GAAP.</w:t>
      </w:r>
    </w:p>
    <w:p>
      <w:pPr>
        <w:spacing w:after="0" w:line="136"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Upon the consummation of the Merger, each share of Legacy Blaize common stock issued and outstanding was canceled and converted into the right to receive approximately 0.78 shares (the “Exchange Ratio”) of common stock of BurTech.</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Blaize Redeemable Convertible Preferred Stock, Convertible Promissory Notes and Warrants</w:t>
      </w:r>
    </w:p>
    <w:p>
      <w:pPr>
        <w:spacing w:after="0" w:line="9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Immediately prior to the closing of the Merger, all outstanding convertible notes, inclusive of accrued and unpaid interest, each of the issued and outstanding shares of redeemable convertible preferred stock, and all outstanding warrants, net exercised, were automatically converted into shares of common stock.</w:t>
      </w:r>
    </w:p>
    <w:p>
      <w:pPr>
        <w:spacing w:after="0" w:line="136"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Upon the consummation of the Merger, (i) each outstanding stock option to purchase Legacy Blaize common stock was converted into a stock option of the Company, upon substantially the same terms and conditions as in effect with respect to the corresponding Legacy Blaize option, and the right to receive a number of earnout shares. Additionally, each Legacy Blaize RSU was converted into an RSU of the Company, upon substantially the same terms and conditions as in effect with respect to the corresponding Legacy Blaize RSU, and the right to receive a number of earnout shares.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Arrangements entered into at time of Merger or assumed upon the consummation of the Merger:</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Public and Private Placement Warrants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Upon the consummation of the Merger, BurTech’s 28,750,000 public warrants and 898,250 private warrants, both outstanding immediately prior to the consummation of the Merger, became warrants of the Company.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PIPE Shares</w:t>
      </w:r>
    </w:p>
    <w:p>
      <w:pPr>
        <w:spacing w:after="0" w:line="93" w:lineRule="exact"/>
        <w:rPr>
          <w:sz w:val="20"/>
          <w:szCs w:val="20"/>
          <w:color w:val="auto"/>
        </w:rPr>
      </w:pPr>
    </w:p>
    <w:p>
      <w:pPr>
        <w:ind w:left="1360" w:right="459"/>
        <w:spacing w:after="0" w:line="261" w:lineRule="auto"/>
        <w:rPr>
          <w:sz w:val="20"/>
          <w:szCs w:val="20"/>
          <w:color w:val="auto"/>
        </w:rPr>
      </w:pPr>
      <w:r>
        <w:rPr>
          <w:rFonts w:ascii="Times New Roman" w:cs="Times New Roman" w:eastAsia="Times New Roman" w:hAnsi="Times New Roman"/>
          <w:sz w:val="14"/>
          <w:szCs w:val="14"/>
          <w:color w:val="auto"/>
        </w:rPr>
        <w:t>From December 31, 2024 through January 13, 2025, BurTech and certain other subscribers (collectively, the “Subscribers”) entered into subscription agreements under which BurTech agreed to issue and sell to the Subscribers, immediately before the Closing Date, collectively, 1,529,500 shares of Class A Stock (the “PIPE Shares”) at a price per share equal to $10.00. Such shares that were outstanding immediately prior to the Merger became shares of common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Shareholder Note Receivable</w:t>
      </w:r>
    </w:p>
    <w:p>
      <w:pPr>
        <w:spacing w:after="0" w:line="93"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Immediately prior to the consummation of the Merger, BurTech LP, a related party, issued a secured promissory note and pledge agreement (the “Shareholder Note”) to BurTech in the principal amount of $8.8 million in exchange for 750,000 shares of common stock. The principal of the Shareholder Note will decrease when BurTech LP pays for transaction costs that the Company assumed from BurTech in the Merger. The Shareholder Note bears interest at 7.0%, compounded annually on December 31 of each year and is secured by 2,000,000 shares of the Company’s common stock owned by BurTech LP. During the three and nine months ended September 30, 2025, payments of zero and $0.2 million, respectively, were made under the Shareholder Note. As of September 30, 2025, the outstanding principal of the Shareholder Note was $8.6 million, included in additional paid-in capital on the condensed consolidated financial statements.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F-19</w:t>
      </w:r>
    </w:p>
    <w:p>
      <w:pPr>
        <w:sectPr>
          <w:pgSz w:w="11900" w:h="16838" w:orient="portrait"/>
          <w:cols w:equalWidth="0" w:num="1">
            <w:col w:w="10159"/>
          </w:cols>
          <w:pgMar w:left="300" w:top="407"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Non-Redemption Agreements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December 31, 2024 and through January 13, 2025, BurTech, BurTech LP and Legacy Blaize entered into Non-Redemption Agreements with several</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unaffiliated stockholders of BurTech (each, an “Investor”) who agreed not to redeem (or validly rescind any redemption requests on) their shares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common stock (“Non-Redeemed Shares”). These Non-Redeemed Shares were exchanged for shares of the Company’s common stock and are held in a</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separate escrow account. In exchange for the foregoing commitments not to redeem the Non-Redeemed Shares, the Company and BurTech LP agreed to</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guarantee that each Investor receives a return of $1.50 per Non-Redeemed Share above the initial $11.57 per share (for a total redemption value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$13.07 per Non-Redeemed Share) held in the related cash escrow account if the Investor sells the Non-Redeemed Shares in the open market. The funds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in the related cash escrow account are sufficient to fulfill the Company’s redemption obligation under the Non-Redemption Agreement. Starting 90 days</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after the Closing Date through 180 days after the Closing Date, each Investor has the right to exercise a put option to receive $13.07 per Non-Redeemed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 The Sponsor, and not the Company, is contractually obligated for the $1.50 per share above the $11.57 held in cash escrow as it relates to the put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option. Accordingly, the Company did not recognize a non-redemption liability as of the Closing Date or September 30, 2025.</w:t>
      </w:r>
    </w:p>
    <w:p>
      <w:pPr>
        <w:spacing w:after="0" w:line="161"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The following table reconciles the elements of the Merger to the condensed consolidated statement of cash flows and the condensed consolidated statement of stockholders’ equity (deficit) for the nine months ended September 30, 2025:</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Recapitalization</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4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 BurTech trust and cash, net of redemptions</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37,259</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Less: Non-redemption escrow</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(33,061)</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 PIPE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Less: transaction costs and advisory paid by BurTech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proceeds from Merger</w:t>
            </w:r>
          </w:p>
        </w:tc>
        <w:tc>
          <w:tcPr>
            <w:tcW w:w="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Other earnout 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(126,025)</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net liabilities assumed from BurTech</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(16,013)</w:t>
            </w:r>
          </w:p>
        </w:tc>
        <w:tc>
          <w:tcPr>
            <w:tcW w:w="0" w:type="dxa"/>
            <w:vAlign w:val="bottom"/>
          </w:tcPr>
          <w:p>
            <w:pPr>
              <w:spacing w:after="0"/>
              <w:rPr>
                <w:sz w:val="1"/>
                <w:szCs w:val="1"/>
                <w:color w:val="auto"/>
              </w:rPr>
            </w:pPr>
          </w:p>
        </w:tc>
      </w:tr>
      <w:tr>
        <w:trPr>
          <w:trHeight w:val="169"/>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Total Merger and PIPE financing</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(126,164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number of shares of common stock outstanding immediately following the consummation of the Merger:</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380" w:type="dxa"/>
            <w:vAlign w:val="bottom"/>
            <w:vMerge w:val="continue"/>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BurTech Class A common stock, outstanding prior to the Merger</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10,816,995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Sponsor forfeiture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153"/>
        </w:trPr>
        <w:tc>
          <w:tcPr>
            <w:tcW w:w="1380" w:type="dxa"/>
            <w:vAlign w:val="bottom"/>
          </w:tcPr>
          <w:p>
            <w:pPr>
              <w:spacing w:after="0"/>
              <w:rPr>
                <w:sz w:val="13"/>
                <w:szCs w:val="13"/>
                <w:color w:val="auto"/>
              </w:rPr>
            </w:pPr>
          </w:p>
        </w:tc>
        <w:tc>
          <w:tcPr>
            <w:tcW w:w="494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BurTech Class A common stock subject to redemption, outstanding prior to the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4,104,543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Shareholder Note receivable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Redemption of BurTech Class A common stock</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(937,844)</w:t>
            </w: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BurTech Class A Shares in non-redemption escrow</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(2,854,242)</w:t>
            </w: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 of BurTech</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9,879,452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PIPE 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1,529,500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BurTech Class B common stock, outstanding prior to the Merger</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4"/>
                <w:szCs w:val="14"/>
                <w:color w:val="auto"/>
              </w:rPr>
              <w:t>Merger and PIPE financing 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11,408,957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Blaize shares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87,314,968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to advisors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immediately after the Merger</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98,818,874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40" w:type="dxa"/>
            <w:vAlign w:val="bottom"/>
            <w:vMerge w:val="restart"/>
          </w:tcPr>
          <w:p>
            <w:pPr>
              <w:ind w:left="2780"/>
              <w:spacing w:after="0"/>
              <w:rPr>
                <w:sz w:val="20"/>
                <w:szCs w:val="20"/>
                <w:color w:val="auto"/>
              </w:rPr>
            </w:pPr>
            <w:r>
              <w:rPr>
                <w:rFonts w:ascii="Times New Roman" w:cs="Times New Roman" w:eastAsia="Times New Roman" w:hAnsi="Times New Roman"/>
                <w:sz w:val="14"/>
                <w:szCs w:val="14"/>
                <w:color w:val="auto"/>
              </w:rPr>
              <w:t>F-20</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380" w:type="dxa"/>
            <w:vAlign w:val="bottom"/>
          </w:tcPr>
          <w:p>
            <w:pPr>
              <w:spacing w:after="0"/>
              <w:rPr>
                <w:sz w:val="23"/>
                <w:szCs w:val="23"/>
                <w:color w:val="auto"/>
              </w:rPr>
            </w:pPr>
          </w:p>
        </w:tc>
        <w:tc>
          <w:tcPr>
            <w:tcW w:w="494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number of Legacy Blaize shares was determined as follows: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Legacy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900" w:type="dxa"/>
            <w:vAlign w:val="bottom"/>
            <w:vMerge w:val="restart"/>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Legacy Blaize</w:t>
            </w:r>
          </w:p>
        </w:tc>
        <w:tc>
          <w:tcPr>
            <w:tcW w:w="240" w:type="dxa"/>
            <w:vAlign w:val="bottom"/>
          </w:tcPr>
          <w:p>
            <w:pPr>
              <w:spacing w:after="0"/>
              <w:rPr>
                <w:sz w:val="10"/>
                <w:szCs w:val="10"/>
                <w:color w:val="auto"/>
              </w:rPr>
            </w:pPr>
          </w:p>
        </w:tc>
        <w:tc>
          <w:tcPr>
            <w:tcW w:w="8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Blaize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Shares After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Conversion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17,518,791</w:t>
            </w:r>
          </w:p>
        </w:tc>
        <w:tc>
          <w:tcPr>
            <w:tcW w:w="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13,663,527</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redeemable convertible preferred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44,506,781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34,712,525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convertible notes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40,302,382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31,433,259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Net exercise of legacy warrants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9,623,432</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7,505,657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immediately after the Merger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111,951,386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87,314,968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Earnout Share Arrangements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Legacy Blaize shareholders, Legacy Blaize employee equity award holders (including stock options and RSUs) and Burkhan are entitled to Earnout Shares in four tranches upon the occurrence of four separate Triggering Events (defined below), if they occur between January 13, 2025 and January 13, 2030 (the “Earnout Period”). The Triggering Events are driven by whether the Company’s closing share price on 20 trading days out of 30 consecutive trading days equals or exceeds defined per share thresholds in each tranche as follows:</w:t>
      </w:r>
    </w:p>
    <w:p>
      <w:pPr>
        <w:spacing w:after="0" w:line="67" w:lineRule="exact"/>
        <w:rPr>
          <w:sz w:val="20"/>
          <w:szCs w:val="20"/>
          <w:color w:val="auto"/>
        </w:rPr>
      </w:pPr>
    </w:p>
    <w:p>
      <w:pPr>
        <w:ind w:left="2120" w:right="619" w:hanging="345"/>
        <w:spacing w:after="0" w:line="283"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of the Company’s common stock is greater than or equal to $12.50 per share, 3,750,000 Earnout Shares to Legacy Blaize shareholders and Legacy Blaize employee equity award holders and 650,000 Earnout Shares to Burkhan will be issued; and</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of the Company’s common stock is greater than or equal to $15.00 per share, an additional 3,750,000 Earnout Shares to Legacy Blaize shareholders and Legacy Blaize employee equity award holders and an additional 650,000 Earnout Shares to Burkhan will be issued; and</w:t>
      </w:r>
    </w:p>
    <w:p>
      <w:pPr>
        <w:spacing w:after="0" w:line="6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of the Company’s common stock is greater than or equal to $17.50 per share, an additional 3,750,000 Earnout Shares to Legacy Blaize shareholders and Legacy Blaize employee equity award holders and an additional 650,000 Earnout Shares to Burkhan will be issued; and</w:t>
      </w:r>
    </w:p>
    <w:p>
      <w:pPr>
        <w:spacing w:after="0" w:line="61" w:lineRule="exact"/>
        <w:rPr>
          <w:rFonts w:ascii="Times New Roman" w:cs="Times New Roman" w:eastAsia="Times New Roman" w:hAnsi="Times New Roman"/>
          <w:sz w:val="14"/>
          <w:szCs w:val="14"/>
          <w:color w:val="auto"/>
        </w:rPr>
      </w:pPr>
    </w:p>
    <w:p>
      <w:pPr>
        <w:jc w:val="both"/>
        <w:ind w:left="2120" w:right="239" w:hanging="345"/>
        <w:spacing w:after="0" w:line="267" w:lineRule="auto"/>
        <w:tabs>
          <w:tab w:leader="none" w:pos="21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of the Company’s common stock is greater than or equal to $20.00 per share, an additional 3,750,000 Earnout Shares to Legacy Blaize shareholders and Legacy Blaize employee equity award holders and an additional 650,000 Earnout Shares to Burkhan will be issued (each a “Triggering Event” and collectively, the “Triggering Events”).</w:t>
      </w:r>
    </w:p>
    <w:p>
      <w:pPr>
        <w:spacing w:after="0" w:line="2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Employee Earnout Shares</w:t>
      </w:r>
    </w:p>
    <w:p>
      <w:pPr>
        <w:spacing w:after="0" w:line="9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Company employees entitled to receive Employee Earnout Shares must provide service through the date the target is achieved and if an employee departs, the forfeited Employee Earnout Shares are reallocated to Legacy Blaize shareholders and the remaining pool equity award holders who received the right to the Earnout Shares on the Closing Date. The reallocated shares are considered a forfeiture of the original award and grant of a new award.</w:t>
      </w:r>
    </w:p>
    <w:p>
      <w:pPr>
        <w:spacing w:after="0" w:line="136"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estimated fair value of the Employee Earnout Shares was $82.9 million, assuming the service conditions are met and assuming no forfeitures. Each Triggering Event, as defined,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F-21</w:t>
      </w:r>
    </w:p>
    <w:p>
      <w:pPr>
        <w:sectPr>
          <w:pgSz w:w="11900" w:h="16838" w:orient="portrait"/>
          <w:cols w:equalWidth="0" w:num="1">
            <w:col w:w="10159"/>
          </w:cols>
          <w:pgMar w:left="300" w:top="407"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59"/>
        <w:spacing w:after="0" w:line="261"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recorded $3.8 million and $11.4 million, respectively, in stock-based compensation expense related to the Employee Earnout Shares. During the three and nine months ended September 30, 2025, 182,180 and 237,669 Employee Earnout Shares, respectively, were forfeited due to employee terminations. As of September 30, 2025, there was $68.6 million of total unrecognized compensation cost related to the Employee Earnout Shares.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Other Earnout Shares</w:t>
      </w:r>
    </w:p>
    <w:p>
      <w:pPr>
        <w:spacing w:after="0" w:line="9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fair value of the derivative liability associated with the Other Earnout Shares is dependent upon, among other things, changes in the closing share price of the Company’s common stock and the probability of each Triggering Events being achieved. As certain inputs are not observable in the market, the Other Earnout Shares are classified as a Level 3 instrument within the fair value hierarchy (see Note 5). The Company adjusts the previous fair value of the Other Earnout Shares at each reporting period based on changes to the Company’s expected share price volatility, as well as other factors which impact the Company’s expectation of settlement timing and achieving the Triggering Events.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 Revenue</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presents the Company’s revenue information by customer geographical region:</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360" w:type="dxa"/>
            <w:vAlign w:val="bottom"/>
          </w:tcPr>
          <w:p>
            <w:pPr>
              <w:spacing w:after="0"/>
              <w:rPr>
                <w:sz w:val="11"/>
                <w:szCs w:val="11"/>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0" w:type="dxa"/>
            <w:vAlign w:val="bottom"/>
          </w:tcPr>
          <w:p>
            <w:pPr>
              <w:spacing w:after="0"/>
              <w:rPr>
                <w:sz w:val="1"/>
                <w:szCs w:val="1"/>
                <w:color w:val="auto"/>
              </w:rPr>
            </w:pPr>
          </w:p>
        </w:tc>
      </w:tr>
      <w:tr>
        <w:trPr>
          <w:trHeight w:val="116"/>
        </w:trPr>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jc w:val="center"/>
              <w:ind w:left="259"/>
              <w:spacing w:after="0" w:line="116"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jc w:val="center"/>
              <w:ind w:left="359"/>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18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11"/>
                <w:szCs w:val="11"/>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60" w:type="dxa"/>
            <w:vAlign w:val="bottom"/>
          </w:tcPr>
          <w:p>
            <w:pPr>
              <w:spacing w:after="0"/>
              <w:rPr>
                <w:sz w:val="11"/>
                <w:szCs w:val="11"/>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5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auto"/>
            </w:tcBorders>
          </w:tcPr>
          <w:p>
            <w:pPr>
              <w:jc w:val="right"/>
              <w:ind w:right="5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460" w:type="dxa"/>
            <w:vAlign w:val="bottom"/>
            <w:tcBorders>
              <w:top w:val="single" w:sz="8" w:color="auto"/>
            </w:tcBorders>
          </w:tcPr>
          <w:p>
            <w:pPr>
              <w:jc w:val="right"/>
              <w:ind w:right="5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51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Asia Pacific</w:t>
            </w:r>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$10,445</w:t>
            </w:r>
          </w:p>
        </w:tc>
        <w:tc>
          <w:tcPr>
            <w:tcW w:w="3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78"/>
              </w:rPr>
              <w:t>$— </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$ 11,411</w:t>
            </w: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333</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3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3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tcBorders>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11,867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781</w:t>
            </w:r>
          </w:p>
        </w:tc>
        <w:tc>
          <w:tcPr>
            <w:tcW w:w="36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14,856</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1,553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provides a disaggregation of revenue based on the method of revenue recognition:</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60" w:type="dxa"/>
            <w:vAlign w:val="bottom"/>
            <w:gridSpan w:val="2"/>
          </w:tcPr>
          <w:p>
            <w:pPr>
              <w:ind w:left="40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jc w:val="center"/>
              <w:ind w:left="359"/>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220" w:type="dxa"/>
            <w:vAlign w:val="bottom"/>
          </w:tcPr>
          <w:p>
            <w:pPr>
              <w:spacing w:after="0"/>
              <w:rPr>
                <w:sz w:val="11"/>
                <w:szCs w:val="1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2960" w:type="dxa"/>
            <w:vAlign w:val="bottom"/>
            <w:gridSpan w:val="2"/>
            <w:vMerge w:val="continue"/>
          </w:tcPr>
          <w:p>
            <w:pPr>
              <w:spacing w:after="0"/>
              <w:rPr>
                <w:sz w:val="9"/>
                <w:szCs w:val="9"/>
                <w:color w:val="auto"/>
              </w:rPr>
            </w:pPr>
          </w:p>
        </w:tc>
        <w:tc>
          <w:tcPr>
            <w:tcW w:w="2220" w:type="dxa"/>
            <w:vAlign w:val="bottom"/>
          </w:tcPr>
          <w:p>
            <w:pPr>
              <w:spacing w:after="0"/>
              <w:rPr>
                <w:sz w:val="9"/>
                <w:szCs w:val="9"/>
                <w:color w:val="auto"/>
              </w:rPr>
            </w:pPr>
          </w:p>
        </w:tc>
        <w:tc>
          <w:tcPr>
            <w:tcW w:w="460" w:type="dxa"/>
            <w:vAlign w:val="bottom"/>
            <w:tcBorders>
              <w:top w:val="single" w:sz="8" w:color="auto"/>
            </w:tcBorders>
          </w:tcPr>
          <w:p>
            <w:pPr>
              <w:jc w:val="right"/>
              <w:ind w:right="5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gridSpan w:val="3"/>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460" w:type="dxa"/>
            <w:vAlign w:val="bottom"/>
            <w:tcBorders>
              <w:top w:val="single" w:sz="8" w:color="auto"/>
            </w:tcBorders>
          </w:tcPr>
          <w:p>
            <w:pPr>
              <w:jc w:val="right"/>
              <w:ind w:right="5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 recognized at a point in time</w:t>
            </w:r>
          </w:p>
        </w:tc>
        <w:tc>
          <w:tcPr>
            <w:tcW w:w="2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$11,858</w:t>
            </w:r>
          </w:p>
        </w:tc>
        <w:tc>
          <w:tcPr>
            <w:tcW w:w="3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$14,847</w:t>
            </w: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Revenue recognized over time</w:t>
            </w:r>
          </w:p>
        </w:tc>
        <w:tc>
          <w:tcPr>
            <w:tcW w:w="22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757</w:t>
            </w:r>
          </w:p>
        </w:tc>
        <w:tc>
          <w:tcPr>
            <w:tcW w:w="3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11,867</w:t>
            </w:r>
          </w:p>
        </w:tc>
        <w:tc>
          <w:tcPr>
            <w:tcW w:w="30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781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14,856</w:t>
            </w:r>
          </w:p>
        </w:tc>
        <w:tc>
          <w:tcPr>
            <w:tcW w:w="3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1,553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9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F-22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 Fair Value Measurements</w:t>
      </w:r>
    </w:p>
    <w:p>
      <w:pPr>
        <w:spacing w:after="0" w:line="93"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table below presents the Company’s financial assets and liabilities measured at fair value on a recurring basis aggregated by the level in the fair value hierarchy:</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As of September 30, 2025</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9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70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Mutual funds</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money market funds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Committed equity facility</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95"/>
              </w:rPr>
              <w:t>125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95"/>
              </w:rPr>
              <w:t>125</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Unissued shares of common stock</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Other earnout shares</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20,561</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6"/>
        </w:trPr>
        <w:tc>
          <w:tcPr>
            <w:tcW w:w="49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70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treasury securities</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30,580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money market funds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Mutual funds</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3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44,894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9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 convertible notes</w:t>
            </w:r>
          </w:p>
        </w:tc>
        <w:tc>
          <w:tcPr>
            <w:tcW w:w="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132,687</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132,687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Pay-to-Play convertible notes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warrants</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 </w:t>
            </w:r>
          </w:p>
        </w:tc>
        <w:tc>
          <w:tcPr>
            <w:tcW w:w="3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163,340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163,340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Level 1 instruments consisted of mutual funds, U.S. Government money market funds and U.S. Government treasury securities, because they were valued using quoted prices in active markets and can be redeemed on any business days with an intermediary. Additionally, the accrued liability associated with unissued shares of common stock due to advisors of the Company under service contracts is included as a Level 1 instrument in accrued expenses and other current liabilities on the condensed consolidated balance sheet as of September 30, 2025, as it uses the Company’s share price as of period end for remeasurement.</w:t>
      </w:r>
    </w:p>
    <w:p>
      <w:pPr>
        <w:spacing w:after="0" w:line="14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Level 3 instruments consist of the Other Earnout Shares (see Note 3), the day-one put right and subsequent-draw forward contracts associated with the Committed Equity Facility (see Notes 6 and 13) as well as the historical convertible notes and legacy warrants.</w:t>
      </w:r>
    </w:p>
    <w:p>
      <w:pPr>
        <w:spacing w:after="0" w:line="125"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Changes in the fair value measurement of Level 3 instruments are related to unrealized gains (losses) resulting from the remeasurement of the historical convertible notes and legacy warrants (see Notes 9 and 10), the unissued shares of common stock, the Other Earnout Shares, and the Committed Equity Facility (see Notes 6 and 13). The respective changes for remeasurement are reflected in the change in fair value of convertible notes, change in fair value of warrants, change in fair value of the other earnout shares and change in fair value of committed equity facility in the condensed consolidated statements of operations.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F-23</w:t>
      </w:r>
    </w:p>
    <w:p>
      <w:pPr>
        <w:sectPr>
          <w:pgSz w:w="11900" w:h="16838" w:orient="portrait"/>
          <w:cols w:equalWidth="0" w:num="1">
            <w:col w:w="10159"/>
          </w:cols>
          <w:pgMar w:left="300" w:top="407"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The change in the fair values of the Company’s Level 3 instruments during the three and nine months ended September 30, 2025 and 2024, were as follows:</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Pay-to-Play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Legacy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10"/>
                <w:szCs w:val="10"/>
                <w:color w:val="auto"/>
              </w:rPr>
            </w:pPr>
          </w:p>
        </w:tc>
        <w:tc>
          <w:tcPr>
            <w:tcW w:w="74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0"/>
                <w:szCs w:val="10"/>
                <w:color w:val="auto"/>
              </w:rPr>
            </w:pPr>
          </w:p>
        </w:tc>
        <w:tc>
          <w:tcPr>
            <w:tcW w:w="76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earnout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6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15,942</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$ 132,687</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$ 14,711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163,340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other earnout 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126,024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 day one put option</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443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Committed equity facility - drawdown forward contracts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138,471</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(105,463)</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Conversion to 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(43,174)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4"/>
              </w:rPr>
              <w:t>(271,158)</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(75,056)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(389,388)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125</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20,561</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Pay-to-Play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Legacy</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10"/>
                <w:szCs w:val="10"/>
                <w:color w:val="auto"/>
              </w:rPr>
            </w:pPr>
          </w:p>
        </w:tc>
        <w:tc>
          <w:tcPr>
            <w:tcW w:w="74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0"/>
                <w:szCs w:val="10"/>
                <w:color w:val="auto"/>
              </w:rPr>
            </w:pPr>
          </w:p>
        </w:tc>
        <w:tc>
          <w:tcPr>
            <w:tcW w:w="76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earnout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6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as of June 30, 2025</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16,763</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16,763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Committed equity facility - day one put option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443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 drawdown forward contracts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125</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20,561</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Pay-to-Play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Legacy</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10"/>
                <w:szCs w:val="10"/>
                <w:color w:val="auto"/>
              </w:rPr>
            </w:pPr>
          </w:p>
        </w:tc>
        <w:tc>
          <w:tcPr>
            <w:tcW w:w="74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0"/>
                <w:szCs w:val="10"/>
                <w:color w:val="auto"/>
              </w:rPr>
            </w:pPr>
          </w:p>
        </w:tc>
        <w:tc>
          <w:tcPr>
            <w:tcW w:w="76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earnout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6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14,641</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18,064</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3,730</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36,435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2023 convertible notes and related warrants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105,902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stock warrants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2024</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15,977</w:t>
            </w:r>
          </w:p>
        </w:tc>
        <w:tc>
          <w:tcPr>
            <w:tcW w:w="1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$ 148,551</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Committed</w:t>
            </w:r>
          </w:p>
        </w:tc>
        <w:tc>
          <w:tcPr>
            <w:tcW w:w="9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Pay-to-Play</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Legacy</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ind w:left="40"/>
              <w:spacing w:after="0" w:line="116" w:lineRule="exact"/>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Pr>
          <w:p>
            <w:pPr>
              <w:spacing w:after="0"/>
              <w:rPr>
                <w:sz w:val="10"/>
                <w:szCs w:val="10"/>
                <w:color w:val="auto"/>
              </w:rPr>
            </w:pPr>
          </w:p>
        </w:tc>
        <w:tc>
          <w:tcPr>
            <w:tcW w:w="740" w:type="dxa"/>
            <w:vAlign w:val="bottom"/>
            <w:gridSpan w:val="3"/>
          </w:tcPr>
          <w:p>
            <w:pPr>
              <w:jc w:val="center"/>
              <w:ind w:right="20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0"/>
                <w:szCs w:val="10"/>
                <w:color w:val="auto"/>
              </w:rPr>
            </w:pPr>
          </w:p>
        </w:tc>
        <w:tc>
          <w:tcPr>
            <w:tcW w:w="76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earnout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33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60" w:type="dxa"/>
            <w:vAlign w:val="bottom"/>
          </w:tcPr>
          <w:p>
            <w:pPr>
              <w:spacing w:after="0"/>
              <w:rPr>
                <w:sz w:val="11"/>
                <w:szCs w:val="11"/>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as of June 30, 2024</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16,042</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$ 133,088</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7,665</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156,795</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85"/>
              </w:rPr>
              <w:t>— </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2024</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15,977</w:t>
            </w:r>
          </w:p>
        </w:tc>
        <w:tc>
          <w:tcPr>
            <w:tcW w:w="1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$ 148,551</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w:t>
            </w: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172,283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239"/>
        <w:spacing w:after="0" w:line="283" w:lineRule="auto"/>
        <w:rPr>
          <w:sz w:val="20"/>
          <w:szCs w:val="20"/>
          <w:color w:val="auto"/>
        </w:rPr>
      </w:pPr>
      <w:r>
        <w:rPr>
          <w:rFonts w:ascii="Times New Roman" w:cs="Times New Roman" w:eastAsia="Times New Roman" w:hAnsi="Times New Roman"/>
          <w:sz w:val="14"/>
          <w:szCs w:val="14"/>
          <w:color w:val="auto"/>
        </w:rPr>
        <w:t>There were no transfers between Level 1, Level 2, or Level 3 of the fair value hierarchy during the three and nine months ended September 30, 2025 and 2024.</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6. Derivatives</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does not use derivatives to manage financial risks or as an economic hedge. The Company’s derivatives are comprised of the structured forward contract related to the Other Earnout Shares (see Notes 2, 3</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F-24</w:t>
      </w:r>
    </w:p>
    <w:p>
      <w:pPr>
        <w:sectPr>
          <w:pgSz w:w="11900" w:h="16838" w:orient="portrait"/>
          <w:cols w:equalWidth="0" w:num="1">
            <w:col w:w="10159"/>
          </w:cols>
          <w:pgMar w:left="300" w:top="407"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and 5), the day-one put option and the subsequent forward contracts related to the Committed Equity Facility (see Notes 5 and 13).</w:t>
      </w:r>
    </w:p>
    <w:p>
      <w:pPr>
        <w:spacing w:after="0" w:line="175"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The Other Earnout Shares, issued upon the consummation of the Merger, were determined to represent a freestanding structured forward contract as the Other Earnout Share were issued for nominal or no apparent consideration, and contain the essential characteristics inherent in a derivative instrument, including an underlying security, a notional amount, and a mechanism for net settlement, as the terms provide for the delivery of a variable number of shares of the Company’s common stock, or equivalent value, based on changes in the underlying market price.</w:t>
      </w:r>
    </w:p>
    <w:p>
      <w:pPr>
        <w:spacing w:after="0" w:line="141"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The Committed Equity Facility, upon execution on July 14, 2025, was considered a freestanding purchased put right, and each draw on the Committed Equity Facility is considered an embedded forward contract. The put right was issued for nominal or no apparent consideration, and has the essential characteristics inherent in a derivative instrument of a notional amount, an underlying security, and a mechanism for net settlement. The derivative asset related to the forward contracts embedded within the Committed Equity Facility is included within prepaid expenses and other current assets on the condensed consolidated balance sheets as of September 30, 2025.</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7. Inventories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Inventories consist of the following:</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As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6"/>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70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360" w:type="dxa"/>
            <w:vAlign w:val="bottom"/>
            <w:gridSpan w:val="4"/>
          </w:tcPr>
          <w:p>
            <w:pPr>
              <w:ind w:left="66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44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1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Raw materials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7,432</w:t>
            </w:r>
          </w:p>
        </w:tc>
        <w:tc>
          <w:tcPr>
            <w:tcW w:w="6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7,410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Work in progress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6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inventories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8,782</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8. Income Taxes</w:t>
      </w:r>
    </w:p>
    <w:p>
      <w:pPr>
        <w:spacing w:after="0" w:line="93" w:lineRule="exact"/>
        <w:rPr>
          <w:sz w:val="20"/>
          <w:szCs w:val="20"/>
          <w:color w:val="auto"/>
        </w:rPr>
      </w:pPr>
    </w:p>
    <w:p>
      <w:pPr>
        <w:ind w:left="1360" w:right="319"/>
        <w:spacing w:after="0" w:line="258"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recorded provision for income taxes of less than $0.1 million and $0.2 million, respectively, which represented effective tax rates of (0.1)% and (0.1)%, respectively, while during the three and nine months ended September 30, 2024, the Company recorded a provision for income taxes of $0.1 million and $0.3 million respectively, which represented effective tax rates of (0.2)% and (0.6)%, respectively. The effective income tax rates for the three and nine months ended September 30, 2025 and 2024 are different from the U.S. federal statutory rate of 21.0% due to a full valuation allowance.</w:t>
      </w:r>
    </w:p>
    <w:p>
      <w:pPr>
        <w:spacing w:after="0" w:line="144"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 xml:space="preserve">On July 4, 2025, the One Big Beautiful Bill Act (the “OBBBA”) was signed into law. The OBBBA makes permanent key elements of the Tax Cuts and Jobs Act, including 100% bonus depreciation, domestic research cost expensing, and the business interest expense limitation.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requires the effects of changes in tax rates and laws on deferred tax balances to be recognized in the period in which the legislation is enacted. The Company is in the process of evaluating the impact of OBBBA on its condensed consolidated financial statements. Any results of such evaluations will be reflected in the Company’s consolidated financial statements included in the Company’s Annual Report on Form 10-K for the year ended December 31, 2025.</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9. Convertible Notes and Demand Notes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Pay-to-Play Convertible Notes</w:t>
      </w:r>
    </w:p>
    <w:p>
      <w:pPr>
        <w:spacing w:after="0" w:line="93"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In December 2022, in connection with the Company’s 2022 Pay-to-Play (“P2P”) transaction (the “P2P Transaction”), the Company entered into a Note Purchase and Exchange Agreement (“2022 P2P NPA”) with a</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F-25</w:t>
      </w:r>
    </w:p>
    <w:p>
      <w:pPr>
        <w:sectPr>
          <w:pgSz w:w="11900" w:h="16838" w:orient="portrait"/>
          <w:cols w:equalWidth="0" w:num="1">
            <w:col w:w="10159"/>
          </w:cols>
          <w:pgMar w:left="300" w:top="407"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group of lenders (each, a “Lender” and collectively, the “Lenders”). In January and February of 2023, the Company received $9.3 million in proceeds from the issuance of P2P Notes. Amounts received in 2022 and 2023 are referred to collectively as the “P2P Notes” (see Note 16). Pursuant to the 2022 P2P NPA, each Lender will pay the Company an agreed upon amount (“Consideration”) in return for one or more promissory notes. The P2P Notes had an initial 24-month term from the date of the 2022 P2P NPA, which is December 9, 2024.</w:t>
      </w:r>
    </w:p>
    <w:p>
      <w:pPr>
        <w:spacing w:after="0" w:line="141"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The 2022 P2P NPA provided that the P2P Notes would be converted upon the consummation of the Merger and that, at such time, all outstanding principal and unpaid accrued interest due on the P2P Notes shall be converted into common stock.</w:t>
      </w:r>
    </w:p>
    <w:p>
      <w:pPr>
        <w:spacing w:after="0" w:line="125"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elected to measure the P2P Notes in their entirety, for the respective period issued, at fair value with changes in fair value reported in a single line in the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Upfront costs and fees related to items for which the fair value option is elected must be recognized immediately. As such issuance costs (warrants) and fees associated with the convertible notes were recognized in current earnings.</w:t>
      </w:r>
    </w:p>
    <w:p>
      <w:pPr>
        <w:spacing w:after="0" w:line="144"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Under the terms of the 2022 P2P NPA, any existing investor that purchased any P2P Note received the right to exchange the common stock held following the November 30, 2022 conversion event, for a number of shares of shadow preferred stock mirroring the respective classes of preferred stock held prior to the conversion (the “Pull-Through Exchange”), however, all Senior Series D shareholders received an automatic pull-through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P2P Notes representing less than its pro rata portion of the Insider Amount, such investor’s converted common stock remained as converted common stock for that portion equal to the shortfall in its pro-rata contribution. Additionally, investors in the P2P Notes also received warrants (the “P2P Warrants”) whose total exercise price is determined based on the timing of investment as well as the level of investor participation vis-à-vis each investor’s designated pro-rata portion.</w:t>
      </w:r>
    </w:p>
    <w:p>
      <w:pPr>
        <w:spacing w:after="0" w:line="149"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Exchange Agreement totaled $0.1 million.</w:t>
      </w:r>
    </w:p>
    <w:p>
      <w:pPr>
        <w:spacing w:after="0" w:line="136"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Upon the consummation of the Merger, as provided by the terms of the P2P notes, the outstanding P2P Notes were converted, at the discretion of the holders, to shares of common stock (see Note 3).</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2023 Convertible Notes</w:t>
      </w:r>
    </w:p>
    <w:p>
      <w:pPr>
        <w:spacing w:after="0" w:line="93"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From July 2023 through November 2023, the Company raised $12.3 million in convertible notes (the “2023 Convertible Notes”) under the note purchase agreement dated July 3, 2023, as amended on August 1, 2023, to refine the valuation cap definition (the “2023 NPA”). The 2023 Convertible Notes accrued interest at 10.0% per annum.</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2024, the Company received $110.7 million in additional proceeds from the issuance of 10.0% secured convertible notes under the 2023 NPA. The 2023 NPA was amended and restated on April 22, 2024 to accommodate a new group of lenders, the “Final Closing Lenders,” defined as any lender who</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F-26</w:t>
      </w:r>
    </w:p>
    <w:p>
      <w:pPr>
        <w:sectPr>
          <w:pgSz w:w="11900" w:h="16838" w:orient="portrait"/>
          <w:cols w:equalWidth="0" w:num="1">
            <w:col w:w="10159"/>
          </w:cols>
          <w:pgMar w:left="300" w:top="407"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In addition, the per share exercise price of the related 2023 Convertible Note Warrants upon a SPAC Transaction was amended to $11.50.</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the April 22, 2024 amendment, the convertible notes were subject to automatic conversion upon the consummation of a SPAC Transaction.</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Investors in these secured convertible notes also received warrants to purchase equity shares of the Company.</w:t>
      </w:r>
    </w:p>
    <w:p>
      <w:pPr>
        <w:spacing w:after="0" w:line="161"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Of the $110.7 million in proceeds received during the year ended December 31, 2024, $11.5 million was received from BurTech (see Note 1), $2.4 million from miscellaneous parties, and $96.8 million from a separate third-party group of investors (the “RT Parties”) in connection with an agreement to provide convertible note financing of up to $125.0 million (the “Blaize Note Financing Agreement”). Under this separate agreement, the RT Parties and their transferees or distributees were not required to execute any lock-up or similar agreement restricting transfer or disposition of all shares of the Company’s common stock issuable upon the conversion of the notes, all Company shares issuable upon the exercise of warrants issued to the RT Parties, and all securities of Blaize to be issued to the RT Parties upon the consummation of the Merger.</w:t>
      </w:r>
    </w:p>
    <w:p>
      <w:pPr>
        <w:spacing w:after="0" w:line="143"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Company elected to measure the 2023 Convertible Notes in their entirety at fair value with changes in fair value reported in a single line in the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43"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Upfront costs and fees related to items for which the fair value option is elected must be recognized immediately. As such, issuance costs (warrants) and fees associated with the convertible notes were recognized in earnings in the years that they were issued.</w:t>
      </w:r>
    </w:p>
    <w:p>
      <w:pPr>
        <w:spacing w:after="0" w:line="12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One investor who purchased a 2023 Convertible Note also received an RSU grant for a total of 6,000,000 RSUs (see Note 16), which vested in full in the year ended December 31, 2023.</w:t>
      </w:r>
    </w:p>
    <w:p>
      <w:pPr>
        <w:spacing w:after="0" w:line="125" w:lineRule="exact"/>
        <w:rPr>
          <w:sz w:val="20"/>
          <w:szCs w:val="20"/>
          <w:color w:val="auto"/>
        </w:rPr>
      </w:pPr>
    </w:p>
    <w:p>
      <w:pPr>
        <w:jc w:val="both"/>
        <w:ind w:left="1360" w:right="239"/>
        <w:spacing w:after="0" w:line="267" w:lineRule="auto"/>
        <w:rPr>
          <w:sz w:val="20"/>
          <w:szCs w:val="20"/>
          <w:color w:val="auto"/>
        </w:rPr>
      </w:pPr>
      <w:r>
        <w:rPr>
          <w:rFonts w:ascii="Times New Roman" w:cs="Times New Roman" w:eastAsia="Times New Roman" w:hAnsi="Times New Roman"/>
          <w:sz w:val="14"/>
          <w:szCs w:val="14"/>
          <w:color w:val="auto"/>
        </w:rPr>
        <w:t>Upon the consummation of the Merger, as provided by the terms of the 2023 Convertible Note Agreement, the outstanding 2023 Convertible Notes were converted, at the discretion of the holders, to shares of common stock (see Note 3). The warrants issued in conjunction with the 2023 Convertible Notes were not exercised.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Working Capital Loan</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On February 1, 2023, BurTech issued an unsecured convertible promissory note to BurTech LP (the “Working Capital Loan”), pursuant to which it borrowed $1.5 million for general corporate purposes. Such loan may, at BurTech LP’s discretion, be converted into shares of common stock, the number of shares of which will be determined by dividing the sum of the outstanding principal amount by $10.00. The Working Capital Loan will not bear interest and will be repayable, if not converted or repaid on the effective date of the Merger. The maturity date of the Working Capital Loan may be accelerated upon the occurrence of an event of default (as defined under the Working Capital Loan). As of September 30, 2025 and December 31, 2024, the Company had outstanding Working Capital Loans of $1.5 million and zero, respectively.</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Advances from Related Party</w:t>
      </w:r>
    </w:p>
    <w:p>
      <w:pPr>
        <w:spacing w:after="0" w:line="93"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On January 13, 2025, BurTech LP provided working capital and extension deposits on behalf of BurTech. These amounts are reflected on the condensed consolidated balance sheets as advances from related party. These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159"/>
          </w:cols>
          <w:pgMar w:left="300" w:top="407"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advances are non-interest bearing and payable on demand. As of September 30, 2025 and December 31, 2024, the Company had outstanding advances from the related party in the amount of $2.9 million and zero, respectively.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10. Warrants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Warrants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In connection with the Company’s various historical debt and equity financing arrangements, the Company had previously issued convertible preferred stock warrants to purchase shares of its various series of convertible preferred stock.</w:t>
      </w:r>
    </w:p>
    <w:p>
      <w:pPr>
        <w:spacing w:after="0" w:line="125"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The convertible preferred stock warrants were classified as liabilities, with changes in fair value recorded through earnings, as the underlying convertible preferred shares could be redeemed by the holders of these shares upon the occurrence of certain events that were outside of the Company’s control. As of December 31, 2024, the Company had liabilities of $14.7 million related to outstanding warrants.</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Immediately prior to the consummation of the Merger, each issued and outstanding convertible preferred stock warrant to purchase Legacy Blaize convertible preferred stock converted into a warrant to purchase shares of common stock (see Note 3), with each warrant subject to the same terms and conditions as were applicable to the original warrant and having an exercise price and number of shares of common stock purchasable based on the Exchange Ratio and other terms contained in the Merger Agreement (the “Private Warrants Conversion”).</w:t>
      </w:r>
    </w:p>
    <w:p>
      <w:pPr>
        <w:spacing w:after="0" w:line="141"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After the Private Warrants Conversion, the Private Warrants became indexed to the shares of Company’s common stock, and therefore were reclassified from debt classified instruments to equity classified instruments.</w:t>
      </w:r>
    </w:p>
    <w:p>
      <w:pPr>
        <w:spacing w:after="0" w:line="125"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Immediately prior to the closing of the Merger, all outstanding legacy warrants were exercised on a net basis, and were automatically converted into shares of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Public and Private Warrants</w:t>
      </w:r>
    </w:p>
    <w:p>
      <w:pPr>
        <w:spacing w:after="0" w:line="93"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Upon the consummation of the Merger, BurTech’s 28,750,000 public warrants and 898,250 private warrants outstanding immediately prior to the Merger became warrants to purchase the Company’s common stock.</w:t>
      </w:r>
    </w:p>
    <w:p>
      <w:pPr>
        <w:spacing w:after="0" w:line="125" w:lineRule="exact"/>
        <w:rPr>
          <w:sz w:val="20"/>
          <w:szCs w:val="20"/>
          <w:color w:val="auto"/>
        </w:rPr>
      </w:pPr>
    </w:p>
    <w:p>
      <w:pPr>
        <w:jc w:val="both"/>
        <w:ind w:left="1360" w:right="339"/>
        <w:spacing w:after="0" w:line="267" w:lineRule="auto"/>
        <w:rPr>
          <w:sz w:val="20"/>
          <w:szCs w:val="20"/>
          <w:color w:val="auto"/>
        </w:rPr>
      </w:pPr>
      <w:r>
        <w:rPr>
          <w:rFonts w:ascii="Times New Roman" w:cs="Times New Roman" w:eastAsia="Times New Roman" w:hAnsi="Times New Roman"/>
          <w:sz w:val="14"/>
          <w:szCs w:val="14"/>
          <w:color w:val="auto"/>
        </w:rPr>
        <w:t>Each warrant entitles the holder to purchase one share of common stock at a price of $11.50 per share, subject to adjustments as described herein. The warrants expire at 5:00 p.m., New York City time on the warrant expiration date, which is five years after the completion of the Merger, or earlier upon redemption or liquidation.</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may redeem the outstanding warrants:</w:t>
      </w:r>
    </w:p>
    <w:p>
      <w:pPr>
        <w:spacing w:after="0" w:line="102" w:lineRule="exact"/>
        <w:rPr>
          <w:sz w:val="20"/>
          <w:szCs w:val="20"/>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given after the warrants become exercisable to each warrant holder;</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61" w:lineRule="auto"/>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reported last sale price of the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 current registration statement in effect with respect to the shares of common stock underlying such warrants.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F-28</w:t>
      </w:r>
    </w:p>
    <w:p>
      <w:pPr>
        <w:sectPr>
          <w:pgSz w:w="11900" w:h="16838" w:orient="portrait"/>
          <w:cols w:equalWidth="0" w:num="1">
            <w:col w:w="10159"/>
          </w:cols>
          <w:pgMar w:left="300" w:top="407"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If the Company calls the warrants for redemption, as described above,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(i) the product of the number of shares of common stock underlying the warrants, multiplied by the difference between the exercise price of the warrants and the “fair market value”, as described below, by (ii) the fair market value. The “fair market value” shall mean the average reported last sale price of the shares of common stock for the five trading days ending on the third trading day prior to the date on which the notice of redemption is sent to the holders of warrants.</w:t>
      </w:r>
    </w:p>
    <w:p>
      <w:pPr>
        <w:spacing w:after="0" w:line="14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Private Warrants, as well as any warrants underlying additional units that the Company may issue to BurTech, officers, directors, initial stockholders or their affiliates in payment of working capital loans made to the Company, will be identical to the warrants underlying the units offered in the Merger, except they will not be transferable, assignable or saleable until 30 days after the consummation of the Merger.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Common Stock Warrants</w:t>
      </w:r>
    </w:p>
    <w:p>
      <w:pPr>
        <w:spacing w:after="0" w:line="93"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In February 2025, the Company issued 50,000 Common Stock Warrants to advisors as compensation for services rendered. The warrants have a five-year term and a strike price of $11.50 per common stock share. The warrants were fair valued as of the date of issuance and recognized as an increase in additional paid-in-capital. The compensation expense recognized during the three and nine months ended September 30, 2025 was de minimis.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assumptions used in the Black-Scholes option pricing model to fair value the common stock warrants issued in February 2025 were as follows:</w:t>
      </w:r>
    </w:p>
    <w:p>
      <w:pPr>
        <w:spacing w:after="0" w:line="211" w:lineRule="exact"/>
        <w:rPr>
          <w:sz w:val="20"/>
          <w:szCs w:val="20"/>
          <w:color w:val="auto"/>
        </w:rPr>
      </w:pPr>
    </w:p>
    <w:tbl>
      <w:tblPr>
        <w:tblLayout w:type="fixed"/>
        <w:tblInd w:w="2740" w:type="dxa"/>
        <w:tblCellMar>
          <w:top w:w="0" w:type="dxa"/>
          <w:left w:w="0" w:type="dxa"/>
          <w:bottom w:w="0" w:type="dxa"/>
          <w:right w:w="0" w:type="dxa"/>
        </w:tblCellMar>
      </w:tblPr>
      <w:tr>
        <w:trPr>
          <w:trHeight w:val="16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8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6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fair value of common stock</w:t>
            </w:r>
          </w:p>
        </w:tc>
        <w:tc>
          <w:tcPr>
            <w:tcW w:w="1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$3.34</w:t>
            </w:r>
          </w:p>
        </w:tc>
      </w:tr>
    </w:tbl>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11. Leases</w:t>
      </w:r>
    </w:p>
    <w:p>
      <w:pPr>
        <w:spacing w:after="0" w:line="9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136"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components of the net lease costs reflected in the Company’s condensed consolidated statements of operations were as follows:</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360" w:type="dxa"/>
            <w:vAlign w:val="bottom"/>
          </w:tcPr>
          <w:p>
            <w:pPr>
              <w:spacing w:after="0"/>
              <w:rPr>
                <w:sz w:val="10"/>
                <w:szCs w:val="10"/>
                <w:color w:val="auto"/>
              </w:rPr>
            </w:pPr>
          </w:p>
        </w:tc>
        <w:tc>
          <w:tcPr>
            <w:tcW w:w="96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gridSpan w:val="2"/>
          </w:tcPr>
          <w:p>
            <w:pPr>
              <w:jc w:val="center"/>
              <w:ind w:right="23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3"/>
          </w:tcPr>
          <w:p>
            <w:pPr>
              <w:jc w:val="center"/>
              <w:ind w:right="340"/>
              <w:spacing w:after="0" w:line="116"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0" w:type="dxa"/>
            <w:vAlign w:val="bottom"/>
          </w:tcPr>
          <w:p>
            <w:pPr>
              <w:spacing w:after="0"/>
              <w:rPr>
                <w:sz w:val="1"/>
                <w:szCs w:val="1"/>
                <w:color w:val="auto"/>
              </w:rPr>
            </w:pPr>
          </w:p>
        </w:tc>
      </w:tr>
      <w:tr>
        <w:trPr>
          <w:trHeight w:val="135"/>
        </w:trPr>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3240" w:type="dxa"/>
            <w:vAlign w:val="bottom"/>
          </w:tcPr>
          <w:p>
            <w:pPr>
              <w:spacing w:after="0"/>
              <w:rPr>
                <w:sz w:val="11"/>
                <w:szCs w:val="1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60" w:type="dxa"/>
            <w:vAlign w:val="bottom"/>
          </w:tcPr>
          <w:p>
            <w:pPr>
              <w:spacing w:after="0"/>
              <w:rPr>
                <w:sz w:val="11"/>
                <w:szCs w:val="11"/>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2440" w:type="dxa"/>
            <w:vAlign w:val="bottom"/>
            <w:gridSpan w:val="2"/>
            <w:vMerge w:val="continue"/>
          </w:tcPr>
          <w:p>
            <w:pPr>
              <w:spacing w:after="0"/>
              <w:rPr>
                <w:sz w:val="9"/>
                <w:szCs w:val="9"/>
                <w:color w:val="auto"/>
              </w:rPr>
            </w:pPr>
          </w:p>
        </w:tc>
        <w:tc>
          <w:tcPr>
            <w:tcW w:w="3240" w:type="dxa"/>
            <w:vAlign w:val="bottom"/>
          </w:tcPr>
          <w:p>
            <w:pPr>
              <w:spacing w:after="0"/>
              <w:rPr>
                <w:sz w:val="9"/>
                <w:szCs w:val="9"/>
                <w:color w:val="auto"/>
              </w:rPr>
            </w:pPr>
          </w:p>
        </w:tc>
        <w:tc>
          <w:tcPr>
            <w:tcW w:w="2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2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2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2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w:t>
            </w:r>
          </w:p>
        </w:tc>
        <w:tc>
          <w:tcPr>
            <w:tcW w:w="3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$194</w:t>
            </w:r>
          </w:p>
        </w:tc>
        <w:tc>
          <w:tcPr>
            <w:tcW w:w="3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$205</w:t>
            </w:r>
          </w:p>
        </w:tc>
        <w:tc>
          <w:tcPr>
            <w:tcW w:w="3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$600</w:t>
            </w:r>
          </w:p>
        </w:tc>
        <w:tc>
          <w:tcPr>
            <w:tcW w:w="3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$549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Short-term</w:t>
            </w:r>
          </w:p>
        </w:tc>
        <w:tc>
          <w:tcPr>
            <w:tcW w:w="32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costs</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211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615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575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520" w:type="dxa"/>
            <w:vAlign w:val="bottom"/>
            <w:gridSpan w:val="2"/>
          </w:tcPr>
          <w:p>
            <w:pPr>
              <w:jc w:val="right"/>
              <w:ind w:right="1818"/>
              <w:spacing w:after="0"/>
              <w:rPr>
                <w:sz w:val="20"/>
                <w:szCs w:val="20"/>
                <w:color w:val="auto"/>
              </w:rPr>
            </w:pPr>
            <w:r>
              <w:rPr>
                <w:rFonts w:ascii="Times New Roman" w:cs="Times New Roman" w:eastAsia="Times New Roman" w:hAnsi="Times New Roman"/>
                <w:sz w:val="14"/>
                <w:szCs w:val="14"/>
                <w:color w:val="auto"/>
              </w:rPr>
              <w:t>F-29</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As of September 30, 2025, the Company’s operating leases had a weighted average remaining lease term of 2.5 years and a weighted average discount rate related to the Company’s right-of-use (“ROU”) assets and lease liabilities of 10.0%. As of December 31, 2024, the Company’s operating leases had a weighted average remaining lease term of 3.2 years and a weighted average discount rate related to the Company’s right-of-use assets and lease liabilities of 9.9%.</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Supplemental information related to operating leases was as follows:</w:t>
      </w:r>
    </w:p>
    <w:p>
      <w:pPr>
        <w:spacing w:after="0" w:line="18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gridSpan w:val="5"/>
          </w:tcPr>
          <w:p>
            <w:pPr>
              <w:jc w:val="center"/>
              <w:ind w:right="340"/>
              <w:spacing w:after="0" w:line="116"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0" w:type="dxa"/>
            <w:vAlign w:val="bottom"/>
          </w:tcPr>
          <w:p>
            <w:pPr>
              <w:spacing w:after="0"/>
              <w:rPr>
                <w:sz w:val="1"/>
                <w:szCs w:val="1"/>
                <w:color w:val="auto"/>
              </w:rPr>
            </w:pPr>
          </w:p>
        </w:tc>
      </w:tr>
      <w:tr>
        <w:trPr>
          <w:trHeight w:val="135"/>
        </w:trPr>
        <w:tc>
          <w:tcPr>
            <w:tcW w:w="6420" w:type="dxa"/>
            <w:vAlign w:val="bottom"/>
            <w:gridSpan w:val="3"/>
            <w:vMerge w:val="restart"/>
          </w:tcPr>
          <w:p>
            <w:pPr>
              <w:ind w:left="1020"/>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64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40" w:type="dxa"/>
            <w:vAlign w:val="bottom"/>
            <w:tcBorders>
              <w:top w:val="single" w:sz="8" w:color="auto"/>
            </w:tcBorders>
            <w:gridSpan w:val="4"/>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538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36"/>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Future minimum lease payments under the Company’s non-cancelable operating leases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53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120" w:type="dxa"/>
            <w:vAlign w:val="bottom"/>
            <w:gridSpan w:val="8"/>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700" w:type="dxa"/>
            <w:vAlign w:val="bottom"/>
            <w:gridSpan w:val="4"/>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2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(217)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Present value of net future minimum lease payments</w:t>
            </w:r>
          </w:p>
        </w:tc>
        <w:tc>
          <w:tcPr>
            <w:tcW w:w="20" w:type="dxa"/>
            <w:vAlign w:val="bottom"/>
          </w:tcPr>
          <w:p>
            <w:pPr>
              <w:spacing w:after="0"/>
              <w:rPr>
                <w:sz w:val="14"/>
                <w:szCs w:val="14"/>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Operating lease liabilities, current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2"/>
              </w:rPr>
              <w:t>(678)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12. Redeemable Convertible Preferred Stock Prior to the Merger</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Under the terms of its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a pull-through exchange of their converted common stock which provided for participating shareholders to receive shares of the class(es) of Shadow Preferred Stock identical to the shares of preferred stock that they previously held. Investors who did not participate retained ownership only in converted common stock.</w:t>
      </w:r>
    </w:p>
    <w:p>
      <w:pPr>
        <w:spacing w:after="0" w:line="14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Upon the consummation of the Merger, the redeemable convertible preferred stock that was outstanding at the time of the Merger was converted into shares of common stock (see Note 3).</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13. Common Stock</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3"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As of September 30, 2025 and December 31, 2024, there were 600,000,000 and 136,562,809 shares of common stock authorized, respectively, and 106,754,588 and 48,376,052 shares issued and outstanding, respectively.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F-30</w:t>
      </w:r>
    </w:p>
    <w:p>
      <w:pPr>
        <w:sectPr>
          <w:pgSz w:w="11900" w:h="16838" w:orient="portrait"/>
          <w:cols w:equalWidth="0" w:num="1">
            <w:col w:w="10159"/>
          </w:cols>
          <w:pgMar w:left="300" w:top="407"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Holders of common stock are entitled to receive dividends whenever funds are legally available and when declared by the Board of Directors. Holders of common stock are entitled to one vote for each share of common stock held at all meetings of stockholders.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of common stock reserved for issuance are as follows: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 of</w:t>
            </w:r>
          </w:p>
        </w:tc>
        <w:tc>
          <w:tcPr>
            <w:tcW w:w="320" w:type="dxa"/>
            <w:vAlign w:val="bottom"/>
          </w:tcPr>
          <w:p>
            <w:pPr>
              <w:spacing w:after="0"/>
              <w:rPr>
                <w:sz w:val="11"/>
                <w:szCs w:val="11"/>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As of</w:t>
            </w:r>
          </w:p>
        </w:tc>
      </w:tr>
      <w:tr>
        <w:trPr>
          <w:trHeight w:val="116"/>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Pr>
          <w:p>
            <w:pPr>
              <w:spacing w:after="0"/>
              <w:rPr>
                <w:sz w:val="10"/>
                <w:szCs w:val="10"/>
                <w:color w:val="auto"/>
              </w:rPr>
            </w:pPr>
          </w:p>
        </w:tc>
        <w:tc>
          <w:tcPr>
            <w:tcW w:w="8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160" w:type="dxa"/>
            <w:vAlign w:val="bottom"/>
            <w:gridSpan w:val="2"/>
          </w:tcPr>
          <w:p>
            <w:pPr>
              <w:jc w:val="center"/>
              <w:ind w:left="23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Stock options</w:t>
            </w:r>
          </w:p>
        </w:tc>
        <w:tc>
          <w:tcPr>
            <w:tcW w:w="9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29,318,783</w:t>
            </w:r>
          </w:p>
        </w:tc>
        <w:tc>
          <w:tcPr>
            <w:tcW w:w="3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28,360,635</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RSUs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10,764,848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3,630,447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17,600,000</w:t>
            </w:r>
          </w:p>
        </w:tc>
        <w:tc>
          <w:tcPr>
            <w:tcW w:w="3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32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28,750,000</w:t>
            </w:r>
          </w:p>
        </w:tc>
        <w:tc>
          <w:tcPr>
            <w:tcW w:w="3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Private warrants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898,250</w:t>
            </w:r>
          </w:p>
        </w:tc>
        <w:tc>
          <w:tcPr>
            <w:tcW w:w="32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 shares available for future purchase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3,047,669</w:t>
            </w:r>
          </w:p>
        </w:tc>
        <w:tc>
          <w:tcPr>
            <w:tcW w:w="3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440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Equity awards available for future issuance</w:t>
            </w:r>
            <w:r>
              <w:rPr>
                <w:rFonts w:ascii="Times New Roman" w:cs="Times New Roman" w:eastAsia="Times New Roman" w:hAnsi="Times New Roman"/>
                <w:sz w:val="17"/>
                <w:szCs w:val="17"/>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20,223,481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3,631,787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warrants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7,505,657</w:t>
            </w:r>
          </w:p>
        </w:tc>
        <w:tc>
          <w:tcPr>
            <w:tcW w:w="40" w:type="dxa"/>
            <w:vAlign w:val="bottom"/>
            <w:shd w:val="clear" w:color="auto" w:fill="CCEEFF"/>
          </w:tcPr>
          <w:p>
            <w:pPr>
              <w:spacing w:after="0"/>
              <w:rPr>
                <w:sz w:val="14"/>
                <w:szCs w:val="14"/>
                <w:color w:val="auto"/>
              </w:rPr>
            </w:pPr>
          </w:p>
        </w:tc>
      </w:tr>
      <w:tr>
        <w:trPr>
          <w:trHeight w:val="16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common stock reserved for issuance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110,653,031</w:t>
            </w:r>
          </w:p>
        </w:tc>
        <w:tc>
          <w:tcPr>
            <w:tcW w:w="3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43,128,526</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359" w:hanging="345"/>
        <w:spacing w:after="0" w:line="241" w:lineRule="auto"/>
        <w:tabs>
          <w:tab w:leader="none" w:pos="17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As of September 30, 2025, includes 32,000 shares of vested RSUs due to an advisor to satisfy an outstanding liability, which will be issued from the 2025 Equity Incentive Plan. Half of these awards were issued in exchange for shares of common stock due to the same advisor in prior periods.</w:t>
      </w:r>
    </w:p>
    <w:p>
      <w:pPr>
        <w:spacing w:after="0" w:line="15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periods prior to the Merger, the reported share and per share amounts have been retroactively converted by applying the exchange ratio.</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Committed Equity Facility</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July 14, 2025, the Company entered into the Committed Equity Facility and a Registration Rights Agreement with B. Riley (see Note 1).</w:t>
      </w:r>
    </w:p>
    <w:p>
      <w:pPr>
        <w:spacing w:after="0" w:line="175" w:lineRule="exact"/>
        <w:rPr>
          <w:sz w:val="20"/>
          <w:szCs w:val="20"/>
          <w:color w:val="auto"/>
        </w:rPr>
      </w:pPr>
    </w:p>
    <w:p>
      <w:pPr>
        <w:ind w:left="1360" w:right="219"/>
        <w:spacing w:after="0" w:line="254" w:lineRule="auto"/>
        <w:rPr>
          <w:sz w:val="20"/>
          <w:szCs w:val="20"/>
          <w:color w:val="auto"/>
        </w:rPr>
      </w:pPr>
      <w:r>
        <w:rPr>
          <w:rFonts w:ascii="Times New Roman" w:cs="Times New Roman" w:eastAsia="Times New Roman" w:hAnsi="Times New Roman"/>
          <w:sz w:val="14"/>
          <w:szCs w:val="14"/>
          <w:color w:val="auto"/>
        </w:rPr>
        <w:t>Pursuant to the Committed Equity Facility, the Company has the right, but not the obligation, to direct B. Riley to purchase newly issued common shares of common stock up to an aggregate value of $50.0 million over a defined 36-month period. The total aggregate shares issued to B. Riley under the Committed Equity Facility cannot exceed 20,326,316, representing 19.99% of the aggregate number of shares issued and outstanding immediately prior to the execution of the Committed Equity Facility, without prior stockholder approval. Provided that the closing price of the Company’s common stock on the trading day immediately prior to each purchase is greater than $1.00 per share and all prior purchases between the parties are finalized, the Company has the right to sell shares of its common stock to B. Riley in distinct individual transactions (each a “Purchase”). The total number of shares to be issued per Purchase may not exceed 1,000,000 shares and will be further limited by a calculated percentage, not to exceed 25%, of the total aggregate trading volume during a defined period of time applicable to each Purchase. The Committed Equity Facility establishes the purchase price per share as 0.97 of the volume-weighted average price (“VWAP”) of the common stock for the defined period applicable to each Purchase, with 0.03 of the VWAP as commission to B. Riley, and excluding specific transactions outlined in the Committed Equity Facility. All such calculations are subject to adjustment for any stock dividend, stock split, stock combination, recapitalization or other similar transactions.</w:t>
      </w:r>
    </w:p>
    <w:p>
      <w:pPr>
        <w:spacing w:after="0" w:line="144" w:lineRule="exact"/>
        <w:rPr>
          <w:sz w:val="20"/>
          <w:szCs w:val="20"/>
          <w:color w:val="auto"/>
        </w:rPr>
      </w:pPr>
    </w:p>
    <w:p>
      <w:pPr>
        <w:ind w:left="1360" w:right="579"/>
        <w:spacing w:after="0" w:line="267" w:lineRule="auto"/>
        <w:rPr>
          <w:sz w:val="20"/>
          <w:szCs w:val="20"/>
          <w:color w:val="auto"/>
        </w:rPr>
      </w:pPr>
      <w:r>
        <w:rPr>
          <w:rFonts w:ascii="Times New Roman" w:cs="Times New Roman" w:eastAsia="Times New Roman" w:hAnsi="Times New Roman"/>
          <w:sz w:val="14"/>
          <w:szCs w:val="14"/>
          <w:color w:val="auto"/>
        </w:rPr>
        <w:t>Pursuant to the Registration Rights Agreement entered into with B. Riley, 20,326,158 shares of common stock have been registered to permit the subsequent resale of shares purchased under the Committed Equity Facility. The Company controls the timing and amount of any sales to B. Riley, which depends on a variety of</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F-31</w:t>
      </w:r>
    </w:p>
    <w:p>
      <w:pPr>
        <w:sectPr>
          <w:pgSz w:w="11900" w:h="16838" w:orient="portrait"/>
          <w:cols w:equalWidth="0" w:num="1">
            <w:col w:w="10159"/>
          </w:cols>
          <w:pgMar w:left="300" w:top="407"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19"/>
        <w:spacing w:after="0" w:line="261" w:lineRule="auto"/>
        <w:rPr>
          <w:sz w:val="20"/>
          <w:szCs w:val="20"/>
          <w:color w:val="auto"/>
        </w:rPr>
      </w:pPr>
      <w:r>
        <w:rPr>
          <w:rFonts w:ascii="Times New Roman" w:cs="Times New Roman" w:eastAsia="Times New Roman" w:hAnsi="Times New Roman"/>
          <w:sz w:val="14"/>
          <w:szCs w:val="14"/>
          <w:color w:val="auto"/>
        </w:rPr>
        <w:t>factors including, among other things, market conditions, the trading price of the Company’s common stock, and determinations by the Company as to appropriate sources of funding for its business and operations. However, B. Riley’s obligation to purchase shares is subject to certain conditions. In all instances, the Company may not sell shares of its common stock under the Committed Equity Facility if it would result in B. Riley beneficially owning more than 4.99% of its common stock at any one point in time prior to the execution of the agreement without prior stockholder approval.</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Committed Equity Facility will automatically terminate on the earlier of (i) one day after the 36-month anniversary of the Commencement Date,</w:t>
      </w:r>
    </w:p>
    <w:p>
      <w:pPr>
        <w:spacing w:after="0" w:line="22" w:lineRule="exact"/>
        <w:rPr>
          <w:sz w:val="20"/>
          <w:szCs w:val="20"/>
          <w:color w:val="auto"/>
        </w:rPr>
      </w:pPr>
    </w:p>
    <w:p>
      <w:pPr>
        <w:ind w:left="1360" w:right="399" w:hanging="5"/>
        <w:spacing w:after="0" w:line="254" w:lineRule="auto"/>
        <w:tabs>
          <w:tab w:leader="none" w:pos="156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B. Riley shall have purchased the shares of common stock for an aggregate purchase price of $50.0 million or (iii) various other dates associated with events as set forth in the agreement. Neither the Company nor B. Riley may assign or transfer any of their respective rights or obligations under the Committed Equity Facility or the Registration Rights Agreement. No provision of the Committed Equity Facility or the Registration Rights Agreement may be modified or waived by either party.</w:t>
      </w:r>
    </w:p>
    <w:p>
      <w:pPr>
        <w:spacing w:after="0" w:line="145"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At inception, the Company evaluated the Committed Equity Facility and determined that it was not indexed to the Company’s shares of common stock and, therefore, measures the derivative asset associated with the Committed Equity Facility at fair value based on the consideration transferred to B. Riley in exchange for its irrevocable commitment to purchase up to $50.0 million in shares of the Company’s common stock. The derivative asset is revalued at each reporting date with changes in the fair value reported as non-operating income or expense (see Notes 5 and 6).</w:t>
      </w:r>
    </w:p>
    <w:p>
      <w:pPr>
        <w:spacing w:after="0" w:line="14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The fair value associated with the Committed Equity Facility is dependent upon, among other things, changes in the closing share price of the Company’s common stock, the quantity and purchase price of shares sold under the agreement during the reporting period, the unused funding capacity and the cost of raising other forms of capital. As certain inputs are not observable in the market, the derivative asset is classified as a Level 3 instrument within the fair value hierarchy. The Company adjusts the previous fair value estimate of the Committed Equity Facility at each reporting period end based on changes in the weighted average purchase price of shares purchased by B. Riley during the period, the unused capacity available, expected share price volatility, and other macroeconomic factors which impact the cost of raising comparable forms of capital.</w:t>
      </w:r>
    </w:p>
    <w:p>
      <w:pPr>
        <w:spacing w:after="0" w:line="14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The Company incurred costs associated with the Committed Equity Facility totaling $0.4 million, of which $0.2 million was in cash, representing 0.5% of B. Riley’s $50.0 million total aggregate purchase commitment under the Committed Equity Facility, and $0.2 million in fair value related to the issuance of 83,353 shares of common stock. The total consideration paid to B. Riley of $0.4 million was recognized on day one as a derivative asset with subsequent change in fair value reflected in the condensed consolidated statement of operations.</w:t>
      </w:r>
    </w:p>
    <w:p>
      <w:pPr>
        <w:spacing w:after="0" w:line="141"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settled a total of 5,673,734 shares of the Company’s common stock, sold to B. Riley under this agreement, for net proceeds of $20.0 million. The VWAP of shares purchased by B. Riley ranged from $3.14 to $4.07 per share during the three and nine months ended September 30, 2025.</w:t>
      </w:r>
    </w:p>
    <w:p>
      <w:pPr>
        <w:spacing w:after="0" w:line="136"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3"/>
          <w:szCs w:val="13"/>
          <w:color w:val="auto"/>
        </w:rPr>
        <w:t>Based on the September 30, 2025 closing share price of our common stock of $3.45 and $30.0 million of unused capacity under the Committed Equity Facility as of September 30, 2025, the Company would expect to sell only an additional 8,409,939 of its total 14,652,582 remaining registered shares available for purchase under the Committed Equity Facility. Total commission expense of $0.6 million was recognized as a financing charge within “other, net” on the condensed consolidated statement of operations during the three and nine months ended September 30, 2025. The Company had no commission expense during the three and nine months ended September 30, 2024, as the Committed Equity Facility was entered into during 2025.</w:t>
      </w:r>
    </w:p>
    <w:p>
      <w:pPr>
        <w:spacing w:after="0" w:line="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159"/>
          </w:cols>
          <w:pgMar w:left="300" w:top="407"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14. Stock-Based Compensation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recorded stock-based compensation expense for stock options and RSUs as follows:</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360" w:type="dxa"/>
            <w:vAlign w:val="bottom"/>
          </w:tcPr>
          <w:p>
            <w:pPr>
              <w:spacing w:after="0"/>
              <w:rPr>
                <w:sz w:val="11"/>
                <w:szCs w:val="11"/>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00" w:type="dxa"/>
            <w:vAlign w:val="bottom"/>
            <w:gridSpan w:val="2"/>
          </w:tcPr>
          <w:p>
            <w:pPr>
              <w:jc w:val="center"/>
              <w:ind w:left="239"/>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jc w:val="center"/>
              <w:ind w:left="359"/>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660" w:type="dxa"/>
            <w:vAlign w:val="bottom"/>
          </w:tcPr>
          <w:p>
            <w:pPr>
              <w:spacing w:after="0"/>
              <w:rPr>
                <w:sz w:val="11"/>
                <w:szCs w:val="11"/>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60" w:type="dxa"/>
            <w:vAlign w:val="bottom"/>
          </w:tcPr>
          <w:p>
            <w:pPr>
              <w:spacing w:after="0"/>
              <w:rPr>
                <w:sz w:val="11"/>
                <w:szCs w:val="11"/>
                <w:color w:val="auto"/>
              </w:rPr>
            </w:pPr>
          </w:p>
        </w:tc>
        <w:tc>
          <w:tcPr>
            <w:tcW w:w="126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360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80" w:type="dxa"/>
            <w:vAlign w:val="bottom"/>
            <w:tcBorders>
              <w:top w:val="single" w:sz="8" w:color="auto"/>
            </w:tcBorders>
          </w:tcPr>
          <w:p>
            <w:pPr>
              <w:jc w:val="right"/>
              <w:ind w:right="1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9"/>
                <w:szCs w:val="9"/>
                <w:color w:val="auto"/>
              </w:rPr>
            </w:pPr>
          </w:p>
        </w:tc>
        <w:tc>
          <w:tcPr>
            <w:tcW w:w="460" w:type="dxa"/>
            <w:vAlign w:val="bottom"/>
            <w:tcBorders>
              <w:top w:val="single" w:sz="8" w:color="auto"/>
            </w:tcBorders>
          </w:tcPr>
          <w:p>
            <w:pPr>
              <w:jc w:val="right"/>
              <w:ind w:right="59"/>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ind w:right="13"/>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Research and development</w:t>
            </w:r>
          </w:p>
        </w:tc>
        <w:tc>
          <w:tcPr>
            <w:tcW w:w="16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$3,700</w:t>
            </w: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$189</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6"/>
              </w:rPr>
              <w:t>$12,871</w:t>
            </w: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539</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6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15,221</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9,486</w:t>
            </w:r>
          </w:p>
        </w:tc>
        <w:tc>
          <w:tcPr>
            <w:tcW w:w="3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359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28,092</w:t>
            </w:r>
          </w:p>
        </w:tc>
        <w:tc>
          <w:tcPr>
            <w:tcW w:w="3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Equity Award Plans</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In January 2025, the Board of Directors approved, and the Company adopted the 2025 Incentive Award Plan (the “2025 Incentive Plan”), replacing the historical 2011 Equity Incentive Plan (“2011 Amended Stock Plan”). The 2025 Incentive Plan provides for the grant of stock options (both incentive stock options and non-qualified stock options), stock appreciation rights, restricted stock, RSUs and other stock or cash-based awards to employees and consultants of the Company and its subsidiaries and members of the board of directors of the Company. As of September 30, 2025, the total number of authorized shares available under the 2025 Incentive Plan is 30,500,000.</w:t>
      </w:r>
    </w:p>
    <w:p>
      <w:pPr>
        <w:spacing w:after="0" w:line="144"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Under the 2025 Incentive Plan, stock options, including incentive stock options (“ISOs”), may be granted to employees at exercise prices not lower than the fair value of the stock as of the date of grant.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of Directors.</w:t>
      </w:r>
    </w:p>
    <w:p>
      <w:pPr>
        <w:spacing w:after="0" w:line="141"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25"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Under the 2025 Incentive Plan, RSUs are unfunded, unsecured rights to receive, on the applicable settlement date, shares of common stock or an amount in cash, or a combination thereof, as determined by the Administrator, subject to vesting conditions, which may include continued employment or service, or the achievement of performance criteria established by the Administrator.</w:t>
      </w:r>
    </w:p>
    <w:p>
      <w:pPr>
        <w:spacing w:after="0" w:line="136"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During the nine months ending September 30, 2025, the Company commenced the granting of equity awards under the 2025 Incentive Plan. As of September 30, 2025, 20,223,481 shares of common stock were reserved for issuance under the 2025 Incentive Plan.</w:t>
      </w:r>
    </w:p>
    <w:p>
      <w:pPr>
        <w:spacing w:after="0" w:line="125"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Following the effectiveness of the 2025 Incentive Plan, the Company ceased making grants under the 2011 Amended Plan and all remaining unissued shares were retired. However, the 2011 Amended Plan continues to govern the terms and conditions of the outstanding awards granted under it. Shares of common stock subject to the awards granted under the 2011 Plan that cease to be subject to such awards by forfeiture or otherwise after the termination of the 2011 Amended Plan will be retired and no longer be available for issuance.</w:t>
      </w:r>
    </w:p>
    <w:p>
      <w:pPr>
        <w:spacing w:after="0" w:line="14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Under the 2011 Amended Plan, the Company had previously issued RSUs, which vested upon the satisfaction of both the service-based condition and a liquidity event condition. The liquidity event condition for the RSUs was satisfied upon the occurrence of a qualifying event, defined specifically in the equity documents, and generally referred to the earlier of a specified period of time subsequent to an initial public offering or an acquisition, in all cases prior to the expiration date of the award (see Note 3). Additionally, for all terminated RSU grants, all RSUs which have satisfied a portion or all of the service-based condition of the termination date remain with the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F-33</w:t>
      </w:r>
    </w:p>
    <w:p>
      <w:pPr>
        <w:sectPr>
          <w:pgSz w:w="11900" w:h="16838" w:orient="portrait"/>
          <w:cols w:equalWidth="0" w:num="1">
            <w:col w:w="10159"/>
          </w:cols>
          <w:pgMar w:left="300" w:top="407"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stockholder and do not return to the pool of shares available for issuance until the earlier of the satisfaction of the liquidity event (at which time those RSUs vested) or the expiration date of the award. The RSUs expired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was determined based on the estimated fair value of shares of common stock at the date of grant, as determined by the Board of Directors.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summary of stock option activity is as follows:</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940" w:type="dxa"/>
            <w:vAlign w:val="bottom"/>
            <w:gridSpan w:val="3"/>
            <w:vMerge w:val="restart"/>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tcPr>
          <w:p>
            <w:pPr>
              <w:spacing w:after="0"/>
              <w:rPr>
                <w:sz w:val="10"/>
                <w:szCs w:val="10"/>
                <w:color w:val="auto"/>
              </w:rPr>
            </w:pPr>
          </w:p>
        </w:tc>
        <w:tc>
          <w:tcPr>
            <w:tcW w:w="4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average</w:t>
            </w:r>
          </w:p>
        </w:tc>
        <w:tc>
          <w:tcPr>
            <w:tcW w:w="40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(Value in thousands, life in years)</w:t>
            </w: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96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400" w:type="dxa"/>
            <w:vAlign w:val="bottom"/>
          </w:tcPr>
          <w:p>
            <w:pPr>
              <w:spacing w:after="0"/>
              <w:rPr>
                <w:sz w:val="10"/>
                <w:szCs w:val="10"/>
                <w:color w:val="auto"/>
              </w:rPr>
            </w:pPr>
          </w:p>
        </w:tc>
        <w:tc>
          <w:tcPr>
            <w:tcW w:w="54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35"/>
        </w:trPr>
        <w:tc>
          <w:tcPr>
            <w:tcW w:w="4420" w:type="dxa"/>
            <w:vAlign w:val="bottom"/>
            <w:gridSpan w:val="2"/>
            <w:vMerge w:val="continue"/>
          </w:tcPr>
          <w:p>
            <w:pPr>
              <w:spacing w:after="0"/>
              <w:rPr>
                <w:sz w:val="11"/>
                <w:szCs w:val="1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life</w:t>
            </w:r>
          </w:p>
        </w:tc>
        <w:tc>
          <w:tcPr>
            <w:tcW w:w="400" w:type="dxa"/>
            <w:vAlign w:val="bottom"/>
          </w:tcPr>
          <w:p>
            <w:pPr>
              <w:spacing w:after="0"/>
              <w:rPr>
                <w:sz w:val="11"/>
                <w:szCs w:val="1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December 31, 2024</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28,360,635</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1.27</w:t>
            </w:r>
          </w:p>
        </w:tc>
        <w:tc>
          <w:tcPr>
            <w:tcW w:w="4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w:t>
            </w:r>
          </w:p>
        </w:tc>
        <w:tc>
          <w:tcPr>
            <w:tcW w:w="4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$ 22,741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1,347,536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(15,080)</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(374,308)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as of September 30,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29,318,783</w:t>
            </w: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Vested and expected to vest as of September 30, 2025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68,324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420" w:type="dxa"/>
            <w:vAlign w:val="bottom"/>
            <w:gridSpan w:val="2"/>
            <w:vMerge w:val="continue"/>
          </w:tcPr>
          <w:p>
            <w:pPr>
              <w:spacing w:after="0"/>
              <w:rPr>
                <w:sz w:val="13"/>
                <w:szCs w:val="13"/>
                <w:color w:val="auto"/>
              </w:rPr>
            </w:pPr>
          </w:p>
        </w:tc>
        <w:tc>
          <w:tcPr>
            <w:tcW w:w="6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29,318,783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50" w:lineRule="exact"/>
              <w:rPr>
                <w:sz w:val="20"/>
                <w:szCs w:val="20"/>
                <w:color w:val="auto"/>
              </w:rPr>
            </w:pPr>
            <w:r>
              <w:rPr>
                <w:rFonts w:ascii="Times New Roman" w:cs="Times New Roman" w:eastAsia="Times New Roman" w:hAnsi="Times New Roman"/>
                <w:sz w:val="14"/>
                <w:szCs w:val="14"/>
                <w:color w:val="auto"/>
              </w:rPr>
              <w:t>1.37</w:t>
            </w:r>
          </w:p>
        </w:tc>
        <w:tc>
          <w:tcPr>
            <w:tcW w:w="9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Exercisable as of September 30, 2025</w:t>
            </w:r>
          </w:p>
        </w:tc>
        <w:tc>
          <w:tcPr>
            <w:tcW w:w="6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15,847,903</w:t>
            </w: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1.48</w:t>
            </w:r>
          </w:p>
        </w:tc>
        <w:tc>
          <w:tcPr>
            <w:tcW w:w="9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8.1</w:t>
            </w:r>
          </w:p>
        </w:tc>
        <w:tc>
          <w:tcPr>
            <w:tcW w:w="88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38,507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As of September 30, 2025, there was $15.9 million of total unrecognized compensation cost related to unvested stock options, which is expected to be recognized over a weighted average period of 1.8 years.</w:t>
      </w:r>
    </w:p>
    <w:p>
      <w:pPr>
        <w:spacing w:after="0" w:line="125"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 uses the Black-Scholes option pricing model to determine the grant-date fair value of stock options. The determination of the fair value of stock options on the grant date is affected by the estimated closing share price of the Company’s common stock, as well as assumptions regarding a number of complex and subjective variables. These variables include expected share price volatility over the term of the awards, actual and projected employee stock option exercise behaviors, risk-free interest rates, and expected dividends.</w:t>
      </w:r>
    </w:p>
    <w:p>
      <w:pPr>
        <w:spacing w:after="0" w:line="14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grant date fair value of the stock options granted was $2.05 per share. The fair value of the options issued was determined using the Black-Scholes option pricing model, using the following inputs:</w:t>
      </w:r>
    </w:p>
    <w:p>
      <w:pPr>
        <w:spacing w:after="0" w:line="13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37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Three and</w:t>
            </w:r>
          </w:p>
        </w:tc>
      </w:tr>
      <w:tr>
        <w:trPr>
          <w:trHeight w:val="116"/>
        </w:trPr>
        <w:tc>
          <w:tcPr>
            <w:tcW w:w="3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gridSpan w:val="3"/>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Nine Months</w:t>
            </w:r>
          </w:p>
        </w:tc>
      </w:tr>
      <w:tr>
        <w:trPr>
          <w:trHeight w:val="116"/>
        </w:trPr>
        <w:tc>
          <w:tcPr>
            <w:tcW w:w="3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24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r>
      <w:tr>
        <w:trPr>
          <w:trHeight w:val="116"/>
        </w:trPr>
        <w:tc>
          <w:tcPr>
            <w:tcW w:w="3700" w:type="dxa"/>
            <w:vAlign w:val="bottom"/>
          </w:tcPr>
          <w:p>
            <w:pPr>
              <w:spacing w:after="0"/>
              <w:rPr>
                <w:sz w:val="10"/>
                <w:szCs w:val="10"/>
                <w:color w:val="auto"/>
              </w:rPr>
            </w:pPr>
          </w:p>
        </w:tc>
        <w:tc>
          <w:tcPr>
            <w:tcW w:w="2120" w:type="dxa"/>
            <w:vAlign w:val="bottom"/>
            <w:gridSpan w:val="4"/>
          </w:tcPr>
          <w:p>
            <w:pPr>
              <w:jc w:val="center"/>
              <w:ind w:left="1064"/>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35"/>
        </w:trPr>
        <w:tc>
          <w:tcPr>
            <w:tcW w:w="37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Borders>
              <w:bottom w:val="single" w:sz="8" w:color="CCEEFF"/>
            </w:tcBorders>
          </w:tcPr>
          <w:p>
            <w:pPr>
              <w:spacing w:after="0"/>
              <w:rPr>
                <w:sz w:val="11"/>
                <w:szCs w:val="11"/>
                <w:color w:val="auto"/>
              </w:rPr>
            </w:pPr>
          </w:p>
        </w:tc>
      </w:tr>
      <w:tr>
        <w:trPr>
          <w:trHeight w:val="159"/>
        </w:trPr>
        <w:tc>
          <w:tcPr>
            <w:tcW w:w="37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Weighted average exercise price (per share)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3.57</w:t>
            </w:r>
          </w:p>
        </w:tc>
        <w:tc>
          <w:tcPr>
            <w:tcW w:w="160" w:type="dxa"/>
            <w:vAlign w:val="bottom"/>
            <w:shd w:val="clear" w:color="auto" w:fill="CCEEFF"/>
          </w:tcPr>
          <w:p>
            <w:pPr>
              <w:spacing w:after="0"/>
              <w:rPr>
                <w:sz w:val="13"/>
                <w:szCs w:val="13"/>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shd w:val="clear" w:color="auto" w:fill="CCEEFF"/>
          </w:tcPr>
          <w:p>
            <w:pPr>
              <w:spacing w:after="0"/>
              <w:rPr>
                <w:sz w:val="14"/>
                <w:szCs w:val="14"/>
                <w:color w:val="auto"/>
              </w:rPr>
            </w:pPr>
          </w:p>
        </w:tc>
      </w:tr>
      <w:tr>
        <w:trPr>
          <w:trHeight w:val="16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 rate</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60.7%</w:t>
            </w:r>
          </w:p>
        </w:tc>
      </w:tr>
      <w:tr>
        <w:trPr>
          <w:trHeight w:val="168"/>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 yield rate</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r>
    </w:tbl>
    <w:p>
      <w:pPr>
        <w:spacing w:after="0" w:line="153"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During the three months ended September 30, 2025, the Company accelerated the vesting associated with 388,988 outstanding options resulting in $1.1 million of incremental stock based compensation expense.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F-34</w:t>
      </w:r>
    </w:p>
    <w:p>
      <w:pPr>
        <w:sectPr>
          <w:pgSz w:w="11900" w:h="16838" w:orient="portrait"/>
          <w:cols w:equalWidth="0" w:num="1">
            <w:col w:w="10159"/>
          </w:cols>
          <w:pgMar w:left="300" w:top="407"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RSUs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summary of the Company’s RSU activity is as follows:</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Pr>
          <w:p>
            <w:pPr>
              <w:spacing w:after="0"/>
              <w:rPr>
                <w:sz w:val="10"/>
                <w:szCs w:val="10"/>
                <w:color w:val="auto"/>
              </w:rPr>
            </w:pPr>
          </w:p>
        </w:tc>
        <w:tc>
          <w:tcPr>
            <w:tcW w:w="540" w:type="dxa"/>
            <w:vAlign w:val="bottom"/>
            <w:gridSpan w:val="3"/>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60" w:type="dxa"/>
            <w:vAlign w:val="bottom"/>
            <w:gridSpan w:val="4"/>
          </w:tcPr>
          <w:p>
            <w:pPr>
              <w:jc w:val="right"/>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RSUs</w:t>
            </w:r>
            <w:r>
              <w:rPr>
                <w:rFonts w:ascii="Times New Roman" w:cs="Times New Roman" w:eastAsia="Times New Roman" w:hAnsi="Times New Roman"/>
                <w:sz w:val="6"/>
                <w:szCs w:val="6"/>
                <w:b w:val="1"/>
                <w:bCs w:val="1"/>
                <w:color w:val="auto"/>
              </w:rPr>
              <w:t>(1)</w:t>
            </w:r>
          </w:p>
        </w:tc>
        <w:tc>
          <w:tcPr>
            <w:tcW w:w="220" w:type="dxa"/>
            <w:vAlign w:val="bottom"/>
          </w:tcPr>
          <w:p>
            <w:pPr>
              <w:spacing w:after="0"/>
              <w:rPr>
                <w:sz w:val="11"/>
                <w:szCs w:val="11"/>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3,630,447</w:t>
            </w:r>
          </w:p>
        </w:tc>
        <w:tc>
          <w:tcPr>
            <w:tcW w:w="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8,872,307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Issued</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(1,331,257)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(406,649)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September 30,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10,764,848</w:t>
            </w:r>
          </w:p>
        </w:tc>
        <w:tc>
          <w:tcPr>
            <w:tcW w:w="2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239" w:hanging="345"/>
        <w:spacing w:after="0" w:line="241" w:lineRule="auto"/>
        <w:tabs>
          <w:tab w:leader="none" w:pos="170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As of September 30, 2025, 1,973,365 of the RSUs have vested but have not yet been issued to the award holders. As no conditions remain in order for these shares of common stock to be issuable, these awards have been included in the weighted average shares outstanding calculation for purposes of earnings per share (see Note 18).</w:t>
      </w:r>
    </w:p>
    <w:p>
      <w:pPr>
        <w:spacing w:after="0" w:line="153" w:lineRule="exact"/>
        <w:rPr>
          <w:sz w:val="20"/>
          <w:szCs w:val="20"/>
          <w:color w:val="auto"/>
        </w:rPr>
      </w:pPr>
    </w:p>
    <w:p>
      <w:pPr>
        <w:ind w:left="1360" w:right="319"/>
        <w:spacing w:after="0" w:line="267" w:lineRule="auto"/>
        <w:rPr>
          <w:sz w:val="20"/>
          <w:szCs w:val="20"/>
          <w:color w:val="auto"/>
        </w:rPr>
      </w:pPr>
      <w:r>
        <w:rPr>
          <w:rFonts w:ascii="Times New Roman" w:cs="Times New Roman" w:eastAsia="Times New Roman" w:hAnsi="Times New Roman"/>
          <w:sz w:val="14"/>
          <w:szCs w:val="14"/>
          <w:color w:val="auto"/>
        </w:rPr>
        <w:t>Immediately prior to the consummation of the Merger, the RSUs had both a service-based condition and a liquidity event condition. The liquidity event condition was satisfied on the consummation of the liquidity event, and effective with the consummation of the Merger, the Company recognized $3.9 million in stock-based compensation expense associated with the vesting of the outstanding RSUs (see Note 3).</w:t>
      </w:r>
    </w:p>
    <w:p>
      <w:pPr>
        <w:spacing w:after="0" w:line="136" w:lineRule="exact"/>
        <w:rPr>
          <w:sz w:val="20"/>
          <w:szCs w:val="20"/>
          <w:color w:val="auto"/>
        </w:rPr>
      </w:pPr>
    </w:p>
    <w:p>
      <w:pPr>
        <w:ind w:left="1360" w:right="799"/>
        <w:spacing w:after="0" w:line="283" w:lineRule="auto"/>
        <w:rPr>
          <w:sz w:val="20"/>
          <w:szCs w:val="20"/>
          <w:color w:val="auto"/>
        </w:rPr>
      </w:pPr>
      <w:r>
        <w:rPr>
          <w:rFonts w:ascii="Times New Roman" w:cs="Times New Roman" w:eastAsia="Times New Roman" w:hAnsi="Times New Roman"/>
          <w:sz w:val="14"/>
          <w:szCs w:val="14"/>
          <w:color w:val="auto"/>
        </w:rPr>
        <w:t>As of September 30, 2025, there was $20.7 million of total unrecognized compensation cost related to unvested RSUs, which is expected to be recognized over a weighted average period of 2.7 years.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3" w:lineRule="exact"/>
        <w:rPr>
          <w:sz w:val="20"/>
          <w:szCs w:val="20"/>
          <w:color w:val="auto"/>
        </w:rPr>
      </w:pPr>
    </w:p>
    <w:p>
      <w:pPr>
        <w:ind w:left="1360" w:right="359"/>
        <w:spacing w:after="0" w:line="258" w:lineRule="auto"/>
        <w:rPr>
          <w:sz w:val="20"/>
          <w:szCs w:val="20"/>
          <w:color w:val="auto"/>
        </w:rPr>
      </w:pPr>
      <w:r>
        <w:rPr>
          <w:rFonts w:ascii="Times New Roman" w:cs="Times New Roman" w:eastAsia="Times New Roman" w:hAnsi="Times New Roman"/>
          <w:sz w:val="14"/>
          <w:szCs w:val="14"/>
          <w:color w:val="auto"/>
        </w:rPr>
        <w:t>In January 2025, the Board of Directors adopted the 2025 Employee Stock Purchase Plan (the “2025 ESPP”) in order to enable eligible employees to purchase shares of common stock with accumulated payroll deductions. Under the 2025 ESPP, eligible employees will be able to purchase share of common stock at a discount over a series of offering periods, which may consist of one or more purchase periods. The purchase price for shares of common stock purchased under the 2025 ESPP will be 85% of the lesser of the fair market value of shares of common stock on (i) the first trading day of the applicable offering period or (ii) the last trading day of each purchase period in the applicable offering period.</w:t>
      </w:r>
    </w:p>
    <w:p>
      <w:pPr>
        <w:spacing w:after="0" w:line="144"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As of September 30, 2025, 3,047,669 shares of common stock were reserved for issuance pursuant to the 2025 ESPP, and no shares of stock had been purchased by employees as the Company had not commenced the 2025 ESPP.</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15. Commitments and Contingencies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93" w:lineRule="exact"/>
        <w:rPr>
          <w:sz w:val="20"/>
          <w:szCs w:val="20"/>
          <w:color w:val="auto"/>
        </w:rPr>
      </w:pPr>
    </w:p>
    <w:p>
      <w:pPr>
        <w:ind w:left="1360" w:right="479"/>
        <w:spacing w:after="0" w:line="267" w:lineRule="auto"/>
        <w:rPr>
          <w:sz w:val="20"/>
          <w:szCs w:val="20"/>
          <w:color w:val="auto"/>
        </w:rPr>
      </w:pPr>
      <w:r>
        <w:rPr>
          <w:rFonts w:ascii="Times New Roman" w:cs="Times New Roman" w:eastAsia="Times New Roman" w:hAnsi="Times New Roman"/>
          <w:sz w:val="14"/>
          <w:szCs w:val="14"/>
          <w:color w:val="auto"/>
        </w:rPr>
        <w:t>As of September 30, 2025, the Company had outstanding purchase orders and contractual obligations totaling $0.5 million to procure inventory. The Company’s outstanding inventory purchase orders and preauthorized commitments to procure strategic components based on expected demand are placed with a server supplier, its primary third-party contract manufacturer, and a semiconductor supplier.</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F-35</w:t>
      </w:r>
    </w:p>
    <w:p>
      <w:pPr>
        <w:sectPr>
          <w:pgSz w:w="11900" w:h="16838" w:orient="portrait"/>
          <w:cols w:equalWidth="0" w:num="1">
            <w:col w:w="10159"/>
          </w:cols>
          <w:pgMar w:left="300" w:top="407"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99"/>
        <w:spacing w:after="0" w:line="267" w:lineRule="auto"/>
        <w:rPr>
          <w:sz w:val="20"/>
          <w:szCs w:val="20"/>
          <w:color w:val="auto"/>
        </w:rPr>
      </w:pPr>
      <w:r>
        <w:rPr>
          <w:rFonts w:ascii="Times New Roman" w:cs="Times New Roman" w:eastAsia="Times New Roman" w:hAnsi="Times New Roman"/>
          <w:sz w:val="14"/>
          <w:szCs w:val="14"/>
          <w:color w:val="auto"/>
        </w:rPr>
        <w:t>The Company has an obligation to purchase inventories that have been purchased by a contract manufacturer when components have not been consumed within a period defined in the terms of its agreement with the manufacturer. The Company purchased inventories due to this obligation as follows:</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w:t>
            </w:r>
          </w:p>
        </w:tc>
        <w:tc>
          <w:tcPr>
            <w:tcW w:w="340" w:type="dxa"/>
            <w:vAlign w:val="bottom"/>
          </w:tcPr>
          <w:p>
            <w:pPr>
              <w:spacing w:after="0"/>
              <w:rPr>
                <w:sz w:val="11"/>
                <w:szCs w:val="11"/>
                <w:color w:val="auto"/>
              </w:rPr>
            </w:pPr>
          </w:p>
        </w:tc>
        <w:tc>
          <w:tcPr>
            <w:tcW w:w="10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Nine Months</w:t>
            </w:r>
          </w:p>
        </w:tc>
        <w:tc>
          <w:tcPr>
            <w:tcW w:w="0" w:type="dxa"/>
            <w:vAlign w:val="bottom"/>
          </w:tcPr>
          <w:p>
            <w:pPr>
              <w:spacing w:after="0"/>
              <w:rPr>
                <w:sz w:val="1"/>
                <w:szCs w:val="1"/>
                <w:color w:val="auto"/>
              </w:rPr>
            </w:pPr>
          </w:p>
        </w:tc>
      </w:tr>
      <w:tr>
        <w:trPr>
          <w:trHeight w:val="116"/>
        </w:trPr>
        <w:tc>
          <w:tcPr>
            <w:tcW w:w="4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center"/>
              <w:ind w:right="170"/>
              <w:spacing w:after="0" w:line="116" w:lineRule="exact"/>
              <w:rPr>
                <w:sz w:val="20"/>
                <w:szCs w:val="20"/>
                <w:color w:val="auto"/>
              </w:rPr>
            </w:pPr>
            <w:r>
              <w:rPr>
                <w:rFonts w:ascii="Times New Roman" w:cs="Times New Roman" w:eastAsia="Times New Roman" w:hAnsi="Times New Roman"/>
                <w:sz w:val="11"/>
                <w:szCs w:val="11"/>
                <w:b w:val="1"/>
                <w:bCs w:val="1"/>
                <w:color w:val="auto"/>
              </w:rPr>
              <w:t>Ended</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tcPr>
          <w:p>
            <w:pPr>
              <w:jc w:val="center"/>
              <w:ind w:right="360"/>
              <w:spacing w:after="0" w:line="116" w:lineRule="exact"/>
              <w:rPr>
                <w:sz w:val="20"/>
                <w:szCs w:val="20"/>
                <w:color w:val="auto"/>
              </w:rPr>
            </w:pPr>
            <w:r>
              <w:rPr>
                <w:rFonts w:ascii="Times New Roman" w:cs="Times New Roman" w:eastAsia="Times New Roman" w:hAnsi="Times New Roman"/>
                <w:sz w:val="11"/>
                <w:szCs w:val="11"/>
                <w:b w:val="1"/>
                <w:bCs w:val="1"/>
                <w:color w:val="auto"/>
                <w:w w:val="97"/>
              </w:rPr>
              <w:t>Ended</w:t>
            </w:r>
          </w:p>
        </w:tc>
        <w:tc>
          <w:tcPr>
            <w:tcW w:w="0" w:type="dxa"/>
            <w:vAlign w:val="bottom"/>
          </w:tcPr>
          <w:p>
            <w:pPr>
              <w:spacing w:after="0"/>
              <w:rPr>
                <w:sz w:val="1"/>
                <w:szCs w:val="1"/>
                <w:color w:val="auto"/>
              </w:rPr>
            </w:pPr>
          </w:p>
        </w:tc>
      </w:tr>
      <w:tr>
        <w:trPr>
          <w:trHeight w:val="135"/>
        </w:trPr>
        <w:tc>
          <w:tcPr>
            <w:tcW w:w="42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340" w:type="dxa"/>
            <w:vAlign w:val="bottom"/>
          </w:tcPr>
          <w:p>
            <w:pPr>
              <w:spacing w:after="0"/>
              <w:rPr>
                <w:sz w:val="11"/>
                <w:szCs w:val="11"/>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40" w:type="dxa"/>
            <w:vAlign w:val="bottom"/>
          </w:tcPr>
          <w:p>
            <w:pPr>
              <w:spacing w:after="0"/>
              <w:rPr>
                <w:sz w:val="11"/>
                <w:szCs w:val="11"/>
                <w:color w:val="auto"/>
              </w:rPr>
            </w:pPr>
          </w:p>
        </w:tc>
        <w:tc>
          <w:tcPr>
            <w:tcW w:w="108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42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6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Pr>
          <w:p>
            <w:pPr>
              <w:spacing w:after="0"/>
              <w:rPr>
                <w:sz w:val="9"/>
                <w:szCs w:val="9"/>
                <w:color w:val="auto"/>
              </w:rPr>
            </w:pPr>
          </w:p>
        </w:tc>
        <w:tc>
          <w:tcPr>
            <w:tcW w:w="3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top w:val="single" w:sz="8" w:color="auto"/>
            </w:tcBorders>
            <w:gridSpan w:val="2"/>
          </w:tcPr>
          <w:p>
            <w:pPr>
              <w:jc w:val="right"/>
              <w:ind w:right="1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Inventory purchases related to purchase obligations</w:t>
            </w:r>
          </w:p>
        </w:tc>
        <w:tc>
          <w:tcPr>
            <w:tcW w:w="13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9"/>
              </w:rPr>
              <w:t>$ 46</w:t>
            </w:r>
          </w:p>
        </w:tc>
        <w:tc>
          <w:tcPr>
            <w:tcW w:w="3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$ 346</w:t>
            </w: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$150</w:t>
            </w:r>
          </w:p>
        </w:tc>
        <w:tc>
          <w:tcPr>
            <w:tcW w:w="3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$4,088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While the Company expects such purchased components to be used in future production of its finished goods, these components are considered in its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may not be recoverable, the loss is probable and management has the ability to reasonably estimate the amount of the loss. As of September 30, 2025 and December 31, 2024, the liability balance of the Company’s accrued losses on purchase commitments equaled $0.6 million on the condensed consolidated balance sheets.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On September 9, 2024, BurTech entered into an Advisory Services Engagement Letter with Jefferies to serve as its exclusive capital markets advisor in connection with the contemplated Merger involving Legacy Blaize (the “Jefferies Engagement Letter”), pursuant to which Jefferies would be eligible for a fee of $4.5 million contingent upon the closing of the Merger and for reimbursement of expenses up to $0.5 million.</w:t>
      </w:r>
    </w:p>
    <w:p>
      <w:pPr>
        <w:spacing w:after="0" w:line="136"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On April 7, 2025, Jefferies commenced a lawsuit against the Company, as successor to BurTech, in the Supreme Court of the State of New York, County of New York, asserting that, pursuant to the Jefferies Engagement Letter, it is entitled to payment of the amounts described above, along with pre- and post-judgment interest and legal costs and seeking summary judgment in lieu of complaint. On September 4, 2025, the court denied Jefferies’s motion for summary judgment, and on September 19, 2025, Jefferies filed a complaint. The Company has engaged counsel and intends to vigorously defend this matter.</w:t>
      </w:r>
    </w:p>
    <w:p>
      <w:pPr>
        <w:spacing w:after="0" w:line="142" w:lineRule="exact"/>
        <w:rPr>
          <w:sz w:val="20"/>
          <w:szCs w:val="20"/>
          <w:color w:val="auto"/>
        </w:rPr>
      </w:pPr>
    </w:p>
    <w:p>
      <w:pPr>
        <w:ind w:left="1360" w:right="279"/>
        <w:spacing w:after="0" w:line="268" w:lineRule="auto"/>
        <w:rPr>
          <w:sz w:val="20"/>
          <w:szCs w:val="20"/>
          <w:color w:val="auto"/>
        </w:rPr>
      </w:pPr>
      <w:r>
        <w:rPr>
          <w:rFonts w:ascii="Times New Roman" w:cs="Times New Roman" w:eastAsia="Times New Roman" w:hAnsi="Times New Roman"/>
          <w:sz w:val="14"/>
          <w:szCs w:val="14"/>
          <w:color w:val="auto"/>
        </w:rPr>
        <w:t xml:space="preserve">In accordance with ASC 450 -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the Company has recorded estimated liabilities as a maximum potential of contingent exposure in this matter of $5.0 million as of September 30, 2025, of which $4.0 million is included in accounts payable and $1.0 million is included in accrued expenses and other current liabilities.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Advisor Agreements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October through December of 2024, the Company entered into various advisor agreements related to business development and strategy, and for new revenue contracts in new geographical markets. Compensation for services, pending approval by the Board of Directors, is in the form of restricted stock units following the filing of a registration statement subsequent to the Merger consummation to register such shares, and subject to the advisors continued service on the applicable grant date. During the three months ended September 30, 2025, the Company released the advisor restricted stock units which had vested under the terms of the agreements (see Note 14).</w:t>
      </w:r>
    </w:p>
    <w:p>
      <w:pPr>
        <w:spacing w:after="0" w:line="144"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In December 2024, the Company entered into an agreement for capital market services which included advisory services and a finder’s fee, for which payment was due upon the close of the Merger (see Note 3). Under the terms of the agreement, at the Company’s discretion, the advisory fee of $0.8 million is to be paid in the form of (i) cash and (ii) cash or a combination of cash and shares of common stock of common stock at a price of $10.00 per share at various dates in 2025. The finder’s fee, equal to a specified percentage of the trust value of the Company’s shares held by investors introduced by the advisor, is to be paid fifty percent in cash and fifty percent</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F-36</w:t>
      </w:r>
    </w:p>
    <w:p>
      <w:pPr>
        <w:sectPr>
          <w:pgSz w:w="11900" w:h="16838" w:orient="portrait"/>
          <w:cols w:equalWidth="0" w:num="1">
            <w:col w:w="10159"/>
          </w:cols>
          <w:pgMar w:left="300" w:top="407"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in shares of common stock at a price of $10.00 per share, concurrent with the close of the Merger. The Company recognized $0.6 million associated with the contract as deferred offering costs and accrued liabilities for the year ended December 31, 2024. On the earlier of the date that is six months from the date of the Merger and the date that a Registration Statement filed with the SEC registering the resale of the closing shares is declared effective (the “Reset Date”), if the five day volume weighted average price of common stock for the five trading days immediately preceding the Reset Date (such price, the “Reset Price”) is less than $10.00 per share (subject to a $1.00 per share floor), within two days the Company shall issue an additional number of common shares equal to the number obtained by dividing (i) the product of the number of shares held as of the Reset Date and $10.00 by (ii) the Reset Price, less the number of sharing shares held, provided that the additional shares shall not exceed 300,000 shares.</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 April 2024, the Company entered into an advisory agreement for future services. The terms of the agreement require a non-refundable advisory fee of $2.0 million paid upon execution of the contract in the form of 769,231 shares of common stock (the “Fee Shares”). In July 2025, the Company released the 769,231 shares of common stock due under the advisory agreement. The Fee Shares are subject to a one-year lock-up provision (the “Lock-Up Period”) which expires the earlier of one year from the date of the agreement or the date of a change of control as defined in the agreement. Prior to the expiration of the Lock-Up Period, the advisor may sell the common stock shares back to the Company or an affiliate as defined in Rule 405 under the Securities Act. The Fee Shares subject to the lock-up provision are subject to adjustment if the dollar volume-weighted average price for the Company’s common stock (“VWAP”) 20 out of any 30 trading Days is at least $7.00 per share, then the Lock-Up Period shall be terminated with respect to fifty percent of the shares to be issued for the fee. Furthermore, if the VWAP of the common stock for 20 out of any 30 Trading Days is at least $10.00 per share, then the Lock-Up Period shall be terminated with respect to the other fifty percent of the Fee Shares, rounded up.</w:t>
      </w:r>
    </w:p>
    <w:p>
      <w:pPr>
        <w:spacing w:after="0" w:line="2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16. Related Party Transactions and Balances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Sales Partner Referral Agreement</w:t>
      </w:r>
    </w:p>
    <w:p>
      <w:pPr>
        <w:spacing w:after="0" w:line="9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On June 30, 2025, the Company entered into a Sales Partner Referral Agreement (the “Referral Agreement”) with Burkhan LLC (the “Sales Partner”), an affiliated party. Pursuant to the Referral Agreement, the Sales Partner will, on a non-exclusive basis, promote certain of the Company’s products and refer potential customers to the Company. The Company may approve or reject any customer opportunity presented by the Sales Partner in its sole discretion. Sales commissions payable to the Sales Partner are negotiable, as further discussed, below. The Referral Agreement has a term of three years and is terminable by either party for convenience on 30 days’ written notice or on five days’ written notice in the event of a material breach by the other party. The Referral Agreement also contains certain confidentiality and indemnification provisions.</w:t>
      </w:r>
    </w:p>
    <w:p>
      <w:pPr>
        <w:spacing w:after="0" w:line="143"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Referral Agreement has an initial approved customer of BurTech Systems Tech LLC (“BST”), an affiliate of Burkhan. Under the agreement, BST will purchase up to $56.5 million of the Company’s products on behalf of an unaffiliated end user, beginning in the second quarter of 2025 through 2026. The Sales Partner will receive a commission, payable by the Company, of up to 10%, depending on its gross margins under the purchase order, payable in cash or partially, at the Company’s discretion, in shares of the Company’s common stock.</w:t>
      </w:r>
    </w:p>
    <w:p>
      <w:pPr>
        <w:spacing w:after="0" w:line="141" w:lineRule="exact"/>
        <w:rPr>
          <w:sz w:val="20"/>
          <w:szCs w:val="20"/>
          <w:color w:val="auto"/>
        </w:rPr>
      </w:pPr>
    </w:p>
    <w:p>
      <w:pPr>
        <w:jc w:val="both"/>
        <w:ind w:left="1360" w:right="619"/>
        <w:spacing w:after="0" w:line="261" w:lineRule="auto"/>
        <w:rPr>
          <w:sz w:val="20"/>
          <w:szCs w:val="20"/>
          <w:color w:val="auto"/>
        </w:rPr>
      </w:pPr>
      <w:r>
        <w:rPr>
          <w:rFonts w:ascii="Times New Roman" w:cs="Times New Roman" w:eastAsia="Times New Roman" w:hAnsi="Times New Roman"/>
          <w:sz w:val="14"/>
          <w:szCs w:val="14"/>
          <w:color w:val="auto"/>
        </w:rPr>
        <w:t>During the three and nine months ended September 30, 2025, pursuant to the Referral Agreement, the Company recognized $1.3 million and $3.0 million, respectively, in revenue from sales to an affiliate of Burkhan, inclusive of sales commissions to Burkhan of $0.1 million and $0.3 million, respectively, which was reported as a reduction of revenue. The sales commission payable was included in the accrued expense and other current liabilities - related party balance as of September 30, 2025.</w:t>
      </w:r>
    </w:p>
    <w:p>
      <w:pPr>
        <w:spacing w:after="0" w:line="14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As of September 30, 2025, there was $3.4 million in accounts receivable that was due from an affiliate of Burkhan, while as of December 31, 2024 there were no amounts due from this customer.</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F-37</w:t>
      </w:r>
    </w:p>
    <w:p>
      <w:pPr>
        <w:sectPr>
          <w:pgSz w:w="11900" w:h="16838" w:orient="portrait"/>
          <w:cols w:equalWidth="0" w:num="1">
            <w:col w:w="10159"/>
          </w:cols>
          <w:pgMar w:left="300" w:top="407"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Related Party Transactions and Balances</w:t>
      </w:r>
    </w:p>
    <w:p>
      <w:pPr>
        <w:spacing w:after="0" w:line="93"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During the three months ended September 30, 2024, the Company recognized revenue of $0.8 million, approximately 97% of total revenue, from sales to a minority stockholder, while during the nine months ended September 30, 2024, the Company recognized revenue of $1.5 million, approximately 98% of total revenue, from sales to two minority stockholders.</w:t>
      </w:r>
    </w:p>
    <w:p>
      <w:pPr>
        <w:spacing w:after="0" w:line="5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 2023, the Company issued a convertible note in the amount of $5.0 million or 41% of the total 2023 Convertible Note proceeds raised in 2023 to a related party investor holding more than a 10% ownership the Company’s outstanding stock. This related party investor also has a representative serving on the Company’s Board of Directors. In accordance with the terms of the 2023 Convertible Note NPA, the investor also received 2023 Convertible Note Warrants for no additional consideration resulting in the allocation of proceeds between the 2023 Convertible Note and the 2023 Convertible Note Warrants (see Note 10). The 2023 Convertible Note and 2023 Convertible Note Warrants held by this investor were subject to the adjustments in fair value. As of December 31, 2024, the related party 2023 Convertible Note and 2023 Convertible Note Warrants approximated $6.9 million and $8.0 million, respectively. Upon consummation of the Merger, this related party’s 2023 Convertible Note and 2023 Convertible Warrants were converted into shares of common stock (see Note 3). During the three and nine months ended September 30, 2025, the change in fair value for the respective 2023 Convertible Note was zero and $6.0 million, respectively (see Note 5). During the three and nine months ended September 30, 2024, the changes in fair value for the respective 2023 Convertible Note and 2023 Convertible Note Warrants equaled $0.3 million and $0.6 million, respectively, and immaterial and $(0.4) million, respectively (see Note 5).</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 January 2023, one of the minority investors with which the Company had a prior revenue arrangement, representing zero and approximately 21% of total revenues for the three and nine months ended September 30, 2024, also invested in a P2P Note in the amount of $3.3 million, or 35% of the total P2P proceeds raised in 2023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related party P2P Note and P2P Warrants approximated $4.2 million. Effective January 13, 2025, this related party’s respective P2P Note and P2P Warrants were converted into common stock in connection with the Merger (see Note 3). During the three and nine months ended September 30, 2025, the change in fair value for the respective P2P Note was zero and $7.2 million, respectively (see Note 5). During the three and nine months ended September 30, 2024, the change in fair value for the respective P2P Note and P2P Warrants was immaterial and $0.4 million, respectively, and immaterial and ($0.4) million, respectively (see Note 5).</w:t>
      </w:r>
    </w:p>
    <w:p>
      <w:pPr>
        <w:spacing w:after="0" w:line="146"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In December 2022, one of the minority stockholders with which the Company had a prior revenue arrangement, representing approximately 97% and 77% of total revenues for the three and nine months ended September 30, 2024, respectively, and 98% of accounts receivable as of December 31, 2024, also invested in a P2P Note in the amount of $0.4 million, or 13% of the total P2P proceeds raised in 2022 (see Note 9). In accordance with the terms of the 2022 P2P NPA, the minority investor also received P2P Warrants for no additional consideration resulting in the allocation of proceeds between the P2P Note and the P2P Warrants (see Note 9). The P2P Note and P2P Warrants held by the minority investor were subject to the adjustments in fair value. As of December 31, 2024, the fair value of the related party P2P Note and P2P Warrants approximated $0.5 million and zero, respectively. Effective January 13, 2025, this related party’s respective 2022 P2P Note and P2P Warrants were converted into common stock in connection with the Merger (see Note 3). During the three and nine months ended September 30, 2025, the changes in fair value for this set of P2P Notes were zero and $0.8 million, respectively (see Note 5). During the three and nine months ended September 30, 2024, the changes in fair value for this set of P2P Note and P2P Note Warrants were immaterial and $0.4 million, respectively and immaterial (see Note 5).</w:t>
      </w:r>
    </w:p>
    <w:p>
      <w:pPr>
        <w:spacing w:after="0" w:line="1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January 2025, in connection with the consummation of the Merger, the Company signed the Shareholder Note (see Note 3).</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F-38</w:t>
      </w:r>
    </w:p>
    <w:p>
      <w:pPr>
        <w:sectPr>
          <w:pgSz w:w="11900" w:h="16838" w:orient="portrait"/>
          <w:cols w:equalWidth="0" w:num="1">
            <w:col w:w="10159"/>
          </w:cols>
          <w:pgMar w:left="300" w:top="407"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During the three and nine months ended September 30, 2025, the Company incurred zero and $0.5 million, respectively, of marketing expenses paid to a company owned by a direct family member of one of its minority stockholders and board of directors. During the three and nine months ended September 30, 2024, the Company incurred no such marketing expenses.</w:t>
      </w:r>
    </w:p>
    <w:p>
      <w:pPr>
        <w:spacing w:after="0" w:line="13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As of September 30, 2025, the Company had amounts due to related parties for a working capital loan and other advances (see Note 9).</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17. Segment Reporting</w:t>
      </w:r>
    </w:p>
    <w:p>
      <w:pPr>
        <w:spacing w:after="0" w:line="93" w:lineRule="exact"/>
        <w:rPr>
          <w:sz w:val="20"/>
          <w:szCs w:val="20"/>
          <w:color w:val="auto"/>
        </w:rPr>
      </w:pPr>
    </w:p>
    <w:p>
      <w:pPr>
        <w:ind w:left="1360" w:right="399"/>
        <w:spacing w:after="0" w:line="257" w:lineRule="auto"/>
        <w:rPr>
          <w:sz w:val="20"/>
          <w:szCs w:val="20"/>
          <w:color w:val="auto"/>
        </w:rPr>
      </w:pPr>
      <w:r>
        <w:rPr>
          <w:rFonts w:ascii="Times New Roman" w:cs="Times New Roman" w:eastAsia="Times New Roman" w:hAnsi="Times New Roman"/>
          <w:sz w:val="14"/>
          <w:szCs w:val="14"/>
          <w:color w:val="auto"/>
        </w:rPr>
        <w:t>The Company operates as a single reportable segment, and manages the business and evaluates financial performance on a consolidated basis. The CODM regularly receives and reviews consolidated financial results focusing primarily on revenue, key costs and expenses, net loss, and earnings before interest, tax, depreciation and amortization (“EBITDA”) and as further adjusted (“Adjusted EBITDA”), to make decisions regarding the allocation of resources and assessment of performance. The Company defines Adjusted EBITDA as net loss before interest, taxes, depreciation and amortization, certain non-cash items and other adjustments that it does not consider in its evaluation of ongoing operating performance from period to period.</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loss is as follows:</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6"/>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1080" w:type="dxa"/>
            <w:vAlign w:val="bottom"/>
          </w:tcPr>
          <w:p>
            <w:pPr>
              <w:spacing w:after="0"/>
              <w:rPr>
                <w:sz w:val="11"/>
                <w:szCs w:val="11"/>
                <w:color w:val="auto"/>
              </w:rPr>
            </w:pPr>
          </w:p>
        </w:tc>
        <w:tc>
          <w:tcPr>
            <w:tcW w:w="1660" w:type="dxa"/>
            <w:vAlign w:val="bottom"/>
            <w:gridSpan w:val="6"/>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6"/>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340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Borders>
              <w:top w:val="single" w:sz="8" w:color="auto"/>
            </w:tcBorders>
          </w:tcPr>
          <w:p>
            <w:pPr>
              <w:jc w:val="right"/>
              <w:ind w:right="9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9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1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10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$ 11,867</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781</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14,856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1,553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(10,091)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(11,222)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costs</w:t>
            </w:r>
          </w:p>
        </w:tc>
        <w:tc>
          <w:tcPr>
            <w:tcW w:w="1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(17,175)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(7,520)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(51,498)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(21,392)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Technology costs</w:t>
            </w:r>
          </w:p>
        </w:tc>
        <w:tc>
          <w:tcPr>
            <w:tcW w:w="18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(1,499)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(974)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(5,192)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(1,011)</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and financing charges</w:t>
            </w:r>
          </w:p>
        </w:tc>
        <w:tc>
          <w:tcPr>
            <w:tcW w:w="1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(4,424)</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(15,488)</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8"/>
              </w:rPr>
              <w:t>(121,511)</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(25,130)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8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Other items</w:t>
            </w:r>
            <w:r>
              <w:rPr>
                <w:rFonts w:ascii="Times New Roman" w:cs="Times New Roman" w:eastAsia="Times New Roman" w:hAnsi="Times New Roman"/>
                <w:sz w:val="17"/>
                <w:szCs w:val="17"/>
                <w:color w:val="auto"/>
                <w:vertAlign w:val="superscript"/>
              </w:rPr>
              <w:t>(1)</w:t>
            </w:r>
          </w:p>
        </w:tc>
        <w:tc>
          <w:tcPr>
            <w:tcW w:w="10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(5,265)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(2,952)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(29,436)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(26,258)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6"/>
              </w:rPr>
              <w:t>(25,607)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8"/>
              </w:rPr>
              <w:t>(203,608)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(54,503)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439" w:hanging="345"/>
        <w:spacing w:after="0" w:line="236" w:lineRule="auto"/>
        <w:tabs>
          <w:tab w:leader="none" w:pos="1700"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“Other items” includes marketing expense, professional fees, income tax expense, facilities costs, transaction costs, foreign exchange gains and losses, credit loss expense, and other overhead expenses.</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F-39</w:t>
      </w:r>
    </w:p>
    <w:p>
      <w:pPr>
        <w:sectPr>
          <w:pgSz w:w="11900" w:h="16838" w:orient="portrait"/>
          <w:cols w:equalWidth="0" w:num="1">
            <w:col w:w="10159"/>
          </w:cols>
          <w:pgMar w:left="300" w:top="407"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reflects the Company’s EBITDA and Adjusted EBITDA:</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6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5"/>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840" w:type="dxa"/>
            <w:vAlign w:val="bottom"/>
          </w:tcPr>
          <w:p>
            <w:pPr>
              <w:spacing w:after="0"/>
              <w:rPr>
                <w:sz w:val="11"/>
                <w:szCs w:val="11"/>
                <w:color w:val="auto"/>
              </w:rPr>
            </w:pPr>
          </w:p>
        </w:tc>
        <w:tc>
          <w:tcPr>
            <w:tcW w:w="1660" w:type="dxa"/>
            <w:vAlign w:val="bottom"/>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06"/>
        </w:trPr>
        <w:tc>
          <w:tcPr>
            <w:tcW w:w="36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Borders>
              <w:top w:val="single" w:sz="8" w:color="auto"/>
            </w:tcBorders>
          </w:tcPr>
          <w:p>
            <w:pPr>
              <w:jc w:val="right"/>
              <w:ind w:right="9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right"/>
              <w:ind w:right="9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1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jc w:val="right"/>
              <w:ind w:right="7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$(26,258)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$(25,607)</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(203,608)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$(54,503)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 net</w:t>
            </w:r>
          </w:p>
        </w:tc>
        <w:tc>
          <w:tcPr>
            <w:tcW w:w="8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(693)</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(1,273)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(1,406)</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EBITDA</w:t>
            </w:r>
          </w:p>
        </w:tc>
        <w:tc>
          <w:tcPr>
            <w:tcW w:w="8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(26,566)</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(26,574)</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8"/>
              </w:rPr>
              <w:t>(203,781)</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(55,144)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28,092</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changes and financing charges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15,488</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121,511</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8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12,043</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inventory cost realignment adjustments</w:t>
            </w:r>
          </w:p>
        </w:tc>
        <w:tc>
          <w:tcPr>
            <w:tcW w:w="1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line="168" w:lineRule="exact"/>
              <w:rPr>
                <w:sz w:val="20"/>
                <w:szCs w:val="20"/>
                <w:color w:val="auto"/>
              </w:rPr>
            </w:pPr>
            <w:r>
              <w:rPr>
                <w:rFonts w:ascii="Times New Roman" w:cs="Times New Roman" w:eastAsia="Times New Roman" w:hAnsi="Times New Roman"/>
                <w:sz w:val="14"/>
                <w:szCs w:val="14"/>
                <w:color w:val="auto"/>
              </w:rPr>
              <w:t>Other adjustments</w:t>
            </w:r>
            <w:r>
              <w:rPr>
                <w:rFonts w:ascii="Times New Roman" w:cs="Times New Roman" w:eastAsia="Times New Roman" w:hAnsi="Times New Roman"/>
                <w:sz w:val="17"/>
                <w:szCs w:val="17"/>
                <w:color w:val="auto"/>
                <w:vertAlign w:val="superscript"/>
              </w:rPr>
              <w:t>(1)</w:t>
            </w:r>
          </w:p>
        </w:tc>
        <w:tc>
          <w:tcPr>
            <w:tcW w:w="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8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2"/>
              </w:rPr>
              <w:t>$ (11,066)</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(10,478)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(39,372)</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319" w:hanging="345"/>
        <w:spacing w:after="0" w:line="244" w:lineRule="auto"/>
        <w:tabs>
          <w:tab w:leader="none" w:pos="1700"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“Other adjustments” includes, but is not limited to, other non-cash expenses, including foreign exchange gains and losses, and unusual or non-recurring expenses, including litigation expenses, financing advisory fees, and fines and penalties. The Company believes that these expenses are not reflective of its ongoing operating performance and excluding these costs provides a more meaningful comparison of its results of operations over comparative periods.</w:t>
      </w:r>
    </w:p>
    <w:p>
      <w:pPr>
        <w:spacing w:after="0" w:line="151"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The measure of segment assets is reported on the condensed consolidated balance sheet as total consolidated assets. Long-lived and ROU assets were located as follows:</w:t>
      </w:r>
    </w:p>
    <w:p>
      <w:pPr>
        <w:spacing w:after="0" w:line="13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gridSpan w:val="2"/>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center"/>
              <w:ind w:right="5"/>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5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4"/>
          </w:tcPr>
          <w:p>
            <w:pPr>
              <w:jc w:val="center"/>
              <w:ind w:right="14"/>
              <w:spacing w:after="0" w:line="11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360" w:type="dxa"/>
            <w:vAlign w:val="bottom"/>
          </w:tcPr>
          <w:p>
            <w:pPr>
              <w:spacing w:after="0"/>
              <w:rPr>
                <w:sz w:val="10"/>
                <w:szCs w:val="10"/>
                <w:color w:val="auto"/>
              </w:rPr>
            </w:pPr>
          </w:p>
        </w:tc>
        <w:tc>
          <w:tcPr>
            <w:tcW w:w="1180" w:type="dxa"/>
            <w:vAlign w:val="bottom"/>
            <w:gridSpan w:val="5"/>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22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w:t>
            </w:r>
          </w:p>
        </w:tc>
        <w:tc>
          <w:tcPr>
            <w:tcW w:w="20" w:type="dxa"/>
            <w:vAlign w:val="bottom"/>
          </w:tcPr>
          <w:p>
            <w:pPr>
              <w:spacing w:after="0"/>
              <w:rPr>
                <w:sz w:val="7"/>
                <w:szCs w:val="7"/>
                <w:color w:val="auto"/>
              </w:rPr>
            </w:pPr>
          </w:p>
        </w:tc>
        <w:tc>
          <w:tcPr>
            <w:tcW w:w="380" w:type="dxa"/>
            <w:vAlign w:val="bottom"/>
            <w:gridSpan w:val="2"/>
          </w:tcPr>
          <w:p>
            <w:pPr>
              <w:jc w:val="right"/>
              <w:ind w:right="13"/>
              <w:spacing w:after="0" w:line="87" w:lineRule="exact"/>
              <w:rPr>
                <w:sz w:val="20"/>
                <w:szCs w:val="20"/>
                <w:color w:val="auto"/>
              </w:rPr>
            </w:pPr>
            <w:r>
              <w:rPr>
                <w:rFonts w:ascii="Times New Roman" w:cs="Times New Roman" w:eastAsia="Times New Roman" w:hAnsi="Times New Roman"/>
                <w:sz w:val="10"/>
                <w:szCs w:val="10"/>
                <w:b w:val="1"/>
                <w:bCs w:val="1"/>
                <w:color w:val="auto"/>
              </w:rPr>
              <w:t>Fixed</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jc w:val="right"/>
              <w:ind w:right="14"/>
              <w:spacing w:after="0" w:line="87" w:lineRule="exact"/>
              <w:rPr>
                <w:sz w:val="20"/>
                <w:szCs w:val="20"/>
                <w:color w:val="auto"/>
              </w:rPr>
            </w:pPr>
            <w:r>
              <w:rPr>
                <w:rFonts w:ascii="Times New Roman" w:cs="Times New Roman" w:eastAsia="Times New Roman" w:hAnsi="Times New Roman"/>
                <w:sz w:val="10"/>
                <w:szCs w:val="10"/>
                <w:b w:val="1"/>
                <w:bCs w:val="1"/>
                <w:color w:val="auto"/>
                <w:w w:val="98"/>
              </w:rPr>
              <w:t>ROU</w:t>
            </w:r>
          </w:p>
        </w:tc>
        <w:tc>
          <w:tcPr>
            <w:tcW w:w="360" w:type="dxa"/>
            <w:vAlign w:val="bottom"/>
          </w:tcPr>
          <w:p>
            <w:pPr>
              <w:spacing w:after="0"/>
              <w:rPr>
                <w:sz w:val="7"/>
                <w:szCs w:val="7"/>
                <w:color w:val="auto"/>
              </w:rPr>
            </w:pPr>
          </w:p>
        </w:tc>
        <w:tc>
          <w:tcPr>
            <w:tcW w:w="380" w:type="dxa"/>
            <w:vAlign w:val="bottom"/>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Fixed</w:t>
            </w: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ROU</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360" w:type="dxa"/>
            <w:vAlign w:val="bottom"/>
          </w:tcPr>
          <w:p>
            <w:pPr>
              <w:spacing w:after="0"/>
              <w:rPr>
                <w:sz w:val="11"/>
                <w:szCs w:val="11"/>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59"/>
        </w:trPr>
        <w:tc>
          <w:tcPr>
            <w:tcW w:w="52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North America</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814</w:t>
            </w: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158</w:t>
            </w:r>
          </w:p>
        </w:tc>
        <w:tc>
          <w:tcPr>
            <w:tcW w:w="3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$1,095</w:t>
            </w:r>
          </w:p>
        </w:tc>
        <w:tc>
          <w:tcPr>
            <w:tcW w:w="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277</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Asia Pacific</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1,265</w:t>
            </w:r>
          </w:p>
        </w:tc>
        <w:tc>
          <w:tcPr>
            <w:tcW w:w="3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1,692</w:t>
            </w:r>
          </w:p>
        </w:tc>
        <w:tc>
          <w:tcPr>
            <w:tcW w:w="3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2,081</w:t>
            </w:r>
          </w:p>
        </w:tc>
        <w:tc>
          <w:tcPr>
            <w:tcW w:w="3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1,773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18. Net Loss Per Share</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dilutive net loss per share:</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6"/>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6"/>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(Amounts in thousands, except share and per share</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0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amounts)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(26,258)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(25,607)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(203,608)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(54,503)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 average shares outstanding, basic and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tcPr>
          <w:p>
            <w:pPr>
              <w:ind w:left="120"/>
              <w:spacing w:after="0" w:line="183" w:lineRule="exact"/>
              <w:rPr>
                <w:sz w:val="20"/>
                <w:szCs w:val="20"/>
                <w:color w:val="auto"/>
              </w:rPr>
            </w:pPr>
            <w:r>
              <w:rPr>
                <w:rFonts w:ascii="Times New Roman" w:cs="Times New Roman" w:eastAsia="Times New Roman" w:hAnsi="Times New Roman"/>
                <w:sz w:val="14"/>
                <w:szCs w:val="14"/>
                <w:color w:val="auto"/>
              </w:rPr>
              <w:t>diluted</w:t>
            </w:r>
            <w:r>
              <w:rPr>
                <w:rFonts w:ascii="Times New Roman" w:cs="Times New Roman" w:eastAsia="Times New Roman" w:hAnsi="Times New Roman"/>
                <w:sz w:val="17"/>
                <w:szCs w:val="17"/>
                <w:color w:val="auto"/>
                <w:vertAlign w:val="superscript"/>
              </w:rPr>
              <w:t>(1)</w:t>
            </w: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103,585,681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17,478,371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100,130,737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17,466,606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F-40</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700" w:right="479" w:hanging="345"/>
        <w:spacing w:after="0" w:line="241" w:lineRule="auto"/>
        <w:tabs>
          <w:tab w:leader="none" w:pos="1700" w:val="left"/>
        </w:tabs>
        <w:numPr>
          <w:ilvl w:val="0"/>
          <w:numId w:val="6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Three and nine months ended September 30, 2025 include 1,944,865 vested but unissued shares underlying awards of RSUs to employees and 28,500 vested RSUs but unissued shares underlying awards of RSUs to advisors. The Company is contractually obligated to issue shares of common stock for all vested but unissued RSUs.</w:t>
      </w:r>
    </w:p>
    <w:p>
      <w:pPr>
        <w:spacing w:after="0" w:line="153" w:lineRule="exact"/>
        <w:rPr>
          <w:sz w:val="20"/>
          <w:szCs w:val="20"/>
          <w:color w:val="auto"/>
        </w:rPr>
      </w:pPr>
    </w:p>
    <w:p>
      <w:pPr>
        <w:ind w:left="1360" w:right="599"/>
        <w:spacing w:after="0" w:line="267" w:lineRule="auto"/>
        <w:rPr>
          <w:sz w:val="20"/>
          <w:szCs w:val="20"/>
          <w:color w:val="auto"/>
        </w:rPr>
      </w:pPr>
      <w:r>
        <w:rPr>
          <w:rFonts w:ascii="Times New Roman" w:cs="Times New Roman" w:eastAsia="Times New Roman" w:hAnsi="Times New Roman"/>
          <w:sz w:val="14"/>
          <w:szCs w:val="14"/>
          <w:color w:val="auto"/>
        </w:rPr>
        <w:t>Net loss per share calculations and potentially dilutive security amounts for all periods prior to the closing of the Merger have been retrospectively adjusted to the equivalent number of shares outstanding immediately after the Merger to effect the reverse recapitalization. Historically reported weighted average shares outstanding have been multiplied by the Exchange Ratio of approximately 0.78.</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following potentially dilutive securities were excluded from the calculation of diluted net loss per share attributable to common shareholders for the periods presented because the impact of including them would have been anti-dilutive or out-of-the-money:</w:t>
      </w:r>
    </w:p>
    <w:p>
      <w:pPr>
        <w:spacing w:after="0" w:line="13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20" w:type="dxa"/>
            <w:vAlign w:val="bottom"/>
            <w:gridSpan w:val="3"/>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0" w:type="dxa"/>
            <w:vAlign w:val="bottom"/>
          </w:tcPr>
          <w:p>
            <w:pPr>
              <w:spacing w:after="0"/>
              <w:rPr>
                <w:sz w:val="11"/>
                <w:szCs w:val="11"/>
                <w:color w:val="auto"/>
              </w:rPr>
            </w:pPr>
          </w:p>
        </w:tc>
        <w:tc>
          <w:tcPr>
            <w:tcW w:w="194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35"/>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820" w:type="dxa"/>
            <w:vAlign w:val="bottom"/>
            <w:gridSpan w:val="3"/>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194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06"/>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800" w:type="dxa"/>
            <w:vAlign w:val="bottom"/>
            <w:tcBorders>
              <w:top w:val="single" w:sz="8" w:color="auto"/>
            </w:tcBorders>
          </w:tcPr>
          <w:p>
            <w:pPr>
              <w:jc w:val="right"/>
              <w:ind w:right="21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20" w:type="dxa"/>
            <w:vAlign w:val="bottom"/>
            <w:tcBorders>
              <w:top w:val="single" w:sz="8" w:color="auto"/>
            </w:tcBorders>
            <w:gridSpan w:val="2"/>
          </w:tcPr>
          <w:p>
            <w:pPr>
              <w:jc w:val="right"/>
              <w:ind w:right="23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Pr>
          <w:p>
            <w:pPr>
              <w:spacing w:after="0"/>
              <w:rPr>
                <w:sz w:val="9"/>
                <w:szCs w:val="9"/>
                <w:color w:val="auto"/>
              </w:rPr>
            </w:pPr>
          </w:p>
        </w:tc>
        <w:tc>
          <w:tcPr>
            <w:tcW w:w="820" w:type="dxa"/>
            <w:vAlign w:val="bottom"/>
            <w:tcBorders>
              <w:top w:val="single" w:sz="8" w:color="auto"/>
            </w:tcBorders>
          </w:tcPr>
          <w:p>
            <w:pPr>
              <w:jc w:val="right"/>
              <w:ind w:right="237"/>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60" w:type="dxa"/>
            <w:vAlign w:val="bottom"/>
            <w:tcBorders>
              <w:top w:val="single" w:sz="8" w:color="auto"/>
            </w:tcBorders>
            <w:gridSpan w:val="2"/>
          </w:tcPr>
          <w:p>
            <w:pPr>
              <w:jc w:val="right"/>
              <w:ind w:right="250"/>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39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Stock options</w:t>
            </w: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29,318,783</w:t>
            </w: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12,736,621</w:t>
            </w: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29,318,783</w:t>
            </w:r>
          </w:p>
        </w:tc>
        <w:tc>
          <w:tcPr>
            <w:tcW w:w="2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12,736,621</w:t>
            </w:r>
          </w:p>
        </w:tc>
        <w:tc>
          <w:tcPr>
            <w:tcW w:w="6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RSUs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8,791,483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3,743,578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8,791,483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3,743,578</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17,600,000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17,600,000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2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28,750,000</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28,750,000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Private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898,250</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898,250</w:t>
            </w:r>
          </w:p>
        </w:tc>
        <w:tc>
          <w:tcPr>
            <w:tcW w:w="22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34,702,999</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34,702,999</w:t>
            </w:r>
          </w:p>
        </w:tc>
        <w:tc>
          <w:tcPr>
            <w:tcW w:w="6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Legacy warrants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4,695,604</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4,695,604</w:t>
            </w:r>
          </w:p>
        </w:tc>
        <w:tc>
          <w:tcPr>
            <w:tcW w:w="6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potentially dilutive shares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85,408,516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55,878,802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85,408,516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55,878,802</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19. Subsequent Events</w:t>
      </w:r>
    </w:p>
    <w:p>
      <w:pPr>
        <w:spacing w:after="0" w:line="93"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The Company has evaluated subsequent events through the date of issuance of these condensed consolidated financial statements and determined that the following subsequent events, other than those disclosed elsewhere in the condensed consolidated financial statements, are reportable:</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Subsequent Sales of Securities Under the Committed Equity Facility</w:t>
      </w:r>
    </w:p>
    <w:p>
      <w:pPr>
        <w:spacing w:after="0" w:line="93"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From October 1, 2025 through October 17, 2025, the Company settled an additional 2,736,587 shares of newly-issued common stock, sold to B. Riley under the Committed Equity Facility, for net proceeds of $13.4 million. As of the date of issuance of these condensed consolidated financial statements, the Company had settled a total of 8,410,321 shares of common stock, sold to B. Riley under the Committed Equity Facility, for net proceeds of $33.4 million.</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November 10, 2025 Private Placement</w:t>
      </w:r>
    </w:p>
    <w:p>
      <w:pPr>
        <w:spacing w:after="0" w:line="9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On November 10, 2025, the Company and affiliates of Polar Asset Management Partners Inc. (“Polar”) entered into a Securities Purchase Agreement (the “Polar Private Placement”). Pursuant to the Polar Private Placement, the Company agreed to the direct sale of 9,375,000 shares of the Company’s common stock at a purchase price of $3.20 per share and the issuance of 9,375,000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general corporate and working capital purposes.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F-41</w:t>
      </w:r>
    </w:p>
    <w:p>
      <w:pPr>
        <w:sectPr>
          <w:pgSz w:w="11900" w:h="16838" w:orient="portrait"/>
          <w:cols w:equalWidth="0" w:num="1">
            <w:col w:w="10159"/>
          </w:cols>
          <w:pgMar w:left="300" w:top="407"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To the Board of Directors and Shareholders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Blaize, Inc. and Subsidiaries</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Blaize, Inc. and Subsidiaries (the “Company”) as of December 31, 2024 and 2023, and the related consolidated statements of operations, redeemable convertible preferred stock and stockholders’ deficit,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Substantial Doubt about the Company’s Ability to Continue as a Going Concern</w:t>
      </w:r>
    </w:p>
    <w:p>
      <w:pPr>
        <w:spacing w:after="0" w:line="93"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3" w:lineRule="exact"/>
        <w:rPr>
          <w:sz w:val="20"/>
          <w:szCs w:val="20"/>
          <w:color w:val="auto"/>
        </w:rPr>
      </w:pPr>
    </w:p>
    <w:p>
      <w:pPr>
        <w:ind w:left="1360" w:right="539"/>
        <w:spacing w:after="0" w:line="261"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(“GAAS”).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ind w:left="1360" w:right="319"/>
        <w:spacing w:after="0" w:line="25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We have served as the Company’s auditor since 2023.</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 UHY LLP</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Melville, New York</w:t>
      </w:r>
    </w:p>
    <w:p>
      <w:pPr>
        <w:spacing w:after="0" w:line="1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March 11, 2025</w:t>
      </w:r>
    </w:p>
    <w:p>
      <w:pPr>
        <w:spacing w:after="0" w:line="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F-42</w:t>
      </w:r>
    </w:p>
    <w:p>
      <w:pPr>
        <w:sectPr>
          <w:pgSz w:w="11900" w:h="16838" w:orient="portrait"/>
          <w:cols w:equalWidth="0" w:num="1">
            <w:col w:w="10159"/>
          </w:cols>
          <w:pgMar w:left="300" w:top="407"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Blaize, Inc. and Subsidiaries</w:t>
      </w:r>
    </w:p>
    <w:p>
      <w:pPr>
        <w:spacing w:after="0" w:line="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data)</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5"/>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20" w:type="dxa"/>
            <w:vAlign w:val="bottom"/>
          </w:tcPr>
          <w:p>
            <w:pPr>
              <w:spacing w:after="0"/>
              <w:rPr>
                <w:sz w:val="11"/>
                <w:szCs w:val="11"/>
                <w:color w:val="auto"/>
              </w:rPr>
            </w:pPr>
          </w:p>
        </w:tc>
        <w:tc>
          <w:tcPr>
            <w:tcW w:w="67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67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50,237</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 - related party (Note 13)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14,837</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80" w:type="dxa"/>
            <w:vAlign w:val="bottom"/>
            <w:shd w:val="clear" w:color="auto" w:fill="CCEEFF"/>
          </w:tcPr>
          <w:p>
            <w:pPr>
              <w:spacing w:after="0"/>
              <w:rPr>
                <w:sz w:val="14"/>
                <w:szCs w:val="14"/>
                <w:color w:val="auto"/>
              </w:rPr>
            </w:pPr>
          </w:p>
        </w:tc>
      </w:tr>
      <w:tr>
        <w:trPr>
          <w:trHeight w:val="169"/>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80,516</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18,639</w:t>
            </w:r>
          </w:p>
        </w:tc>
        <w:tc>
          <w:tcPr>
            <w:tcW w:w="80" w:type="dxa"/>
            <w:vAlign w:val="bottom"/>
            <w:shd w:val="clear" w:color="auto" w:fill="CCEEFF"/>
          </w:tcPr>
          <w:p>
            <w:pPr>
              <w:spacing w:after="0"/>
              <w:rPr>
                <w:sz w:val="14"/>
                <w:szCs w:val="14"/>
                <w:color w:val="auto"/>
              </w:rPr>
            </w:pPr>
          </w:p>
        </w:tc>
      </w:tr>
      <w:tr>
        <w:trPr>
          <w:trHeight w:val="169"/>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deficit:</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Demand notes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7,904</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14,925</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loss on purchase commitments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payable</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 current portion</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Convertible notes, current portion</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148,629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14,641</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188,143</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47,876</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shd w:val="clear" w:color="auto" w:fill="CCEEFF"/>
          </w:tcPr>
          <w:p>
            <w:pPr>
              <w:spacing w:after="0"/>
              <w:rPr>
                <w:sz w:val="14"/>
                <w:szCs w:val="14"/>
                <w:color w:val="auto"/>
              </w:rPr>
            </w:pPr>
          </w:p>
        </w:tc>
      </w:tr>
      <w:tr>
        <w:trPr>
          <w:trHeight w:val="169"/>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190,979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71,852</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Redeemable convertible preferred stock - $0.00001 par value; 96,650,097 shares authorized as of December 31, 2024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2023, respectively; 44,494,703 shares issued and outstanding at December 31, 2024 and 2023, respectively;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liquidation preference of $173,347 as of December 31, 2024 and 2023, respectively</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8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7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stock - $0.00001 par value; 175,095,000 shares authorized as of December 31, 2024 and 2023,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respectively; 17,519,999 and 17,454,353 shares issued and outstanding as of December 31, 2024 and 2023,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stock, at cost: 124,225 shares at December 31, 2024 and 2023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145,441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141,496</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4"/>
              </w:rPr>
              <w:t>(429,251)</w:t>
            </w:r>
          </w:p>
        </w:tc>
        <w:tc>
          <w:tcPr>
            <w:tcW w:w="26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(368,056)</w:t>
            </w:r>
          </w:p>
        </w:tc>
      </w:tr>
      <w:tr>
        <w:trPr>
          <w:trHeight w:val="170"/>
        </w:trPr>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(283,810</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(226,560</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68"/>
        </w:trPr>
        <w:tc>
          <w:tcPr>
            <w:tcW w:w="20" w:type="dxa"/>
            <w:vAlign w:val="bottom"/>
          </w:tcPr>
          <w:p>
            <w:pPr>
              <w:spacing w:after="0"/>
              <w:rPr>
                <w:sz w:val="14"/>
                <w:szCs w:val="14"/>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deficit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80,516</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18,639</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F-43</w:t>
      </w:r>
    </w:p>
    <w:p>
      <w:pPr>
        <w:sectPr>
          <w:pgSz w:w="11900" w:h="16838" w:orient="portrait"/>
          <w:cols w:equalWidth="0" w:num="1">
            <w:col w:w="10159"/>
          </w:cols>
          <w:pgMar w:left="300" w:top="407"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Blaize, Inc. and Subsidiaries</w:t>
      </w:r>
    </w:p>
    <w:p>
      <w:pPr>
        <w:spacing w:after="0" w:line="9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6"/>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Engineering services revenue - related party (Note 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2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Hardware revenue</w:t>
            </w:r>
          </w:p>
        </w:tc>
        <w:tc>
          <w:tcPr>
            <w:tcW w:w="3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Loss on purchase commitments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costs</w:t>
            </w:r>
          </w:p>
        </w:tc>
        <w:tc>
          <w:tcPr>
            <w:tcW w:w="3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costs and expenses</w:t>
            </w: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(47,635)</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financing charge</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Debt financing charge on convertible notes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(464)</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(Loss) gain on foreign exchange transactions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(228)</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(10,022)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(5,701)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expense</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(14,512)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(49,659)</w:t>
            </w:r>
          </w:p>
        </w:tc>
        <w:tc>
          <w:tcPr>
            <w:tcW w:w="0" w:type="dxa"/>
            <w:vAlign w:val="bottom"/>
          </w:tcPr>
          <w:p>
            <w:pPr>
              <w:spacing w:after="0"/>
              <w:rPr>
                <w:sz w:val="1"/>
                <w:szCs w:val="1"/>
                <w:color w:val="auto"/>
              </w:rPr>
            </w:pPr>
          </w:p>
        </w:tc>
      </w:tr>
      <w:tr>
        <w:trPr>
          <w:trHeight w:val="169"/>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3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(62,147)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(952)</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69"/>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(61,195</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(87,589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4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3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50" w:lineRule="exact"/>
              <w:rPr>
                <w:sz w:val="20"/>
                <w:szCs w:val="20"/>
                <w:color w:val="auto"/>
              </w:rPr>
            </w:pPr>
            <w:r>
              <w:rPr>
                <w:rFonts w:ascii="Times New Roman" w:cs="Times New Roman" w:eastAsia="Times New Roman" w:hAnsi="Times New Roman"/>
                <w:sz w:val="14"/>
                <w:szCs w:val="14"/>
                <w:color w:val="auto"/>
              </w:rPr>
              <w:t>(3.50)</w:t>
            </w:r>
          </w:p>
        </w:tc>
        <w:tc>
          <w:tcPr>
            <w:tcW w:w="2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(20.79)</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 common stockholders, basic and</w:t>
            </w: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4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17,476,105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4,213,244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F-44</w:t>
      </w:r>
    </w:p>
    <w:p>
      <w:pPr>
        <w:sectPr>
          <w:pgSz w:w="11900" w:h="16838" w:orient="portrait"/>
          <w:cols w:equalWidth="0" w:num="1">
            <w:col w:w="10159"/>
          </w:cols>
          <w:pgMar w:left="300" w:top="407"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Blaize, Inc. and Subsidiaries</w:t>
      </w:r>
    </w:p>
    <w:p>
      <w:pPr>
        <w:spacing w:after="0" w:line="9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 Preferred Stock and Stockholders’ Deficit</w:t>
      </w:r>
    </w:p>
    <w:p>
      <w:pPr>
        <w:spacing w:after="0" w:line="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data)</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140" w:type="dxa"/>
            <w:vAlign w:val="bottom"/>
            <w:gridSpan w:val="4"/>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20" w:type="dxa"/>
            <w:vAlign w:val="bottom"/>
            <w:gridSpan w:val="3"/>
          </w:tcPr>
          <w:p>
            <w:pPr>
              <w:jc w:val="right"/>
              <w:ind w:right="100"/>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800" w:type="dxa"/>
            <w:vAlign w:val="bottom"/>
            <w:gridSpan w:val="4"/>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bottom w:val="single" w:sz="8" w:color="auto"/>
            </w:tcBorders>
            <w:gridSpan w:val="4"/>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4"/>
            <w:vMerge w:val="continue"/>
          </w:tcPr>
          <w:p>
            <w:pPr>
              <w:spacing w:after="0"/>
              <w:rPr>
                <w:sz w:val="10"/>
                <w:szCs w:val="10"/>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600" w:type="dxa"/>
            <w:vAlign w:val="bottom"/>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9"/>
                <w:szCs w:val="9"/>
                <w:color w:val="auto"/>
              </w:rPr>
            </w:pPr>
          </w:p>
        </w:tc>
        <w:tc>
          <w:tcPr>
            <w:tcW w:w="4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9"/>
                <w:szCs w:val="9"/>
                <w:color w:val="auto"/>
              </w:rPr>
            </w:pPr>
          </w:p>
        </w:tc>
        <w:tc>
          <w:tcPr>
            <w:tcW w:w="4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tcPr>
          <w:p>
            <w:pPr>
              <w:ind w:left="1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9"/>
                <w:szCs w:val="9"/>
                <w:color w:val="auto"/>
              </w:rPr>
            </w:pPr>
          </w:p>
        </w:tc>
        <w:tc>
          <w:tcPr>
            <w:tcW w:w="60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Borders>
              <w:top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Balance at January 1, 2023</w:t>
            </w:r>
          </w:p>
        </w:tc>
        <w:tc>
          <w:tcPr>
            <w:tcW w:w="600" w:type="dxa"/>
            <w:vAlign w:val="bottom"/>
            <w:tcBorders>
              <w:top w:val="single" w:sz="8" w:color="auto"/>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w w:val="95"/>
              </w:rPr>
              <w:t>16,498,279</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64,020</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6,143,294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center"/>
              <w:spacing w:after="0" w:line="148" w:lineRule="exact"/>
              <w:rPr>
                <w:sz w:val="20"/>
                <w:szCs w:val="20"/>
                <w:color w:val="auto"/>
              </w:rPr>
            </w:pPr>
            <w:r>
              <w:rPr>
                <w:rFonts w:ascii="Times New Roman" w:cs="Times New Roman" w:eastAsia="Times New Roman" w:hAnsi="Times New Roman"/>
                <w:sz w:val="13"/>
                <w:szCs w:val="13"/>
                <w:color w:val="auto"/>
                <w:w w:val="99"/>
              </w:rPr>
              <w:t>124,225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80"/>
              <w:spacing w:after="0" w:line="148"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2"/>
              </w:rPr>
              <w:t>$ 209,928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8"/>
              </w:rPr>
              <w:t>(280,467)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(70,539)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w w:val="98"/>
              </w:rPr>
              <w:t>Reissuance of Shadow Preferred in Pay-to-Play Pull</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Through Exchange at redemption value</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27,996,424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109,327</w:t>
            </w:r>
          </w:p>
        </w:tc>
        <w:tc>
          <w:tcPr>
            <w:tcW w:w="100" w:type="dxa"/>
            <w:vAlign w:val="bottom"/>
            <w:tcBorders>
              <w:right w:val="single" w:sz="8" w:color="auto"/>
            </w:tcBorders>
            <w:shd w:val="clear" w:color="auto" w:fill="CCEEFF"/>
          </w:tcPr>
          <w:p>
            <w:pPr>
              <w:spacing w:after="0"/>
              <w:rPr>
                <w:sz w:val="13"/>
                <w:szCs w:val="13"/>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(2,799,634)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(109,327)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(109,327)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Reissuance of common stock in common rights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offering</w:t>
            </w:r>
          </w:p>
        </w:tc>
        <w:tc>
          <w:tcPr>
            <w:tcW w:w="60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8,109,693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upon release of</w:t>
            </w: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 units</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0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Pay-to-Play financing charge</w:t>
            </w:r>
          </w:p>
        </w:tc>
        <w:tc>
          <w:tcPr>
            <w:tcW w:w="60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35,771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Debt financing charge on convertible notes</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(87,589)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(87,589)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44,494,703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173,347</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17,454,353</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56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9"/>
              </w:rPr>
              <w:t>124,225</w:t>
            </w:r>
          </w:p>
        </w:tc>
        <w:tc>
          <w:tcPr>
            <w:tcW w:w="2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$ 141,496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(368,056)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(226,560)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0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65,646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(61,195)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(61,195)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vMerge w:val="continue"/>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44,494,703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173,347</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17,519,999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 </w:t>
            </w:r>
          </w:p>
        </w:tc>
        <w:tc>
          <w:tcPr>
            <w:tcW w:w="56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9"/>
              </w:rPr>
              <w:t>124,225</w:t>
            </w:r>
          </w:p>
        </w:tc>
        <w:tc>
          <w:tcPr>
            <w:tcW w:w="2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xml:space="preserve">—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$ 145,441</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(429,251)</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F-45</w:t>
      </w:r>
    </w:p>
    <w:p>
      <w:pPr>
        <w:sectPr>
          <w:pgSz w:w="11900" w:h="16838" w:orient="portrait"/>
          <w:cols w:equalWidth="0" w:num="1">
            <w:col w:w="10159"/>
          </w:cols>
          <w:pgMar w:left="300" w:top="407"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Blaize, Inc. and Subsidiaries</w:t>
      </w:r>
    </w:p>
    <w:p>
      <w:pPr>
        <w:spacing w:after="0" w:line="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(Amounts in thousands)</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5"/>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tcBorders>
              <w:bottom w:val="single" w:sz="8" w:color="CCEEFF"/>
            </w:tcBorders>
          </w:tcPr>
          <w:p>
            <w:pPr>
              <w:spacing w:after="0"/>
              <w:rPr>
                <w:sz w:val="11"/>
                <w:szCs w:val="11"/>
                <w:color w:val="auto"/>
              </w:rPr>
            </w:pPr>
          </w:p>
        </w:tc>
        <w:tc>
          <w:tcPr>
            <w:tcW w:w="16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20" w:type="dxa"/>
            <w:vAlign w:val="bottom"/>
            <w:shd w:val="clear" w:color="auto" w:fill="CCEEFF"/>
          </w:tcPr>
          <w:p>
            <w:pPr>
              <w:spacing w:after="0" w:line="96"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Net loss</w:t>
            </w:r>
          </w:p>
        </w:tc>
        <w:tc>
          <w:tcPr>
            <w:tcW w:w="170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(61,195)</w:t>
            </w: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(87,589)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886</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2,040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Noncash lease expense</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649</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815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Pay-to-Play financing charge</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35,832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Debt financing charge on convertible notes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464</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3,145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Stock-based compensation</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3,847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2,483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Credit loss expense</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570</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421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Deferred income taxes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(1,124)</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Change in fair value of convertible notes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10,022</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9,532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Change in fair value of warrant liabilities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5,701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945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Loss on purchase commitments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1,165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Noncash loss on lease termination</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Accounts receivable, net</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(614)</w:t>
            </w: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Accounts receivable - related party</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467</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639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Inventories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(2,039)</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(2,186)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(21,630)</w:t>
            </w: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167</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Other assets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Accounts payable and accrued liabilities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10,988</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9,500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Operating lease liabilities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(616)</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(854)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Income taxes payable</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2,108</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(590)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Accrued loss on purchase commitments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(2,985)</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(3,022)</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Accrued compensation</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(325)</w:t>
            </w: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Other liabilities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1,279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(733)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(53,532)</w:t>
            </w: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(27,955)</w:t>
            </w:r>
          </w:p>
        </w:tc>
        <w:tc>
          <w:tcPr>
            <w:tcW w:w="0" w:type="dxa"/>
            <w:vAlign w:val="bottom"/>
          </w:tcPr>
          <w:p>
            <w:pPr>
              <w:spacing w:after="0"/>
              <w:rPr>
                <w:sz w:val="1"/>
                <w:szCs w:val="1"/>
                <w:color w:val="auto"/>
              </w:rPr>
            </w:pPr>
          </w:p>
        </w:tc>
      </w:tr>
      <w:tr>
        <w:trPr>
          <w:trHeight w:val="117"/>
        </w:trPr>
        <w:tc>
          <w:tcPr>
            <w:tcW w:w="57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1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Purchases of property and equipment</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(902)</w:t>
            </w: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(220)</w:t>
            </w:r>
          </w:p>
        </w:tc>
        <w:tc>
          <w:tcPr>
            <w:tcW w:w="0" w:type="dxa"/>
            <w:vAlign w:val="bottom"/>
          </w:tcPr>
          <w:p>
            <w:pPr>
              <w:spacing w:after="0"/>
              <w:rPr>
                <w:sz w:val="1"/>
                <w:szCs w:val="1"/>
                <w:color w:val="auto"/>
              </w:rPr>
            </w:pPr>
          </w:p>
        </w:tc>
      </w:tr>
      <w:tr>
        <w:trPr>
          <w:trHeight w:val="118"/>
        </w:trPr>
        <w:tc>
          <w:tcPr>
            <w:tcW w:w="57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16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(902)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Payment of deferred offering costs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(4,357)</w:t>
            </w:r>
          </w:p>
        </w:tc>
        <w:tc>
          <w:tcPr>
            <w:tcW w:w="180" w:type="dxa"/>
            <w:vAlign w:val="bottom"/>
          </w:tcPr>
          <w:p>
            <w:pPr>
              <w:spacing w:after="0"/>
              <w:rPr>
                <w:sz w:val="10"/>
                <w:szCs w:val="10"/>
                <w:color w:val="auto"/>
              </w:rPr>
            </w:pPr>
          </w:p>
        </w:tc>
        <w:tc>
          <w:tcPr>
            <w:tcW w:w="4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Proceeds from Pay-to-Play convertible notes and Common Rights Offering</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9,425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Proceeds from convertible notes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110,718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12,300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Proceeds from short term demand notes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4,925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Repayment of short term demand notes</w:t>
            </w: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1"/>
                <w:szCs w:val="11"/>
                <w:color w:val="auto"/>
              </w:rPr>
              <w:t>(4,750)</w:t>
            </w:r>
          </w:p>
        </w:tc>
        <w:tc>
          <w:tcPr>
            <w:tcW w:w="180" w:type="dxa"/>
            <w:vAlign w:val="bottom"/>
          </w:tcPr>
          <w:p>
            <w:pPr>
              <w:spacing w:after="0"/>
              <w:rPr>
                <w:sz w:val="10"/>
                <w:szCs w:val="10"/>
                <w:color w:val="auto"/>
              </w:rPr>
            </w:pPr>
          </w:p>
        </w:tc>
        <w:tc>
          <w:tcPr>
            <w:tcW w:w="4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(176)</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Proceeds from exercise of stock options</w:t>
            </w:r>
          </w:p>
        </w:tc>
        <w:tc>
          <w:tcPr>
            <w:tcW w:w="16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98</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7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16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101,709</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color w:val="auto"/>
              </w:rPr>
              <w:t>26,475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Net increase (decrease) in cash, cash equivalents and restricted cash</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47,275</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4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(1,700)</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Cash, cash equivalents and restricted cash- beginning of period</w:t>
            </w:r>
          </w:p>
        </w:tc>
        <w:tc>
          <w:tcPr>
            <w:tcW w:w="16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3,213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4,913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Cash, cash equivalents and restricted cash- end of period</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50,488</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3,213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Components of cash, cash equivalents and restricted cash:</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74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Cash and cash equivalents</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50,237</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3,213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Restricted cash (included within Other Assets)</w:t>
            </w:r>
          </w:p>
        </w:tc>
        <w:tc>
          <w:tcPr>
            <w:tcW w:w="16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251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50,488</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3,213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74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Cash paid during the period for taxes</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223</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Cash paid during the period for interest</w:t>
            </w:r>
          </w:p>
        </w:tc>
        <w:tc>
          <w:tcPr>
            <w:tcW w:w="170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245</w:t>
            </w:r>
          </w:p>
        </w:tc>
        <w:tc>
          <w:tcPr>
            <w:tcW w:w="12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Supplemental disclosures of noncash investing and financing activities:</w:t>
            </w:r>
          </w:p>
        </w:tc>
        <w:tc>
          <w:tcPr>
            <w:tcW w:w="1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Reissuance of Shadow Preferred in Pay-to-Play Pull Through Exchange at redemption value</w:t>
            </w:r>
          </w:p>
        </w:tc>
        <w:tc>
          <w:tcPr>
            <w:tcW w:w="170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w w:val="94"/>
              </w:rPr>
              <w:t>109,327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Operating lease asset obtained in exchange for new operating lease liabilities</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1,673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Property and equipment acquired in accounts payable &amp; accrued expenses</w:t>
            </w:r>
          </w:p>
        </w:tc>
        <w:tc>
          <w:tcPr>
            <w:tcW w:w="170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510</w:t>
            </w:r>
          </w:p>
        </w:tc>
        <w:tc>
          <w:tcPr>
            <w:tcW w:w="12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Right-of-use assets and lease liabilities extinguished upon termination of lease, net of gain</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60"/>
              <w:spacing w:after="0" w:line="116" w:lineRule="exact"/>
              <w:rPr>
                <w:sz w:val="20"/>
                <w:szCs w:val="20"/>
                <w:color w:val="auto"/>
              </w:rPr>
            </w:pPr>
            <w:r>
              <w:rPr>
                <w:rFonts w:ascii="Times New Roman" w:cs="Times New Roman" w:eastAsia="Times New Roman" w:hAnsi="Times New Roman"/>
                <w:sz w:val="11"/>
                <w:szCs w:val="11"/>
                <w:color w:val="auto"/>
              </w:rPr>
              <w:t>— </w:t>
            </w: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Issuance of warrants with convertible notes</w:t>
            </w:r>
          </w:p>
        </w:tc>
        <w:tc>
          <w:tcPr>
            <w:tcW w:w="1700" w:type="dxa"/>
            <w:vAlign w:val="bottom"/>
            <w:gridSpan w:val="2"/>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4,816</w:t>
            </w:r>
          </w:p>
        </w:tc>
        <w:tc>
          <w:tcPr>
            <w:tcW w:w="120" w:type="dxa"/>
            <w:vAlign w:val="bottom"/>
          </w:tcPr>
          <w:p>
            <w:pPr>
              <w:spacing w:after="0"/>
              <w:rPr>
                <w:sz w:val="10"/>
                <w:szCs w:val="10"/>
                <w:color w:val="auto"/>
              </w:rPr>
            </w:pPr>
          </w:p>
        </w:tc>
        <w:tc>
          <w:tcPr>
            <w:tcW w:w="1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line="116" w:lineRule="exact"/>
              <w:rPr>
                <w:sz w:val="20"/>
                <w:szCs w:val="20"/>
                <w:color w:val="auto"/>
              </w:rPr>
            </w:pPr>
            <w:r>
              <w:rPr>
                <w:rFonts w:ascii="Times New Roman" w:cs="Times New Roman" w:eastAsia="Times New Roman" w:hAnsi="Times New Roman"/>
                <w:sz w:val="11"/>
                <w:szCs w:val="11"/>
                <w:color w:val="auto"/>
              </w:rPr>
              <w:t>1,690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1"/>
                <w:szCs w:val="11"/>
                <w:color w:val="auto"/>
              </w:rPr>
              <w:t>Capitalized deferred offering costs included in accounting payable and accrued liabilities</w:t>
            </w:r>
          </w:p>
        </w:tc>
        <w:tc>
          <w:tcPr>
            <w:tcW w:w="1700" w:type="dxa"/>
            <w:vAlign w:val="bottom"/>
            <w:gridSpan w:val="2"/>
            <w:shd w:val="clear" w:color="auto" w:fill="CCEEFF"/>
          </w:tcPr>
          <w:p>
            <w:pPr>
              <w:jc w:val="right"/>
              <w:ind w:right="20"/>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6,764</w:t>
            </w:r>
          </w:p>
        </w:tc>
        <w:tc>
          <w:tcPr>
            <w:tcW w:w="1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1"/>
                <w:szCs w:val="11"/>
                <w:color w:val="auto"/>
              </w:rPr>
              <w:t>1,491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i w:val="1"/>
          <w:iCs w:val="1"/>
          <w:color w:val="auto"/>
        </w:rPr>
        <w:t>See accompanying notes to the consolidated financial statements.</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F-46</w:t>
      </w:r>
    </w:p>
    <w:p>
      <w:pPr>
        <w:sectPr>
          <w:pgSz w:w="11900" w:h="16838" w:orient="portrait"/>
          <w:cols w:equalWidth="0" w:num="1">
            <w:col w:w="10159"/>
          </w:cols>
          <w:pgMar w:left="300" w:top="407"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 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48260</wp:posOffset>
            </wp:positionV>
            <wp:extent cx="54470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136"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w:t>
      </w:r>
    </w:p>
    <w:p>
      <w:pPr>
        <w:spacing w:after="0" w:line="149"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As of December 31, 2024, there has not been an operating agreement executed between the Company and the holder of the 65% interest that would make the Company the primary beneficiary of this new legal entity. The newly established entity has incurred insignificant expenses since its incorporation.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 Agreement</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On January 13, 2025 (the “Closing Date”), BurTech Acquisition Corp. (“BurTech”) and its subsidiary, BurTech Merger Sub, Inc, (“Merger Sub”), and Blaize, Inc. (“Legacy Blaize”) consummated the transaction contemplated by the Agreement and Plan of Merger (the “Merger Agreement”), dated as of December 22, 2023 (as amended on April 22, 2024, October 24, 2024 and November 21, 2024), with BurTech Merger Sub, Inc., Blaize, Inc., and for the limited purposes set forth therein, Burkhan Capital LLC, a Delaware limited liability company and affiliate of BurTech (“Burkhan”). Under the Merger Agreement, Merger Sub was merged with and into the Company, with the Company surviving the merger as a wholly owned subsidiary of BurTech (the “Business Combination” and, together with the other transactions contemplated by the Merger Agreement, the “Merger”).</w:t>
      </w:r>
    </w:p>
    <w:p>
      <w:pPr>
        <w:spacing w:after="0" w:line="143"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Concurrent with the Merger, BurTech was renamed Blaize Holdings, Inc. (“Blaize Holdings”). Beginning on January 14, 2025, Blaize Holdings’ common stock and warrants trade on NASDAQ under the ticker symbols “BZAI” and “BZAIW”, respectively.</w:t>
      </w:r>
    </w:p>
    <w:p>
      <w:pPr>
        <w:spacing w:after="0" w:line="125"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Prior to the Merger, BurTech LP LLC was the sponsor of BurTech (the “Sponsor”) and with the close of the Merger either BurTech LP LLC or its affiliated entities, has remained a significant shareholder in Blaize Holdings.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equity exchange and other financing-related matters associated with the Merger are summarized as follows: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Legacy Blaize Convertible Promissory Notes and Equity</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Immediately before the closing of the Merger, the convertible notes outstanding plus all accrued and unpaid interest, each of the issued and outstanding shares of redeemable convertible preferred stock, and all outstanding warrants, net exercised, were automatically converted into shares of the Company’s common stock. Upon the consummation of the Merger, each share of the Company’s common stock issued and outstanding were canceled and converted into the right to receive shares of Blaize Holdings Class A common stock and each share of Merger Sub Capital Stock was converted into one share of Blaize Holdings Class A common stock, par value $0.0001.</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F-47</w:t>
      </w:r>
    </w:p>
    <w:p>
      <w:pPr>
        <w:sectPr>
          <w:pgSz w:w="11900" w:h="16838" w:orient="portrait"/>
          <w:cols w:equalWidth="0" w:num="1">
            <w:col w:w="10159"/>
          </w:cols>
          <w:pgMar w:left="300" w:top="407"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Further upon the Closing Date, (i) each Company option granted was converted into (a) the right to receive a number of Blaize Holdings Earnout Shares and (b) a Blaize Holdings option, upon substantially the same terms and conditions as in effect with respect to the corresponding Company option and</w:t>
      </w:r>
    </w:p>
    <w:p>
      <w:pPr>
        <w:spacing w:after="0" w:line="1" w:lineRule="exact"/>
        <w:rPr>
          <w:sz w:val="20"/>
          <w:szCs w:val="20"/>
          <w:color w:val="auto"/>
        </w:rPr>
      </w:pPr>
    </w:p>
    <w:p>
      <w:pPr>
        <w:ind w:left="1360" w:right="619" w:hanging="5"/>
        <w:spacing w:after="0" w:line="300" w:lineRule="auto"/>
        <w:tabs>
          <w:tab w:leader="none" w:pos="1566"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RSU granted was converted into (a) the right to receive a number of Blaize Holdings Earnout Shares and (b) a Blaize Holdings restricted stock unit (“RSU”), upon substantially the same terms and conditions as in effect with respect to the corresponding Blaize RSU.</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Earnout Arrangement with holders of Legacy Blaize Common Stock and outstanding equity awards</w:t>
      </w:r>
    </w:p>
    <w:p>
      <w:pPr>
        <w:spacing w:after="0" w:line="93"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Concurrent with the Closing Date, holders of the Company common stock and outstanding equity awards (including stock options and RSU holders) agreed to the right to receive up to an aggregate amount of 15,000,000 shares of Blaize Holdings Class A Common Stock (the “Earnout Shares”) during specified periods following the Merger (the “Earnout Period”) that will be issued if the following targets or triggering events are achieved:</w:t>
      </w:r>
    </w:p>
    <w:p>
      <w:pPr>
        <w:spacing w:after="0" w:line="62" w:lineRule="exact"/>
        <w:rPr>
          <w:sz w:val="20"/>
          <w:szCs w:val="20"/>
          <w:color w:val="auto"/>
        </w:rPr>
      </w:pPr>
    </w:p>
    <w:p>
      <w:pPr>
        <w:jc w:val="both"/>
        <w:ind w:left="1700" w:right="279" w:hanging="261"/>
        <w:spacing w:after="0" w:line="267" w:lineRule="auto"/>
        <w:tabs>
          <w:tab w:leader="none" w:pos="17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3,750,000 Earnout Shares will be issued upon the occurrence of the first date during the Earnout Period on which the closing stock price of Blaize Holdings Class A Common Stock is greater than or equal to $12.50 per share for twenty (20) trading days within a thirty (30) consecutive trading day period;</w:t>
      </w:r>
    </w:p>
    <w:p>
      <w:pPr>
        <w:spacing w:after="0" w:line="61" w:lineRule="exact"/>
        <w:rPr>
          <w:rFonts w:ascii="Times New Roman" w:cs="Times New Roman" w:eastAsia="Times New Roman" w:hAnsi="Times New Roman"/>
          <w:sz w:val="14"/>
          <w:szCs w:val="14"/>
          <w:color w:val="auto"/>
        </w:rPr>
      </w:pPr>
    </w:p>
    <w:p>
      <w:pPr>
        <w:jc w:val="both"/>
        <w:ind w:left="1700" w:right="279" w:hanging="261"/>
        <w:spacing w:after="0" w:line="267" w:lineRule="auto"/>
        <w:tabs>
          <w:tab w:leader="none" w:pos="17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3,750,000 Earnout Shares will be issued upon the occurrence of the first date during the Earnout Period on which the closing stock price of Blaize Holdings Class A Common Stock is greater than or equal to $15.00 per share for twenty (20) trading days within a thirty (30) consecutive trading day period;</w:t>
      </w:r>
    </w:p>
    <w:p>
      <w:pPr>
        <w:spacing w:after="0" w:line="61" w:lineRule="exact"/>
        <w:rPr>
          <w:rFonts w:ascii="Times New Roman" w:cs="Times New Roman" w:eastAsia="Times New Roman" w:hAnsi="Times New Roman"/>
          <w:sz w:val="14"/>
          <w:szCs w:val="14"/>
          <w:color w:val="auto"/>
        </w:rPr>
      </w:pPr>
    </w:p>
    <w:p>
      <w:pPr>
        <w:jc w:val="both"/>
        <w:ind w:left="1700" w:right="279" w:hanging="261"/>
        <w:spacing w:after="0" w:line="267" w:lineRule="auto"/>
        <w:tabs>
          <w:tab w:leader="none" w:pos="17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3,750,000 Earnout Shares will be issued upon the occurrence of the first date during the Earnout Period on which the closing stock price of Blaize Holdings Class A Common Stock is greater than or equal to $17.50 per share for twenty (20) trading days within a thirty (30) consecutive trading day period;</w:t>
      </w:r>
    </w:p>
    <w:p>
      <w:pPr>
        <w:spacing w:after="0" w:line="61" w:lineRule="exact"/>
        <w:rPr>
          <w:rFonts w:ascii="Times New Roman" w:cs="Times New Roman" w:eastAsia="Times New Roman" w:hAnsi="Times New Roman"/>
          <w:sz w:val="14"/>
          <w:szCs w:val="14"/>
          <w:color w:val="auto"/>
        </w:rPr>
      </w:pPr>
    </w:p>
    <w:p>
      <w:pPr>
        <w:jc w:val="both"/>
        <w:ind w:left="1700" w:right="279" w:hanging="261"/>
        <w:spacing w:after="0" w:line="267" w:lineRule="auto"/>
        <w:tabs>
          <w:tab w:leader="none" w:pos="17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3,750,000 Earnout Shares will be issued upon the occurrence of the first date during the Earnout Period on which the closing stock price of Blaize Holdings Class A Common Stock is greater than or equal to $20.00 per share for twenty (20) trading days within a thirty (30) consecutive trading day period.</w:t>
      </w:r>
    </w:p>
    <w:p>
      <w:pPr>
        <w:spacing w:after="0" w:line="136" w:lineRule="exact"/>
        <w:rPr>
          <w:sz w:val="20"/>
          <w:szCs w:val="20"/>
          <w:color w:val="auto"/>
        </w:rPr>
      </w:pPr>
    </w:p>
    <w:p>
      <w:pPr>
        <w:ind w:left="1360" w:right="459"/>
        <w:spacing w:after="0" w:line="267" w:lineRule="auto"/>
        <w:rPr>
          <w:sz w:val="20"/>
          <w:szCs w:val="20"/>
          <w:color w:val="auto"/>
        </w:rPr>
      </w:pPr>
      <w:r>
        <w:rPr>
          <w:rFonts w:ascii="Times New Roman" w:cs="Times New Roman" w:eastAsia="Times New Roman" w:hAnsi="Times New Roman"/>
          <w:sz w:val="14"/>
          <w:szCs w:val="14"/>
          <w:color w:val="auto"/>
        </w:rPr>
        <w:t>Company employees entitled to receive Earnout Shares with respect to Blaize Holdings options and RSUs, must provide service through the date the target is achieved and if an employee departs, the Earnout Shares are reallocated to the remaining pool of recipients who received the right to the Earnout Shares on the Closing Date.</w:t>
      </w:r>
    </w:p>
    <w:p>
      <w:pPr>
        <w:spacing w:after="0" w:line="13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Additionally, Burkhan agreed to the right to receive up to an aggregate amount of 2,600,000 shares of Blaize Holdings Class A Common Stock following the occurrence of each triggering event stated above (the “Burkhan Earnout Shares”). The Burkhan Earnout Shares will vest in four equal tranches of 325,000 shares plus 325,000 Blaize Holdings Class A Common Stock multiplied by the cash ratio (the “Proportionate Shares Number”). The “Cash Ratio” is the ratio equal to (x) Available Acquiror Cash, divided by (y) the Minimum Cash Amount (both of such terms as defined in the Merger Agreements).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 Arrangements entered into at time of Merger or assumed upon Merger:</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Blaize Warrants</w:t>
      </w:r>
    </w:p>
    <w:p>
      <w:pPr>
        <w:spacing w:after="0" w:line="93"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On January 13, 2025, upon closing of the Merger, 28,750,000 of public warrants and 898,250 of private warrants of BurTech that were outstanding immediately before to the Merger became warrants of Blaize Holdings.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PIPE Shares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From December 31, 2024 through January 13, 2025, BurTech and certain subscribers (each, a “Subscriber” and collectively, the “Subscribers”) entered into subscription agreements (each, a “PIPE Subscription Agreement” and collectively, the “PIPE Subscription Agreements”) under which BurTech agreed to issue and sell to the Subscribers, immediately before the Closing Date, collectively, 1,540,300 shares of Class A Stock (the “PIPE Shares”) at a price per share equal to $10.00 (the “PIPE Investment”). Such shares that were outstanding immediately prior to the Merger became shares of Blaize Holdings. See Note 17.</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F-48</w:t>
      </w:r>
    </w:p>
    <w:p>
      <w:pPr>
        <w:sectPr>
          <w:pgSz w:w="11900" w:h="16838" w:orient="portrait"/>
          <w:cols w:equalWidth="0" w:num="1">
            <w:col w:w="10159"/>
          </w:cols>
          <w:pgMar w:left="300" w:top="407"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Sponsor Note</w:t>
      </w:r>
    </w:p>
    <w:p>
      <w:pPr>
        <w:spacing w:after="0" w:line="93"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On January 13, 2025, in connection with the consummation of the Business Combination and as contemplated by the Merger Agreement, the Sponsor issued a secured promissory note and pledge agreement (the “Sponsor Note”) to BurTech (the “Holder”) in the principal amount of $8,753,744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the Sponsor Note. The Sponsor Note was issued in connection with the consummation of the Business Combination in satisfaction of the acquiror transaction expenses (as defined in the Merger Agreement) that were due to third-party service providers on or immediately following the Merger. As consideration for entry into the Sponsor Note, BurTech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Upon the Closing Date, such shares and note remained outstanding instruments of Blaize Holdings. See Note 17.</w:t>
      </w:r>
    </w:p>
    <w:p>
      <w:pPr>
        <w:spacing w:after="0" w:line="2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Non-Redemption Agreement</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On and around December 31, 2024, BurTech entered into an agreement (“Non-Redemption Agreement”) with one or more unaffiliated stockholders of BurTech (each, an “Investor”) who agreed not to redeem (or validly rescind any redemption requests on) their shares of BurTech Class A common stock, par value $0.0001 per share of BurTech (“Non-Redeemed Shares”). In exchange for the foregoing commitments not to redeem the Non-Redeemed Shares, Blaize and BurTech LP LLC have agreed to guarantee that each Investor receives a return of $1.50 per Non-Redeemed Share whether an Investor (i) sells the Non-Redeemed Shares in the open market or (ii) exercises its option to require Blaize Holdings to repurchase the Non-Redeemed Shares in accordance with the Non-Redemption Agreement.</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93" w:lineRule="exact"/>
        <w:rPr>
          <w:sz w:val="20"/>
          <w:szCs w:val="20"/>
          <w:color w:val="auto"/>
        </w:rPr>
      </w:pPr>
    </w:p>
    <w:p>
      <w:pPr>
        <w:ind w:left="1360" w:right="279"/>
        <w:spacing w:after="0" w:line="258" w:lineRule="auto"/>
        <w:rPr>
          <w:sz w:val="20"/>
          <w:szCs w:val="20"/>
          <w:color w:val="auto"/>
        </w:rPr>
      </w:pPr>
      <w:r>
        <w:rPr>
          <w:rFonts w:ascii="Times New Roman" w:cs="Times New Roman" w:eastAsia="Times New Roman" w:hAnsi="Times New Roman"/>
          <w:sz w:val="14"/>
          <w:szCs w:val="14"/>
          <w:color w:val="auto"/>
        </w:rPr>
        <w:t>Pursuant to the Merger Agreement, at the Closing Date, Blaize Holdings, the Sponsor, certain significant securityholders of the Company and certain of their respective affiliates entered into an Amended and Restated Registration Rights Agreement (the “Registration Rights Agreement”), in which Blaize Holdings agreed to register for resale, pursuant to Rule 415 under the Securities Act of 1933, as amended (the “Securities Act”), certain shares of Blaize Holdings Class A Common Stock and other equity securities of Blaize Holdings that are held by the parties thereto from time to time on the terms and subject to the conditions set forth therein.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Lock-up Agreement</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At the Closing Date, Blaize Holdings entered into lock-up agreements (the “Lock-up Agreements”) with (i) certain of Blaize Holdings’ directors and officers, (ii) certain stockholders of Blaize Holdings and (iii) Burkhan, in each case, restricting the transfer of Blaize Holdings Class A Common Stock and any shares of Blaize Holdings Class A Common Stock issuable upon the exercise or settlement, as applicable, of Blaize Holdings Options or Blaize Holdings RSUs held by it immediately after the effective time of the Merger. The restrictions under the Lock-up Agreements began at the Closing Date and end on the date that is 180 days after the Closing Date, or upon the earlier of (x) the last reported sale price of Blaize Holdings common stock reaching $12.00 per share (as adjusted for stock splits, stock dividends, reorganizations, recapitalizations and the like) for any 20 trading days within any 30-trading day period commencing at least 150 days after the Closing Date and (y) the liquidation of Blaize Holdings.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F-49</w:t>
      </w:r>
    </w:p>
    <w:p>
      <w:pPr>
        <w:sectPr>
          <w:pgSz w:w="11900" w:h="16838" w:orient="portrait"/>
          <w:cols w:equalWidth="0" w:num="1">
            <w:col w:w="10159"/>
          </w:cols>
          <w:pgMar w:left="300" w:top="407"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the Business Combination</w:t>
      </w:r>
    </w:p>
    <w:p>
      <w:pPr>
        <w:spacing w:after="0" w:line="93" w:lineRule="exact"/>
        <w:rPr>
          <w:sz w:val="20"/>
          <w:szCs w:val="20"/>
          <w:color w:val="auto"/>
        </w:rPr>
      </w:pPr>
    </w:p>
    <w:p>
      <w:pPr>
        <w:jc w:val="both"/>
        <w:ind w:left="1360" w:right="699"/>
        <w:spacing w:after="0" w:line="267" w:lineRule="auto"/>
        <w:rPr>
          <w:sz w:val="20"/>
          <w:szCs w:val="20"/>
          <w:color w:val="auto"/>
        </w:rPr>
      </w:pPr>
      <w:r>
        <w:rPr>
          <w:rFonts w:ascii="Times New Roman" w:cs="Times New Roman" w:eastAsia="Times New Roman" w:hAnsi="Times New Roman"/>
          <w:sz w:val="14"/>
          <w:szCs w:val="14"/>
          <w:color w:val="auto"/>
        </w:rPr>
        <w:t>The merger between the Company and BurTech will be accounted for as a reverse recapitalization, with BurTech being treated as the “acquired” company for financial reporting purposes. Blaize has been determined to be the accounting acquirer of BurTech based on the following facts and circumstances:</w:t>
      </w:r>
    </w:p>
    <w:p>
      <w:pPr>
        <w:spacing w:after="0" w:line="62" w:lineRule="exact"/>
        <w:rPr>
          <w:sz w:val="20"/>
          <w:szCs w:val="20"/>
          <w:color w:val="auto"/>
        </w:rPr>
      </w:pPr>
    </w:p>
    <w:p>
      <w:pPr>
        <w:ind w:left="1700" w:right="779" w:hanging="261"/>
        <w:spacing w:after="0" w:line="283" w:lineRule="auto"/>
        <w:tabs>
          <w:tab w:leader="none" w:pos="1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Blaize is the larger entity in terms of substantive operations and employee base and its operations represent the ongoing operations of the combined entity.</w:t>
      </w:r>
    </w:p>
    <w:p>
      <w:pPr>
        <w:spacing w:after="0" w:line="5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Blaize’s existing shareholders have the greatest voting interest in the combined entity.</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Blaize’s existing shareholders have the ability to control decisions regarding election and removal of the combined entity’s board of directors.</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Blaize’s senior management is the senior management of the combined entity.</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combined company name is named Blaize Holdings, Inc., i.e. the combined entity has assumed Blaize’s name.</w:t>
      </w:r>
    </w:p>
    <w:p>
      <w:pPr>
        <w:spacing w:after="0" w:line="175"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For accounting purposes, the reverse recapitalization is the equivalent of the Company issuing stock for the net assets of BurTech, accompanied by a recapitalization. The net assets of BurTech will be stated at historical cost, with no goodwill or other intangible assets being recorded. Operations prior to the reverse recapitalization will be those of the Company. The consolidated financial statements as of and for the periods prior to December 31, 2024 have not been adjusted to reflect the Merger.</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Liquidity and Going Concern</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on a going concern basis, which assumes that it will be able to meet its obligations and continue its operations during the twelve months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41"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Since inception of the Company and through December 31, 2024, the Company has funded its operations primarily with cash flows from contributions from founders or other investors and other financing activities. The Company has incurred recurring losses and negative cash flows since its inception, including a net loss of $61.2 million and $87.6 million for the years ended December 31, 2024 and 2023, respectively. As of December 31, 2024, the Company had cash and cash equivalents of approximately $50.2 million, a net working capital deficit of $114.5 million, and an accumulated deficit of $429.3 million.</w:t>
      </w:r>
    </w:p>
    <w:p>
      <w:pPr>
        <w:spacing w:after="0" w:line="144" w:lineRule="exact"/>
        <w:rPr>
          <w:sz w:val="20"/>
          <w:szCs w:val="20"/>
          <w:color w:val="auto"/>
        </w:rPr>
      </w:pPr>
    </w:p>
    <w:p>
      <w:pPr>
        <w:ind w:left="1360" w:right="279"/>
        <w:spacing w:after="0" w:line="256" w:lineRule="auto"/>
        <w:rPr>
          <w:sz w:val="20"/>
          <w:szCs w:val="20"/>
          <w:color w:val="auto"/>
        </w:rPr>
      </w:pPr>
      <w:r>
        <w:rPr>
          <w:rFonts w:ascii="Times New Roman" w:cs="Times New Roman" w:eastAsia="Times New Roman" w:hAnsi="Times New Roman"/>
          <w:sz w:val="14"/>
          <w:szCs w:val="14"/>
          <w:color w:val="auto"/>
        </w:rPr>
        <w:t>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financing and public or private equity offerings or other means.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w:t>
      </w:r>
    </w:p>
    <w:p>
      <w:pPr>
        <w:spacing w:after="0" w:line="144"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 xml:space="preserve">As a result of the above, in connection with the Company’s assessment of going concern considerations in accordance with Financial Accounting Standard Board’s (“FASB”) Accounting Standards Update (“ASU”) 2014-15, </w:t>
      </w:r>
      <w:r>
        <w:rPr>
          <w:rFonts w:ascii="Times New Roman" w:cs="Times New Roman" w:eastAsia="Times New Roman" w:hAnsi="Times New Roman"/>
          <w:sz w:val="14"/>
          <w:szCs w:val="14"/>
          <w:i w:val="1"/>
          <w:iCs w:val="1"/>
          <w:color w:val="auto"/>
        </w:rPr>
        <w:t>Disclosures of Uncertainties about an Entity’s Ability to Continue as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management has determined that the Company’s liquidity condition raises substantial doubt about the Company’s ability to continue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going concern through a year from the date these consolidated financial statements are available to be issued.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F-50</w:t>
      </w:r>
    </w:p>
    <w:p>
      <w:pPr>
        <w:sectPr>
          <w:pgSz w:w="11900" w:h="16838" w:orient="portrait"/>
          <w:cols w:equalWidth="0" w:num="1">
            <w:col w:w="10159"/>
          </w:cols>
          <w:pgMar w:left="300" w:top="407"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93" w:lineRule="exact"/>
        <w:rPr>
          <w:sz w:val="20"/>
          <w:szCs w:val="20"/>
          <w:color w:val="auto"/>
        </w:rPr>
      </w:pPr>
    </w:p>
    <w:p>
      <w:pPr>
        <w:ind w:left="1360" w:right="3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U.S. GAAP. The consolidated financial statements include the financial statements of the Company and its wholly-owned subsidiaries. All intercompany balances and transactions have been eliminated upon consolidation.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and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90 days or less to be cash equivalents in the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w:t>
      </w:r>
    </w:p>
    <w:p>
      <w:pPr>
        <w:spacing w:after="0" w:line="141"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As of December 31, 2024 and 2023, the Company had cash and cash equivalents balances in excess of domestic and international insurance limits of approximately $49.3 million and $2.2 million, respectively.</w:t>
      </w:r>
    </w:p>
    <w:p>
      <w:pPr>
        <w:spacing w:after="0" w:line="125"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As of December 31, 2024, the Company held $30.6 million in U.S. Government treasury securities, $9.2 million in a U.S. Government money market fund, and $5.1 million in mutual funds (see Note 4). As of December 31, 2023, the Company had no cash equivalents.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93"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Restricted cash represents cash balances held as security deposits related to international payment services. As of December 31, 2024, restricted cash of $0.3 million was included within other assets on the consolidated balance sheets. As of December 31, 2023, the Company had no restricted cash.</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Net</w:t>
      </w:r>
    </w:p>
    <w:p>
      <w:pPr>
        <w:spacing w:after="0" w:line="93"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Accounts receivable, net is recorded at the invoiced amount and does not accrue interest. The allowance for credit losses is the Company’s estimate of the amount of probable credit losses in the Company’s existing</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F-51</w:t>
      </w:r>
    </w:p>
    <w:p>
      <w:pPr>
        <w:sectPr>
          <w:pgSz w:w="11900" w:h="16838" w:orient="portrait"/>
          <w:cols w:equalWidth="0" w:num="1">
            <w:col w:w="10159"/>
          </w:cols>
          <w:pgMar w:left="300" w:top="407"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accounts receivable. The Company determines that allowance based upon a review of each receivable and all known factors that could affect</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collectability. These factors include but are not limited to a customer’s past payment performance, customer financial condition, general economic 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industry conditions and disputes regarding the invoiced amount or the product or service rendered. Account balances are charged off against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allowance after all means of collection have been exhausted and the potential for recovery is considered remote. The allowance for credit losses was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$0.4 million as of December 31, 2024 and 2023, respectively. As of December 31, 2024 and 2023, the Company’s accounts receivable included zero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approximately $0.5 million, respectively, of unbilled accounts receivable (See Note 13).</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3" w:lineRule="exact"/>
        <w:rPr>
          <w:sz w:val="20"/>
          <w:szCs w:val="20"/>
          <w:color w:val="auto"/>
        </w:rPr>
      </w:pPr>
    </w:p>
    <w:p>
      <w:pPr>
        <w:ind w:left="1360" w:right="219"/>
        <w:spacing w:after="0" w:line="257" w:lineRule="auto"/>
        <w:rPr>
          <w:sz w:val="20"/>
          <w:szCs w:val="20"/>
          <w:color w:val="auto"/>
        </w:rPr>
      </w:pPr>
      <w:r>
        <w:rPr>
          <w:rFonts w:ascii="Times New Roman" w:cs="Times New Roman" w:eastAsia="Times New Roman" w:hAnsi="Times New Roman"/>
          <w:sz w:val="14"/>
          <w:szCs w:val="14"/>
          <w:color w:val="auto"/>
        </w:rPr>
        <w:t>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consolidated statement of operations.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3"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is computed using the straight-line method over the following estimated useful lives:</w:t>
      </w:r>
    </w:p>
    <w:p>
      <w:pPr>
        <w:spacing w:after="0" w:line="161" w:lineRule="exact"/>
        <w:rPr>
          <w:sz w:val="20"/>
          <w:szCs w:val="20"/>
          <w:color w:val="auto"/>
        </w:rPr>
      </w:pPr>
    </w:p>
    <w:tbl>
      <w:tblPr>
        <w:tblLayout w:type="fixed"/>
        <w:tblInd w:w="23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equipment</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years</w:t>
            </w:r>
          </w:p>
        </w:tc>
      </w:tr>
      <w:tr>
        <w:trPr>
          <w:trHeight w:val="168"/>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Software</w:t>
            </w:r>
          </w:p>
        </w:tc>
        <w:tc>
          <w:tcPr>
            <w:tcW w:w="3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years</w:t>
            </w: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3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3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years</w:t>
            </w:r>
          </w:p>
        </w:tc>
      </w:tr>
      <w:tr>
        <w:trPr>
          <w:trHeight w:val="183"/>
        </w:trPr>
        <w:tc>
          <w:tcPr>
            <w:tcW w:w="2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3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Shorter of the related lease term or useful life</w:t>
            </w:r>
          </w:p>
        </w:tc>
      </w:tr>
    </w:tbl>
    <w:p>
      <w:pPr>
        <w:spacing w:after="0" w:line="139"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2024 and 2023, the Company had no finance leases.</w:t>
      </w:r>
    </w:p>
    <w:p>
      <w:pPr>
        <w:spacing w:after="0" w:line="14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F-52</w:t>
      </w:r>
    </w:p>
    <w:p>
      <w:pPr>
        <w:sectPr>
          <w:pgSz w:w="11900" w:h="16838" w:orient="portrait"/>
          <w:cols w:equalWidth="0" w:num="1">
            <w:col w:w="10159"/>
          </w:cols>
          <w:pgMar w:left="300" w:top="407"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straight-line basis over the lease term and variable lease payments in the period in which the obligation is incurred. Lease payments for month-to-month leases are recognized as incurred.</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Software Development Costs</w:t>
      </w:r>
    </w:p>
    <w:p>
      <w:pPr>
        <w:spacing w:after="0" w:line="93"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 xml:space="preserve">Software development costs for software to be sold, leased, or marketed are accounted for in accordance with Accounting Standards Codification (“ASC”) 985-20, </w:t>
      </w:r>
      <w:r>
        <w:rPr>
          <w:rFonts w:ascii="Times New Roman" w:cs="Times New Roman" w:eastAsia="Times New Roman" w:hAnsi="Times New Roman"/>
          <w:sz w:val="14"/>
          <w:szCs w:val="14"/>
          <w:i w:val="1"/>
          <w:iCs w:val="1"/>
          <w:color w:val="auto"/>
        </w:rPr>
        <w:t>Software — Costs of Software to be Sold, Leased or Marketed</w:t>
      </w:r>
      <w:r>
        <w:rPr>
          <w:rFonts w:ascii="Times New Roman" w:cs="Times New Roman" w:eastAsia="Times New Roman" w:hAnsi="Times New Roman"/>
          <w:sz w:val="14"/>
          <w:szCs w:val="14"/>
          <w:color w:val="auto"/>
        </w:rPr>
        <w:t>.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feature-by-feature basis and the estimated economic life of a feature is one year. To date, the impact of capitalizing qualifying software development costs has been immaterial.</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Deferred offering costs, which consist of direct incremental legal, consulting and banking fees primarily relating to the Company’s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2024 and 2023 there were $11.1 million and $1.5 million, respectively, capitalized deferred offering costs included in prepaid expenses and other current assets on the consolidated balance sheets.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2024 and 2023, the Company did not recognize any impairment expense related to its long-lived assets.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Embedded Derivative Evaluation</w:t>
      </w:r>
    </w:p>
    <w:p>
      <w:pPr>
        <w:spacing w:after="0" w:line="93" w:lineRule="exact"/>
        <w:rPr>
          <w:sz w:val="20"/>
          <w:szCs w:val="20"/>
          <w:color w:val="auto"/>
        </w:rPr>
      </w:pPr>
    </w:p>
    <w:p>
      <w:pPr>
        <w:ind w:left="1360" w:right="399"/>
        <w:spacing w:after="0" w:line="258" w:lineRule="auto"/>
        <w:rPr>
          <w:sz w:val="20"/>
          <w:szCs w:val="20"/>
          <w:color w:val="auto"/>
        </w:rPr>
      </w:pPr>
      <w:r>
        <w:rPr>
          <w:rFonts w:ascii="Times New Roman" w:cs="Times New Roman" w:eastAsia="Times New Roman" w:hAnsi="Times New Roman"/>
          <w:sz w:val="14"/>
          <w:szCs w:val="14"/>
          <w:color w:val="auto"/>
        </w:rPr>
        <w:t>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F-53</w:t>
      </w:r>
    </w:p>
    <w:p>
      <w:pPr>
        <w:sectPr>
          <w:pgSz w:w="11900" w:h="16838" w:orient="portrait"/>
          <w:cols w:equalWidth="0" w:num="1">
            <w:col w:w="10159"/>
          </w:cols>
          <w:pgMar w:left="300" w:top="407"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Convertible Notes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2020-06 </w:t>
      </w:r>
      <w:r>
        <w:rPr>
          <w:rFonts w:ascii="Times New Roman" w:cs="Times New Roman" w:eastAsia="Times New Roman" w:hAnsi="Times New Roman"/>
          <w:sz w:val="14"/>
          <w:szCs w:val="14"/>
          <w:i w:val="1"/>
          <w:iCs w:val="1"/>
          <w:color w:val="auto"/>
        </w:rPr>
        <w:t>Debt—Debt with Conversion and Other Options (Subtopic 470-20), Derivatives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Hedging—Contracts in Entity’s Own Equity (Subtopic 815-40)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Accounting for Convertible Instruments and Contracts in an Entity’s Own Equity </w:t>
      </w:r>
      <w:r>
        <w:rPr>
          <w:rFonts w:ascii="Times New Roman" w:cs="Times New Roman" w:eastAsia="Times New Roman" w:hAnsi="Times New Roman"/>
          <w:sz w:val="14"/>
          <w:szCs w:val="14"/>
          <w:color w:val="auto"/>
        </w:rPr>
        <w:t xml:space="preserve">(ASU 2020-06). The Company has elected to account for its convertible notes at fair value at each period end pursuant to ASC 825,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Instruments </w:t>
      </w:r>
      <w:r>
        <w:rPr>
          <w:rFonts w:ascii="Times New Roman" w:cs="Times New Roman" w:eastAsia="Times New Roman" w:hAnsi="Times New Roman"/>
          <w:sz w:val="14"/>
          <w:szCs w:val="14"/>
          <w:color w:val="auto"/>
        </w:rPr>
        <w:t>wherein changes in the fair value are recorded as change in fair value of convertible notes in the consolidated statements of operations.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9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8). The liability associated with these warrants is subject to remeasurement at each balance sheet date, with changes in fair value 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Black-Scholes option pricing model.</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Redeemable Convertible Preferred Stock</w:t>
      </w:r>
    </w:p>
    <w:p>
      <w:pPr>
        <w:spacing w:after="0" w:line="93"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3"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 xml:space="preserve">The Company derives revenue from product sales, license and development arrangements, joint marketing arrangements and cloud services. The Company recognizes revenue under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in which it determines revenue recognition through the following steps: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1: Identify the contract with the customer.</w:t>
      </w:r>
    </w:p>
    <w:p>
      <w:pPr>
        <w:spacing w:after="0" w:line="93"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2: Identify the performance obligations in the contract.</w:t>
      </w:r>
    </w:p>
    <w:p>
      <w:pPr>
        <w:spacing w:after="0" w:line="93"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4"/>
          <w:szCs w:val="14"/>
          <w:color w:val="auto"/>
        </w:rPr>
        <w:t>Performance obligations promised in a contract are identified based on the services that will be transferred to the customer that are both capable of being distinct, whereby the customer can benefit from the service either on its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F-54</w:t>
      </w:r>
    </w:p>
    <w:p>
      <w:pPr>
        <w:sectPr>
          <w:pgSz w:w="11900" w:h="16838" w:orient="portrait"/>
          <w:cols w:equalWidth="0" w:num="1">
            <w:col w:w="10159"/>
          </w:cols>
          <w:pgMar w:left="300" w:top="407"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own or together with other resources that are readily available from third parties or from the Company and are distinct in the context of the contract.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3: Determine the transaction price</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4: Allocate the transaction price to the performance obligations in the contract.</w:t>
      </w:r>
    </w:p>
    <w:p>
      <w:pPr>
        <w:spacing w:after="0" w:line="93"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Contracts that contain multiple performance obligations require an allocation of the transaction price to each performance obligation based on each performance obligation’s relative standalone selling price (“SSP”).</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Step 5: Recognize revenue when the company satisfies a performance obligation.</w:t>
      </w:r>
    </w:p>
    <w:p>
      <w:pPr>
        <w:spacing w:after="0" w:line="9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w:t>
      </w:r>
    </w:p>
    <w:p>
      <w:pPr>
        <w:spacing w:after="0" w:line="141"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w:t>
      </w:r>
    </w:p>
    <w:p>
      <w:pPr>
        <w:spacing w:after="0" w:line="136"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w:t>
      </w:r>
    </w:p>
    <w:p>
      <w:pPr>
        <w:spacing w:after="0" w:line="143"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2024 and 2023 (in thousands):</w:t>
      </w:r>
    </w:p>
    <w:p>
      <w:pPr>
        <w:spacing w:after="0" w:line="160"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January 1</w:t>
            </w:r>
          </w:p>
        </w:tc>
        <w:tc>
          <w:tcPr>
            <w:tcW w:w="27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1,100</w:t>
            </w:r>
          </w:p>
        </w:tc>
        <w:tc>
          <w:tcPr>
            <w:tcW w:w="2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$ 1,830</w:t>
            </w:r>
          </w:p>
        </w:tc>
        <w:tc>
          <w:tcPr>
            <w:tcW w:w="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Addition of deferred revenue</w:t>
            </w: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3,113</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Recognition of revenue</w:t>
            </w:r>
          </w:p>
        </w:tc>
        <w:tc>
          <w:tcPr>
            <w:tcW w:w="2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7"/>
              </w:rPr>
              <w:t>(1,100)</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(3,843)</w:t>
            </w:r>
          </w:p>
        </w:tc>
      </w:tr>
      <w:tr>
        <w:trPr>
          <w:trHeight w:val="169"/>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w:t>
            </w:r>
          </w:p>
        </w:tc>
        <w:tc>
          <w:tcPr>
            <w:tcW w:w="27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$ 1,100</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2780" w:type="dxa"/>
            <w:vAlign w:val="bottom"/>
            <w:gridSpan w:val="2"/>
          </w:tcPr>
          <w:p>
            <w:pPr>
              <w:jc w:val="right"/>
              <w:ind w:right="1705"/>
              <w:spacing w:after="0"/>
              <w:rPr>
                <w:sz w:val="20"/>
                <w:szCs w:val="20"/>
                <w:color w:val="auto"/>
              </w:rPr>
            </w:pPr>
            <w:r>
              <w:rPr>
                <w:rFonts w:ascii="Times New Roman" w:cs="Times New Roman" w:eastAsia="Times New Roman" w:hAnsi="Times New Roman"/>
                <w:sz w:val="14"/>
                <w:szCs w:val="14"/>
                <w:color w:val="auto"/>
              </w:rPr>
              <w:t>F-55</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79"/>
        <w:spacing w:after="0" w:line="283" w:lineRule="auto"/>
        <w:rPr>
          <w:sz w:val="20"/>
          <w:szCs w:val="20"/>
          <w:color w:val="auto"/>
        </w:rPr>
      </w:pPr>
      <w:r>
        <w:rPr>
          <w:rFonts w:ascii="Times New Roman" w:cs="Times New Roman" w:eastAsia="Times New Roman" w:hAnsi="Times New Roman"/>
          <w:sz w:val="14"/>
          <w:szCs w:val="14"/>
          <w:color w:val="auto"/>
        </w:rPr>
        <w:t>The Company defers incremental costs of obtaining a customer contract and amortizes the deferred costs over the period that the related revenue is recognized. The Company had no material incremental costs to obtain customer contracts in any period presented.</w:t>
      </w:r>
    </w:p>
    <w:p>
      <w:pPr>
        <w:spacing w:after="0" w:line="125" w:lineRule="exact"/>
        <w:rPr>
          <w:sz w:val="20"/>
          <w:szCs w:val="20"/>
          <w:color w:val="auto"/>
        </w:rPr>
      </w:pPr>
    </w:p>
    <w:p>
      <w:pPr>
        <w:ind w:left="1360" w:right="539"/>
        <w:spacing w:after="0" w:line="323" w:lineRule="auto"/>
        <w:rPr>
          <w:sz w:val="20"/>
          <w:szCs w:val="20"/>
          <w:color w:val="auto"/>
        </w:rPr>
      </w:pPr>
      <w:r>
        <w:rPr>
          <w:rFonts w:ascii="Times New Roman" w:cs="Times New Roman" w:eastAsia="Times New Roman" w:hAnsi="Times New Roman"/>
          <w:sz w:val="13"/>
          <w:szCs w:val="13"/>
          <w:color w:val="auto"/>
        </w:rPr>
        <w:t>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w:t>
      </w:r>
    </w:p>
    <w:p>
      <w:pPr>
        <w:spacing w:after="0" w:line="10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offers a standard assurance-type warranty to customers for hardware sales.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Advertising costs are expensed as incurred and are included in selling, general and administrative expenses in the consolidated statements of operations.</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Advertising costs were immaterial for the years ended December 31, 2024 and 2023, respectively.</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ind w:left="1360" w:right="299"/>
        <w:spacing w:after="0" w:line="257" w:lineRule="auto"/>
        <w:rPr>
          <w:sz w:val="20"/>
          <w:szCs w:val="20"/>
          <w:color w:val="auto"/>
        </w:rPr>
      </w:pPr>
      <w:r>
        <w:rPr>
          <w:rFonts w:ascii="Times New Roman" w:cs="Times New Roman" w:eastAsia="Times New Roman" w:hAnsi="Times New Roman"/>
          <w:sz w:val="14"/>
          <w:szCs w:val="14"/>
          <w:color w:val="auto"/>
        </w:rPr>
        <w:t>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w:t>
      </w:r>
    </w:p>
    <w:p>
      <w:pPr>
        <w:spacing w:after="0" w:line="143"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ind w:left="1360" w:right="439"/>
        <w:spacing w:after="0" w:line="261" w:lineRule="auto"/>
        <w:rPr>
          <w:sz w:val="20"/>
          <w:szCs w:val="20"/>
          <w:color w:val="auto"/>
        </w:rPr>
      </w:pPr>
      <w:r>
        <w:rPr>
          <w:rFonts w:ascii="Times New Roman" w:cs="Times New Roman" w:eastAsia="Times New Roman" w:hAnsi="Times New Roman"/>
          <w:sz w:val="14"/>
          <w:szCs w:val="14"/>
          <w:color w:val="auto"/>
        </w:rPr>
        <w:t>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w:t>
      </w:r>
    </w:p>
    <w:p>
      <w:pPr>
        <w:spacing w:after="0" w:line="14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Company also grants RSUs to employees and non-employee consultants, which vest upon the satisfaction of both a service-based condition and a liquidity event condition, as defined. The fair value of restricted stock units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F-56</w:t>
      </w:r>
    </w:p>
    <w:p>
      <w:pPr>
        <w:sectPr>
          <w:pgSz w:w="11900" w:h="16838" w:orient="portrait"/>
          <w:cols w:equalWidth="0" w:num="1">
            <w:col w:w="10159"/>
          </w:cols>
          <w:pgMar w:left="300" w:top="407"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is determined based on the Company’s estimated fair value of common stock at the date of grant. As of December 31,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Forfeitures are recognized as they occur.</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3"/>
          <w:szCs w:val="13"/>
          <w:color w:val="auto"/>
        </w:rPr>
        <w:t xml:space="preserve">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cs="Times New Roman" w:eastAsia="Times New Roman" w:hAnsi="Times New Roman"/>
          <w:sz w:val="13"/>
          <w:szCs w:val="13"/>
          <w:i w:val="1"/>
          <w:iCs w:val="1"/>
          <w:color w:val="auto"/>
        </w:rPr>
        <w:t>Fair Value Measurements,</w:t>
      </w:r>
      <w:r>
        <w:rPr>
          <w:rFonts w:ascii="Times New Roman" w:cs="Times New Roman" w:eastAsia="Times New Roman" w:hAnsi="Times New Roman"/>
          <w:sz w:val="13"/>
          <w:szCs w:val="13"/>
          <w:color w:val="auto"/>
        </w:rPr>
        <w:t xml:space="preserve"> requires fair value measurements be classified and disclosed in one of the following pricing categories:</w:t>
      </w:r>
    </w:p>
    <w:p>
      <w:pPr>
        <w:spacing w:after="0" w:line="126" w:lineRule="exact"/>
        <w:rPr>
          <w:sz w:val="20"/>
          <w:szCs w:val="20"/>
          <w:color w:val="auto"/>
        </w:rPr>
      </w:pPr>
    </w:p>
    <w:p>
      <w:pPr>
        <w:ind w:left="1360" w:right="55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This level consists of unadjusted quoted prices in active markets for identical assets or liabilities that the reporting entity can access at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measurement date.</w:t>
      </w:r>
    </w:p>
    <w:p>
      <w:pPr>
        <w:spacing w:after="0" w:line="121" w:lineRule="exact"/>
        <w:rPr>
          <w:sz w:val="20"/>
          <w:szCs w:val="20"/>
          <w:color w:val="auto"/>
        </w:rPr>
      </w:pPr>
    </w:p>
    <w:p>
      <w:pPr>
        <w:jc w:val="both"/>
        <w:ind w:left="1360" w:right="6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Level 2 - </w:t>
      </w:r>
      <w:r>
        <w:rPr>
          <w:rFonts w:ascii="Times New Roman" w:cs="Times New Roman" w:eastAsia="Times New Roman" w:hAnsi="Times New Roman"/>
          <w:sz w:val="14"/>
          <w:szCs w:val="14"/>
          <w:color w:val="auto"/>
        </w:rPr>
        <w:t>This level consists of observable inputs other than the quoted prices included within Level 1, such as quoted prices for similar assets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in markets that are not active or for which all significant inputs are observable or can be corroborated by observable market data, either directly or indirectly, for substantially the full term of the asset or liability.</w:t>
      </w:r>
    </w:p>
    <w:p>
      <w:pPr>
        <w:spacing w:after="0" w:line="133" w:lineRule="exact"/>
        <w:rPr>
          <w:sz w:val="20"/>
          <w:szCs w:val="20"/>
          <w:color w:val="auto"/>
        </w:rPr>
      </w:pPr>
    </w:p>
    <w:p>
      <w:pPr>
        <w:ind w:left="1360" w:right="25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This level consists of unobservable inputs for the asset or liability to the extent that observable inputs are not available, thereby allowing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situations in which there is little or no market data for the asset or liability at the measurement date. This requires the reporting entity to develop its own assumptions that market participants would use in pricing the asset or liability. The carrying amounts of cash, accounts receivable, prepaid expenses and other current assets, accounts payable, accrued loss on purchase commitments and accrued expenses and other liabilities approximate fair value because of their short-term maturities.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93" w:lineRule="exact"/>
        <w:rPr>
          <w:sz w:val="20"/>
          <w:szCs w:val="20"/>
          <w:color w:val="auto"/>
        </w:rPr>
      </w:pPr>
    </w:p>
    <w:p>
      <w:pPr>
        <w:ind w:left="1360" w:right="439"/>
        <w:spacing w:after="0" w:line="256" w:lineRule="auto"/>
        <w:rPr>
          <w:sz w:val="20"/>
          <w:szCs w:val="20"/>
          <w:color w:val="auto"/>
        </w:rPr>
      </w:pPr>
      <w:r>
        <w:rPr>
          <w:rFonts w:ascii="Times New Roman" w:cs="Times New Roman" w:eastAsia="Times New Roman" w:hAnsi="Times New Roman"/>
          <w:sz w:val="14"/>
          <w:szCs w:val="14"/>
          <w:color w:val="auto"/>
        </w:rPr>
        <w:t>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2024, foreign currency transaction losses of $0.2 million was included in other income (expense), net in the consolidated statements of operations. During the year ended December 31, 2023, foreign currency transaction gain was immaterial.</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93"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The Company’s cash and cash equivalents are primarily on deposit at high-credit quality financial institutions or invested in U.S. Government money market funds. The Company’s cash accounts in a financial institution may at times exceed the Federal Depository Insurance coverage of $250,000. Investments in money markets are not insured or guaranteed by the FDIC or any other government agency.</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F-57</w:t>
      </w:r>
    </w:p>
    <w:p>
      <w:pPr>
        <w:sectPr>
          <w:pgSz w:w="11900" w:h="16838" w:orient="portrait"/>
          <w:cols w:equalWidth="0" w:num="1">
            <w:col w:w="10159"/>
          </w:cols>
          <w:pgMar w:left="300" w:top="407"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79"/>
        <w:spacing w:after="0" w:line="283" w:lineRule="auto"/>
        <w:rPr>
          <w:sz w:val="20"/>
          <w:szCs w:val="20"/>
          <w:color w:val="auto"/>
        </w:rPr>
      </w:pPr>
      <w:r>
        <w:rPr>
          <w:rFonts w:ascii="Times New Roman" w:cs="Times New Roman" w:eastAsia="Times New Roman" w:hAnsi="Times New Roman"/>
          <w:sz w:val="14"/>
          <w:szCs w:val="14"/>
          <w:color w:val="auto"/>
        </w:rPr>
        <w:t>The Company is exposed to credit risk in the event of nonpayment by customers up to the amounts recorded on the consolidated balance sheets. The Company manages its accounts receivable credit risk through ongoing credit evaluation of its customers’ financial conditions.</w:t>
      </w:r>
    </w:p>
    <w:p>
      <w:pPr>
        <w:spacing w:after="0" w:line="125" w:lineRule="exact"/>
        <w:rPr>
          <w:sz w:val="20"/>
          <w:szCs w:val="20"/>
          <w:color w:val="auto"/>
        </w:rPr>
      </w:pPr>
    </w:p>
    <w:p>
      <w:pPr>
        <w:ind w:left="1360" w:right="659"/>
        <w:spacing w:after="0" w:line="283" w:lineRule="auto"/>
        <w:rPr>
          <w:sz w:val="20"/>
          <w:szCs w:val="20"/>
          <w:color w:val="auto"/>
        </w:rPr>
      </w:pPr>
      <w:r>
        <w:rPr>
          <w:rFonts w:ascii="Times New Roman" w:cs="Times New Roman" w:eastAsia="Times New Roman" w:hAnsi="Times New Roman"/>
          <w:sz w:val="14"/>
          <w:szCs w:val="14"/>
          <w:color w:val="auto"/>
        </w:rPr>
        <w:t>As of December 31, 2024, one customer accounted for approximately 98% of the Company’s accounts receivable. As of December 31, 2023, one customer, a related party, accounted for approximately 98% of the Company’s accounts receivable (see Note 13).</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Historically, a relatively small number of customers have accounted for a significant portion of the Company’s revenue. For the year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two customers, both related parties, accounted for approximately 77% and 21% of the Company’s revenue. For the year ended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2023, one customer, a related party, accounted for nearly 100% of the Company’s revenue (see Note 13).</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3" w:lineRule="exact"/>
        <w:rPr>
          <w:sz w:val="20"/>
          <w:szCs w:val="20"/>
          <w:color w:val="auto"/>
        </w:rPr>
      </w:pPr>
    </w:p>
    <w:p>
      <w:pPr>
        <w:ind w:left="1360" w:right="279"/>
        <w:spacing w:after="0" w:line="255" w:lineRule="auto"/>
        <w:rPr>
          <w:sz w:val="20"/>
          <w:szCs w:val="20"/>
          <w:color w:val="auto"/>
        </w:rPr>
      </w:pPr>
      <w:r>
        <w:rPr>
          <w:rFonts w:ascii="Times New Roman" w:cs="Times New Roman" w:eastAsia="Times New Roman" w:hAnsi="Times New Roman"/>
          <w:sz w:val="14"/>
          <w:szCs w:val="14"/>
          <w:color w:val="auto"/>
        </w:rPr>
        <w:t>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w:t>
      </w:r>
    </w:p>
    <w:p>
      <w:pPr>
        <w:spacing w:after="0" w:line="145" w:lineRule="exact"/>
        <w:rPr>
          <w:sz w:val="20"/>
          <w:szCs w:val="20"/>
          <w:color w:val="auto"/>
        </w:rPr>
      </w:pPr>
    </w:p>
    <w:p>
      <w:pPr>
        <w:ind w:left="1360" w:right="439"/>
        <w:spacing w:after="0" w:line="258" w:lineRule="auto"/>
        <w:rPr>
          <w:sz w:val="20"/>
          <w:szCs w:val="20"/>
          <w:color w:val="auto"/>
        </w:rPr>
      </w:pPr>
      <w:r>
        <w:rPr>
          <w:rFonts w:ascii="Times New Roman" w:cs="Times New Roman" w:eastAsia="Times New Roman" w:hAnsi="Times New Roman"/>
          <w:sz w:val="14"/>
          <w:szCs w:val="14"/>
          <w:color w:val="auto"/>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w:t>
      </w: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For purposes of this calculation, redeemable convertible preference stock, stock options and warrants have been excluded from the calculation of diluted net loss per share attributable to common stockholders as their effect is anti-dilutive for all periods presented.</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93" w:lineRule="exact"/>
        <w:rPr>
          <w:sz w:val="20"/>
          <w:szCs w:val="20"/>
          <w:color w:val="auto"/>
        </w:rPr>
      </w:pPr>
    </w:p>
    <w:p>
      <w:pPr>
        <w:ind w:left="1360" w:right="419"/>
        <w:spacing w:after="0" w:line="261" w:lineRule="auto"/>
        <w:rPr>
          <w:sz w:val="20"/>
          <w:szCs w:val="20"/>
          <w:color w:val="auto"/>
        </w:rPr>
      </w:pPr>
      <w:r>
        <w:rPr>
          <w:rFonts w:ascii="Times New Roman" w:cs="Times New Roman" w:eastAsia="Times New Roman" w:hAnsi="Times New Roman"/>
          <w:sz w:val="14"/>
          <w:szCs w:val="14"/>
          <w:color w:val="auto"/>
        </w:rPr>
        <w:t>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(“CODM”), who reviews financial information presented on a consolidated basis for the purposes of making operating decisions, allocating resources and evaluating financial performance.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93" w:lineRule="exact"/>
        <w:rPr>
          <w:sz w:val="20"/>
          <w:szCs w:val="20"/>
          <w:color w:val="auto"/>
        </w:rPr>
      </w:pPr>
    </w:p>
    <w:p>
      <w:pPr>
        <w:ind w:left="1360" w:right="339"/>
        <w:spacing w:after="0" w:line="274" w:lineRule="auto"/>
        <w:rPr>
          <w:sz w:val="20"/>
          <w:szCs w:val="20"/>
          <w:color w:val="auto"/>
        </w:rPr>
      </w:pPr>
      <w:r>
        <w:rPr>
          <w:rFonts w:ascii="Times New Roman" w:cs="Times New Roman" w:eastAsia="Times New Roman" w:hAnsi="Times New Roman"/>
          <w:sz w:val="13"/>
          <w:szCs w:val="13"/>
          <w:color w:val="auto"/>
        </w:rPr>
        <w:t>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w:t>
      </w:r>
    </w:p>
    <w:p>
      <w:pPr>
        <w:spacing w:after="0" w:line="2" w:lineRule="exact"/>
        <w:rPr>
          <w:sz w:val="20"/>
          <w:szCs w:val="20"/>
          <w:color w:val="auto"/>
        </w:rPr>
      </w:pPr>
    </w:p>
    <w:p>
      <w:pPr>
        <w:ind w:left="1560" w:hanging="205"/>
        <w:spacing w:after="0"/>
        <w:tabs>
          <w:tab w:leader="none" w:pos="15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affirmatively and irrevocably opt out of the extended transition period provided in the JOBS Act. As a result, these consolidated financial statements</w:t>
      </w:r>
    </w:p>
    <w:p>
      <w:pPr>
        <w:spacing w:after="0" w:line="108"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F-58</w:t>
      </w:r>
    </w:p>
    <w:p>
      <w:pPr>
        <w:sectPr>
          <w:pgSz w:w="11900" w:h="16838" w:orient="portrait"/>
          <w:cols w:equalWidth="0" w:num="1">
            <w:col w:w="10159"/>
          </w:cols>
          <w:pgMar w:left="300" w:top="407"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may not be comparable to companies that comply with the new or revised accounting pronouncements as of public company effective dates.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1" w:lineRule="exact"/>
        <w:rPr>
          <w:sz w:val="20"/>
          <w:szCs w:val="20"/>
          <w:color w:val="auto"/>
        </w:rPr>
      </w:pPr>
    </w:p>
    <w:p>
      <w:pPr>
        <w:ind w:left="1360" w:right="499"/>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This ASU improves reportable segment disclosure requirements, primarily through enhanced disclosures about significant segment expenses. The Company adopted this standard during the year ended December 31, 2024. The adoption resulted in expanded disclosures for the Company’s single reportable segment, but did not have a material impact on the Company’s consolidated financial statements (see Note 16).</w:t>
      </w:r>
    </w:p>
    <w:p>
      <w:pPr>
        <w:spacing w:after="0" w:line="138" w:lineRule="exact"/>
        <w:rPr>
          <w:sz w:val="20"/>
          <w:szCs w:val="20"/>
          <w:color w:val="auto"/>
        </w:rPr>
      </w:pPr>
    </w:p>
    <w:p>
      <w:pPr>
        <w:ind w:left="1360" w:right="379"/>
        <w:spacing w:after="0" w:line="288" w:lineRule="auto"/>
        <w:rPr>
          <w:sz w:val="20"/>
          <w:szCs w:val="20"/>
          <w:color w:val="auto"/>
        </w:rPr>
      </w:pPr>
      <w:r>
        <w:rPr>
          <w:rFonts w:ascii="Times New Roman" w:cs="Times New Roman" w:eastAsia="Times New Roman" w:hAnsi="Times New Roman"/>
          <w:sz w:val="13"/>
          <w:szCs w:val="13"/>
          <w:color w:val="auto"/>
        </w:rPr>
        <w:t xml:space="preserve">In October 2021, the FASB issued ASU 2021-08, </w:t>
      </w:r>
      <w:r>
        <w:rPr>
          <w:rFonts w:ascii="Times New Roman" w:cs="Times New Roman" w:eastAsia="Times New Roman" w:hAnsi="Times New Roman"/>
          <w:sz w:val="13"/>
          <w:szCs w:val="13"/>
          <w:i w:val="1"/>
          <w:iCs w:val="1"/>
          <w:color w:val="auto"/>
        </w:rPr>
        <w:t>Business Combinations (Topic 805): Accounting for Contract Assets and Contract Liabilities from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Contracts with Customers</w:t>
      </w:r>
      <w:r>
        <w:rPr>
          <w:rFonts w:ascii="Times New Roman" w:cs="Times New Roman" w:eastAsia="Times New Roman" w:hAnsi="Times New Roman"/>
          <w:sz w:val="13"/>
          <w:szCs w:val="13"/>
          <w:color w:val="auto"/>
        </w:rPr>
        <w:t>. The FASB issued authoritative guidance that clarifies that an acquirer of a business should recognize and measure contract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assets and contract liabilities in a business combination in accordance with ASC Topic 606, Revenue from Contracts with Customers. The Company adopted this standard as of January 1, 2024. The adoption of this standard did not have an impact on the Company’s consolidated financial statements.</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 Not Yet Adopted</w:t>
      </w:r>
    </w:p>
    <w:p>
      <w:pPr>
        <w:spacing w:after="0" w:line="91" w:lineRule="exact"/>
        <w:rPr>
          <w:sz w:val="20"/>
          <w:szCs w:val="20"/>
          <w:color w:val="auto"/>
        </w:rPr>
      </w:pPr>
    </w:p>
    <w:p>
      <w:pPr>
        <w:ind w:left="1360" w:right="239"/>
        <w:spacing w:after="0" w:line="259"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2024-04, </w:t>
      </w:r>
      <w:r>
        <w:rPr>
          <w:rFonts w:ascii="Times New Roman" w:cs="Times New Roman" w:eastAsia="Times New Roman" w:hAnsi="Times New Roman"/>
          <w:sz w:val="14"/>
          <w:szCs w:val="14"/>
          <w:i w:val="1"/>
          <w:iCs w:val="1"/>
          <w:color w:val="auto"/>
        </w:rPr>
        <w:t>Debt – Debt with Conversion and Other Options (Subtopic 470-20): Induced Conversions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Convertible Debt Instruments. </w:t>
      </w:r>
      <w:r>
        <w:rPr>
          <w:rFonts w:ascii="Times New Roman" w:cs="Times New Roman" w:eastAsia="Times New Roman" w:hAnsi="Times New Roman"/>
          <w:sz w:val="14"/>
          <w:szCs w:val="14"/>
          <w:color w:val="auto"/>
        </w:rPr>
        <w:t>This ASU clarifies guidance on the requirements for determining whether certain settlements of convertible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instruments should be accounted for as an induced conversion or extinguishment. This guidance is effective for the Company beginning on January 1, 2026, and early adoption is permitted, although the Company does not plan to early adopt. The Company does not expect the adoption to have a material impact on the Company’s consolidated financial statements.</w:t>
      </w:r>
    </w:p>
    <w:p>
      <w:pPr>
        <w:spacing w:after="0" w:line="14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Reporting Comprehensive Income- Expense Disaggregation Disclosures: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This ASU requires disaggregated disclosure of income statement expenses for public business entities.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ASU does not change the expense captions an entity presents on the face of the income statement; rather, it requires disaggregation of certain expense captions into specified categories in disclosures within the notes to the consolidated financial statements. This guidance is effective for the Company beginning on January 1, 2027, and early adoption is permitted, although the Company does not plan to early adopt. The Company is currently evaluating the impact of the adoption of this standard.</w:t>
      </w:r>
    </w:p>
    <w:p>
      <w:pPr>
        <w:spacing w:after="0" w:line="143" w:lineRule="exact"/>
        <w:rPr>
          <w:sz w:val="20"/>
          <w:szCs w:val="20"/>
          <w:color w:val="auto"/>
        </w:rPr>
      </w:pPr>
    </w:p>
    <w:p>
      <w:pPr>
        <w:ind w:left="1360" w:right="479"/>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This ASU enhances the transparency and decision usefulness of income tax disclosures. This guidance is effective for the Company beginning on January 1, 2025. Adoption will require enhancements to the Company’s income tax disclosures but is not expected to have a material impact on its consolidated financial statements.</w:t>
      </w:r>
    </w:p>
    <w:p>
      <w:pPr>
        <w:spacing w:after="0" w:line="138" w:lineRule="exact"/>
        <w:rPr>
          <w:sz w:val="20"/>
          <w:szCs w:val="20"/>
          <w:color w:val="auto"/>
        </w:rPr>
      </w:pPr>
    </w:p>
    <w:p>
      <w:pPr>
        <w:ind w:left="1360" w:right="519"/>
        <w:spacing w:after="0" w:line="262" w:lineRule="auto"/>
        <w:rPr>
          <w:sz w:val="20"/>
          <w:szCs w:val="20"/>
          <w:color w:val="auto"/>
        </w:rPr>
      </w:pPr>
      <w:r>
        <w:rPr>
          <w:rFonts w:ascii="Times New Roman" w:cs="Times New Roman" w:eastAsia="Times New Roman" w:hAnsi="Times New Roman"/>
          <w:sz w:val="14"/>
          <w:szCs w:val="14"/>
          <w:color w:val="auto"/>
        </w:rPr>
        <w:t xml:space="preserve">In June 2022, the FASB issued ASU 2022-03, </w:t>
      </w:r>
      <w:r>
        <w:rPr>
          <w:rFonts w:ascii="Times New Roman" w:cs="Times New Roman" w:eastAsia="Times New Roman" w:hAnsi="Times New Roman"/>
          <w:sz w:val="14"/>
          <w:szCs w:val="14"/>
          <w:i w:val="1"/>
          <w:iCs w:val="1"/>
          <w:color w:val="auto"/>
        </w:rPr>
        <w:t>Fair Value Measurement (Topic 820): Fair Value Measurement of Equity Securities Subject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Contractual Sale Restrictions</w:t>
      </w:r>
      <w:r>
        <w:rPr>
          <w:rFonts w:ascii="Times New Roman" w:cs="Times New Roman" w:eastAsia="Times New Roman" w:hAnsi="Times New Roman"/>
          <w:sz w:val="14"/>
          <w:szCs w:val="14"/>
          <w:color w:val="auto"/>
        </w:rPr>
        <w:t>. This ASU clarifies guidance in Topic 820 and introduces new disclosure requirements for equity securities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contractual sale restrictions that are measured at fair value in accordance with Topic 820. This guidance is effective for the Company beginning on January 1, 2025. The Company does not expect the adoption to have a material impact on the Company’s consolidated financial statements.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F-59</w:t>
      </w:r>
    </w:p>
    <w:p>
      <w:pPr>
        <w:sectPr>
          <w:pgSz w:w="11900" w:h="16838" w:orient="portrait"/>
          <w:cols w:equalWidth="0" w:num="1">
            <w:col w:w="10159"/>
          </w:cols>
          <w:pgMar w:left="300" w:top="407"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3. Revenue</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Disaggregation of Revenue</w:t>
      </w:r>
    </w:p>
    <w:p>
      <w:pPr>
        <w:spacing w:after="0" w:line="93"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The following table presents the Company’s revenue information by geographical region for the years ended December 31, 2024 and 2023 (in thousands):</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1"/>
                <w:szCs w:val="11"/>
                <w:color w:val="auto"/>
              </w:rPr>
            </w:pPr>
          </w:p>
        </w:tc>
        <w:tc>
          <w:tcPr>
            <w:tcW w:w="3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United States</w:t>
            </w:r>
          </w:p>
        </w:tc>
        <w:tc>
          <w:tcPr>
            <w:tcW w:w="3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$1,215</w:t>
            </w:r>
          </w:p>
        </w:tc>
        <w:tc>
          <w:tcPr>
            <w:tcW w:w="76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$3,848</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4"/>
                <w:szCs w:val="14"/>
                <w:color w:val="auto"/>
              </w:rPr>
            </w:pPr>
          </w:p>
        </w:tc>
      </w:tr>
      <w:tr>
        <w:trPr>
          <w:trHeight w:val="169"/>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0" w:type="dxa"/>
            <w:vAlign w:val="bottom"/>
            <w:tcBorders>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8"/>
              </w:rPr>
              <w:t>$</w:t>
            </w:r>
            <w:r>
              <w:rPr>
                <w:rFonts w:ascii="Times New Roman" w:cs="Times New Roman" w:eastAsia="Times New Roman" w:hAnsi="Times New Roman"/>
                <w:sz w:val="14"/>
                <w:szCs w:val="14"/>
                <w:color w:val="auto"/>
                <w:w w:val="88"/>
              </w:rPr>
              <w:t>1,554</w:t>
            </w:r>
          </w:p>
        </w:tc>
        <w:tc>
          <w:tcPr>
            <w:tcW w:w="3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3,856</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The following provides a disaggregation of revenue based on the pattern of revenue recognition for the years ended December 31, 2024 and 2023 (in thousands):</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7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 recognized at a point in time</w:t>
            </w:r>
          </w:p>
        </w:tc>
        <w:tc>
          <w:tcPr>
            <w:tcW w:w="16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361</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Revenue recognized over time</w:t>
            </w:r>
          </w:p>
        </w:tc>
        <w:tc>
          <w:tcPr>
            <w:tcW w:w="16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1,193</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3,840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1,554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3,856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859"/>
        <w:spacing w:after="0" w:line="283" w:lineRule="auto"/>
        <w:rPr>
          <w:sz w:val="20"/>
          <w:szCs w:val="20"/>
          <w:color w:val="auto"/>
        </w:rPr>
      </w:pPr>
      <w:r>
        <w:rPr>
          <w:rFonts w:ascii="Times New Roman" w:cs="Times New Roman" w:eastAsia="Times New Roman" w:hAnsi="Times New Roman"/>
          <w:sz w:val="14"/>
          <w:szCs w:val="14"/>
          <w:color w:val="auto"/>
        </w:rPr>
        <w:t>Revenue allocated to remaining performance obligations, which includes unearned or deferred revenue and amounts that will be invoiced and recognized as revenue in future periods as of December 31, 2024 and 2023, was as follows (in thousands):</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0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Current</w:t>
            </w:r>
          </w:p>
        </w:tc>
        <w:tc>
          <w:tcPr>
            <w:tcW w:w="23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78"/>
              </w:rPr>
              <w:t>$— </w:t>
            </w:r>
          </w:p>
        </w:tc>
        <w:tc>
          <w:tcPr>
            <w:tcW w:w="3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733</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Non-current</w:t>
            </w:r>
          </w:p>
        </w:tc>
        <w:tc>
          <w:tcPr>
            <w:tcW w:w="23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1,100</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4. Fair Value Measurements</w:t>
      </w:r>
    </w:p>
    <w:p>
      <w:pPr>
        <w:spacing w:after="0" w:line="93" w:lineRule="exact"/>
        <w:rPr>
          <w:sz w:val="20"/>
          <w:szCs w:val="20"/>
          <w:color w:val="auto"/>
        </w:rPr>
      </w:pPr>
    </w:p>
    <w:p>
      <w:pPr>
        <w:ind w:left="1360" w:right="519"/>
        <w:spacing w:after="0" w:line="283" w:lineRule="auto"/>
        <w:rPr>
          <w:sz w:val="20"/>
          <w:szCs w:val="20"/>
          <w:color w:val="auto"/>
        </w:rPr>
      </w:pPr>
      <w:r>
        <w:rPr>
          <w:rFonts w:ascii="Times New Roman" w:cs="Times New Roman" w:eastAsia="Times New Roman" w:hAnsi="Times New Roman"/>
          <w:sz w:val="14"/>
          <w:szCs w:val="14"/>
          <w:color w:val="auto"/>
        </w:rPr>
        <w:t>The table below presents the Company’s financial assets and liabilities measured at fair value on a recurring basis aggregated by the level in the fair hierarchy (in thousands):</w:t>
      </w:r>
    </w:p>
    <w:p>
      <w:pPr>
        <w:spacing w:after="0" w:line="13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Level 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right"/>
              <w:ind w:right="91"/>
              <w:spacing w:after="0"/>
              <w:rPr>
                <w:sz w:val="20"/>
                <w:szCs w:val="20"/>
                <w:color w:val="auto"/>
              </w:rPr>
            </w:pPr>
            <w:r>
              <w:rPr>
                <w:rFonts w:ascii="Times New Roman" w:cs="Times New Roman" w:eastAsia="Times New Roman" w:hAnsi="Times New Roman"/>
                <w:sz w:val="11"/>
                <w:szCs w:val="11"/>
                <w:color w:val="auto"/>
              </w:rPr>
              <w:t>December 31, 2024</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1"/>
                <w:szCs w:val="11"/>
                <w:color w:val="auto"/>
                <w:w w:val="95"/>
              </w:rPr>
              <w:t>Level 2</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31"/>
              <w:spacing w:after="0"/>
              <w:rPr>
                <w:sz w:val="20"/>
                <w:szCs w:val="20"/>
                <w:color w:val="auto"/>
              </w:rPr>
            </w:pPr>
            <w:r>
              <w:rPr>
                <w:rFonts w:ascii="Times New Roman" w:cs="Times New Roman" w:eastAsia="Times New Roman" w:hAnsi="Times New Roman"/>
                <w:sz w:val="11"/>
                <w:szCs w:val="11"/>
                <w:color w:val="auto"/>
              </w:rPr>
              <w:t>Level 3</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Assets:</w:t>
            </w:r>
          </w:p>
        </w:tc>
        <w:tc>
          <w:tcPr>
            <w:tcW w:w="19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treasury securities</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30,580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money market funds</w:t>
            </w:r>
          </w:p>
        </w:tc>
        <w:tc>
          <w:tcPr>
            <w:tcW w:w="1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Mutual funds</w:t>
            </w:r>
          </w:p>
        </w:tc>
        <w:tc>
          <w:tcPr>
            <w:tcW w:w="19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 measured at fair value</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44,894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gridSpan w:val="2"/>
            <w:vMerge w:val="continue"/>
          </w:tcPr>
          <w:p>
            <w:pPr>
              <w:spacing w:after="0"/>
              <w:rPr>
                <w:sz w:val="13"/>
                <w:szCs w:val="13"/>
                <w:color w:val="auto"/>
              </w:rPr>
            </w:pPr>
          </w:p>
        </w:tc>
        <w:tc>
          <w:tcPr>
            <w:tcW w:w="1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convertible notes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2023 Convertible notes</w:t>
            </w: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132,687</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132,687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19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190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3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163,340</w:t>
            </w:r>
          </w:p>
        </w:tc>
        <w:tc>
          <w:tcPr>
            <w:tcW w:w="3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163,340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960" w:type="dxa"/>
            <w:vAlign w:val="bottom"/>
            <w:gridSpan w:val="2"/>
          </w:tcPr>
          <w:p>
            <w:pPr>
              <w:jc w:val="right"/>
              <w:ind w:right="824"/>
              <w:spacing w:after="0"/>
              <w:rPr>
                <w:sz w:val="20"/>
                <w:szCs w:val="20"/>
                <w:color w:val="auto"/>
              </w:rPr>
            </w:pPr>
            <w:r>
              <w:rPr>
                <w:rFonts w:ascii="Times New Roman" w:cs="Times New Roman" w:eastAsia="Times New Roman" w:hAnsi="Times New Roman"/>
                <w:sz w:val="14"/>
                <w:szCs w:val="14"/>
                <w:color w:val="auto"/>
              </w:rPr>
              <w:t>F-60</w:t>
            </w: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760" w:type="dxa"/>
            <w:vAlign w:val="bottom"/>
            <w:gridSpan w:val="3"/>
            <w:vMerge w:val="restart"/>
          </w:tcPr>
          <w:p>
            <w:pPr>
              <w:ind w:left="1400"/>
              <w:spacing w:after="0"/>
              <w:rPr>
                <w:sz w:val="20"/>
                <w:szCs w:val="20"/>
                <w:color w:val="auto"/>
              </w:rPr>
            </w:pPr>
            <w:r>
              <w:rPr>
                <w:rFonts w:ascii="Times New Roman" w:cs="Times New Roman" w:eastAsia="Times New Roman" w:hAnsi="Times New Roman"/>
                <w:sz w:val="11"/>
                <w:szCs w:val="11"/>
                <w:color w:val="auto"/>
              </w:rPr>
              <w:t>Level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right"/>
              <w:ind w:right="37"/>
              <w:spacing w:after="0"/>
              <w:rPr>
                <w:sz w:val="20"/>
                <w:szCs w:val="20"/>
                <w:color w:val="auto"/>
              </w:rPr>
            </w:pPr>
            <w:r>
              <w:rPr>
                <w:rFonts w:ascii="Times New Roman" w:cs="Times New Roman" w:eastAsia="Times New Roman" w:hAnsi="Times New Roman"/>
                <w:sz w:val="11"/>
                <w:szCs w:val="11"/>
                <w:color w:val="auto"/>
              </w:rPr>
              <w:t>December 31, 2023</w:t>
            </w:r>
          </w:p>
        </w:tc>
        <w:tc>
          <w:tcPr>
            <w:tcW w:w="420" w:type="dxa"/>
            <w:vAlign w:val="bottom"/>
          </w:tcPr>
          <w:p>
            <w:pPr>
              <w:spacing w:after="0"/>
              <w:rPr>
                <w:sz w:val="11"/>
                <w:szCs w:val="11"/>
                <w:color w:val="auto"/>
              </w:rPr>
            </w:pPr>
          </w:p>
        </w:tc>
        <w:tc>
          <w:tcPr>
            <w:tcW w:w="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760" w:type="dxa"/>
            <w:vAlign w:val="bottom"/>
            <w:gridSpan w:val="3"/>
          </w:tcPr>
          <w:p>
            <w:pPr>
              <w:ind w:left="400"/>
              <w:spacing w:after="0"/>
              <w:rPr>
                <w:sz w:val="20"/>
                <w:szCs w:val="20"/>
                <w:color w:val="auto"/>
              </w:rPr>
            </w:pPr>
            <w:r>
              <w:rPr>
                <w:rFonts w:ascii="Times New Roman" w:cs="Times New Roman" w:eastAsia="Times New Roman" w:hAnsi="Times New Roman"/>
                <w:sz w:val="11"/>
                <w:szCs w:val="11"/>
                <w:color w:val="auto"/>
              </w:rPr>
              <w:t>Level 2</w:t>
            </w:r>
          </w:p>
        </w:tc>
        <w:tc>
          <w:tcPr>
            <w:tcW w:w="4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Level 3</w:t>
            </w:r>
          </w:p>
        </w:tc>
        <w:tc>
          <w:tcPr>
            <w:tcW w:w="4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Pay-to-Play convertible notes</w:t>
            </w:r>
          </w:p>
        </w:tc>
        <w:tc>
          <w:tcPr>
            <w:tcW w:w="150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5"/>
              </w:rPr>
              <w:t>— </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$14,641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 Convertible notes</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5"/>
              </w:rPr>
              <w:t>— </w:t>
            </w:r>
          </w:p>
        </w:tc>
        <w:tc>
          <w:tcPr>
            <w:tcW w:w="40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4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measured at fair value</w:t>
            </w:r>
          </w:p>
        </w:tc>
        <w:tc>
          <w:tcPr>
            <w:tcW w:w="150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36,435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36,435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360" w:right="559"/>
        <w:spacing w:after="0" w:line="283" w:lineRule="auto"/>
        <w:rPr>
          <w:sz w:val="20"/>
          <w:szCs w:val="20"/>
          <w:color w:val="auto"/>
        </w:rPr>
      </w:pPr>
      <w:r>
        <w:rPr>
          <w:rFonts w:ascii="Times New Roman" w:cs="Times New Roman" w:eastAsia="Times New Roman" w:hAnsi="Times New Roman"/>
          <w:sz w:val="14"/>
          <w:szCs w:val="14"/>
          <w:color w:val="auto"/>
        </w:rPr>
        <w:t>Level 1 instruments consisted of U.S. Government treasury securities, U.S. Government money market funds, and mutual funds because they were valued using quoted prices in active markets and can be redeemed on any business days with an intermediary.</w:t>
      </w:r>
    </w:p>
    <w:p>
      <w:pPr>
        <w:spacing w:after="0" w:line="125"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w:t>
      </w:r>
    </w:p>
    <w:p>
      <w:pPr>
        <w:spacing w:after="0" w:line="14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Changes in the fair value measurement of Level 3 liabilities related to unrealized gains (losses) resulting from remeasurement of the Company’s outstanding convertible notes and warrant liabilities (see Notes 7 and 8) are reflected in the change in fair value of convertible notes and change in fair value of warrant liabilities in the consolidated statements of operations.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change in the fair value of the Level 3 liabilities during the years ended December 31, 2024 and 2023 was as follows (in thousands):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700" w:type="dxa"/>
            <w:vAlign w:val="bottom"/>
          </w:tcPr>
          <w:p>
            <w:pPr>
              <w:spacing w:after="0"/>
              <w:rPr>
                <w:sz w:val="11"/>
                <w:szCs w:val="11"/>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Pay-to-Play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1"/>
                <w:szCs w:val="11"/>
                <w:color w:val="auto"/>
              </w:rPr>
              <w:t>2023</w:t>
            </w:r>
          </w:p>
        </w:tc>
        <w:tc>
          <w:tcPr>
            <w:tcW w:w="360" w:type="dxa"/>
            <w:vAlign w:val="bottom"/>
          </w:tcPr>
          <w:p>
            <w:pPr>
              <w:spacing w:after="0"/>
              <w:rPr>
                <w:sz w:val="11"/>
                <w:szCs w:val="11"/>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Warrant</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700" w:type="dxa"/>
            <w:vAlign w:val="bottom"/>
          </w:tcPr>
          <w:p>
            <w:pPr>
              <w:spacing w:after="0"/>
              <w:rPr>
                <w:sz w:val="10"/>
                <w:szCs w:val="10"/>
                <w:color w:val="auto"/>
              </w:rPr>
            </w:pPr>
          </w:p>
        </w:tc>
        <w:tc>
          <w:tcPr>
            <w:tcW w:w="540" w:type="dxa"/>
            <w:vAlign w:val="bottom"/>
            <w:gridSpan w:val="3"/>
          </w:tcPr>
          <w:p>
            <w:pPr>
              <w:spacing w:after="0" w:line="116" w:lineRule="exact"/>
              <w:rPr>
                <w:sz w:val="20"/>
                <w:szCs w:val="20"/>
                <w:color w:val="auto"/>
              </w:rPr>
            </w:pPr>
            <w:r>
              <w:rPr>
                <w:rFonts w:ascii="Times New Roman" w:cs="Times New Roman" w:eastAsia="Times New Roman" w:hAnsi="Times New Roman"/>
                <w:sz w:val="11"/>
                <w:szCs w:val="11"/>
                <w:color w:val="auto"/>
              </w:rPr>
              <w:t>Convertible</w:t>
            </w:r>
          </w:p>
        </w:tc>
        <w:tc>
          <w:tcPr>
            <w:tcW w:w="900" w:type="dxa"/>
            <w:vAlign w:val="bottom"/>
            <w:gridSpan w:val="3"/>
          </w:tcPr>
          <w:p>
            <w:pPr>
              <w:ind w:left="360"/>
              <w:spacing w:after="0" w:line="116" w:lineRule="exact"/>
              <w:rPr>
                <w:sz w:val="20"/>
                <w:szCs w:val="20"/>
                <w:color w:val="auto"/>
              </w:rPr>
            </w:pPr>
            <w:r>
              <w:rPr>
                <w:rFonts w:ascii="Times New Roman" w:cs="Times New Roman" w:eastAsia="Times New Roman" w:hAnsi="Times New Roman"/>
                <w:sz w:val="11"/>
                <w:szCs w:val="11"/>
                <w:color w:val="auto"/>
              </w:rPr>
              <w:t>Convertible</w:t>
            </w:r>
          </w:p>
        </w:tc>
        <w:tc>
          <w:tcPr>
            <w:tcW w:w="36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91"/>
              <w:spacing w:after="0"/>
              <w:rPr>
                <w:sz w:val="20"/>
                <w:szCs w:val="20"/>
                <w:color w:val="auto"/>
              </w:rPr>
            </w:pPr>
            <w:r>
              <w:rPr>
                <w:rFonts w:ascii="Times New Roman" w:cs="Times New Roman" w:eastAsia="Times New Roman" w:hAnsi="Times New Roman"/>
                <w:sz w:val="11"/>
                <w:szCs w:val="11"/>
                <w:color w:val="auto"/>
              </w:rPr>
              <w:t>notes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1"/>
                <w:szCs w:val="11"/>
                <w:color w:val="auto"/>
              </w:rPr>
              <w:t>notes</w:t>
            </w:r>
          </w:p>
        </w:tc>
        <w:tc>
          <w:tcPr>
            <w:tcW w:w="360" w:type="dxa"/>
            <w:vAlign w:val="bottom"/>
          </w:tcPr>
          <w:p>
            <w:pPr>
              <w:spacing w:after="0"/>
              <w:rPr>
                <w:sz w:val="11"/>
                <w:szCs w:val="11"/>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Balance at January 1, 2023</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3,139</w:t>
            </w:r>
          </w:p>
        </w:tc>
        <w:tc>
          <w:tcPr>
            <w:tcW w:w="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529</w:t>
            </w:r>
          </w:p>
        </w:tc>
        <w:tc>
          <w:tcPr>
            <w:tcW w:w="3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3,668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Reinstatement of common stock warrants as preferred stock 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Pay-to-Play convertible notes and related warrants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8,717</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Common rights offering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2023 convertible notes and related warrants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Pre-funded common stock 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14,641</w:t>
            </w:r>
          </w:p>
        </w:tc>
        <w:tc>
          <w:tcPr>
            <w:tcW w:w="3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18,064</w:t>
            </w:r>
          </w:p>
        </w:tc>
        <w:tc>
          <w:tcPr>
            <w:tcW w:w="3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2023 convertible note warrants and related warrants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105,902</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w:t>
            </w: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110,718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Pre-funded common stock 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3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132,687</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14,711</w:t>
            </w:r>
          </w:p>
        </w:tc>
        <w:tc>
          <w:tcPr>
            <w:tcW w:w="36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163,340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The Company’s convertible notes and related warrants were classified within level 3 of the fair value hierarchy because there was no active market for the liabilities or similar instruments.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F-61</w:t>
      </w:r>
    </w:p>
    <w:p>
      <w:pPr>
        <w:sectPr>
          <w:pgSz w:w="11900" w:h="16838" w:orient="portrait"/>
          <w:cols w:equalWidth="0" w:num="1">
            <w:col w:w="10159"/>
          </w:cols>
          <w:pgMar w:left="300" w:top="407"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359"/>
        <w:spacing w:after="0" w:line="267" w:lineRule="auto"/>
        <w:rPr>
          <w:sz w:val="20"/>
          <w:szCs w:val="20"/>
          <w:color w:val="auto"/>
        </w:rPr>
      </w:pPr>
      <w:r>
        <w:rPr>
          <w:rFonts w:ascii="Times New Roman" w:cs="Times New Roman" w:eastAsia="Times New Roman" w:hAnsi="Times New Roman"/>
          <w:sz w:val="14"/>
          <w:szCs w:val="14"/>
          <w:color w:val="auto"/>
        </w:rPr>
        <w:t>There were no transfers between Level 1, Level 2, or Level 3 of the fair value hierarchy during the years ended December 31, 2024 and 2023. Certain existing investors invested in P2P Notes during the year ended December 31, 2023, and accordingly, their common stock warrants were converted into Series D Shadow preferred stock warrants and reclassified as warrant liabilities (see Notes 7, 8 and 13).</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Effective with the Merger on January 13, 2025, all outstanding convertible notes and outstanding warrant liabilities were converted (see Note 1).</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5. Supplementary Balance Sheet Information</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Inventories consists of the following as of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Finished goods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87</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Work in progress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3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40" w:type="dxa"/>
            <w:vAlign w:val="bottom"/>
            <w:shd w:val="clear" w:color="auto" w:fill="CCEEFF"/>
          </w:tcPr>
          <w:p>
            <w:pPr>
              <w:spacing w:after="0"/>
              <w:rPr>
                <w:sz w:val="14"/>
                <w:szCs w:val="14"/>
                <w:color w:val="auto"/>
              </w:rPr>
            </w:pPr>
          </w:p>
        </w:tc>
      </w:tr>
      <w:tr>
        <w:trPr>
          <w:trHeight w:val="16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inventories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360" w:type="dxa"/>
            <w:vAlign w:val="bottom"/>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Prepaid expenses and other current assets consists of the following as of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Deferred offering costs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11,121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1,491</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Prepaid taxes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licenses and maintenance</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Advances paid to contract manufacturer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Prepaid subscriptions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3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40" w:type="dxa"/>
            <w:vAlign w:val="bottom"/>
            <w:shd w:val="clear" w:color="auto" w:fill="CCEEFF"/>
          </w:tcPr>
          <w:p>
            <w:pPr>
              <w:spacing w:after="0"/>
              <w:rPr>
                <w:sz w:val="14"/>
                <w:szCs w:val="14"/>
                <w:color w:val="auto"/>
              </w:rPr>
            </w:pPr>
          </w:p>
        </w:tc>
      </w:tr>
      <w:tr>
        <w:trPr>
          <w:trHeight w:val="169"/>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14,837</w:t>
            </w:r>
          </w:p>
        </w:tc>
        <w:tc>
          <w:tcPr>
            <w:tcW w:w="360" w:type="dxa"/>
            <w:vAlign w:val="bottom"/>
          </w:tcPr>
          <w:p>
            <w:pPr>
              <w:spacing w:after="0"/>
              <w:rPr>
                <w:sz w:val="14"/>
                <w:szCs w:val="14"/>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Property and equipment, net, consists of the following as of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9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Computer equipment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12,525</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13,108</w:t>
            </w:r>
          </w:p>
        </w:tc>
        <w:tc>
          <w:tcPr>
            <w:tcW w:w="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Software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Vehicles</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20,058</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(14,751)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(18,503)</w:t>
            </w:r>
          </w:p>
        </w:tc>
      </w:tr>
      <w:tr>
        <w:trPr>
          <w:trHeight w:val="16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839"/>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2024 and 2023, depreciation and amortization expense of property and equipment was $0.9 million and $2.0 million, respectively.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F-62</w:t>
      </w:r>
    </w:p>
    <w:p>
      <w:pPr>
        <w:sectPr>
          <w:pgSz w:w="11900" w:h="16838" w:orient="portrait"/>
          <w:cols w:equalWidth="0" w:num="1">
            <w:col w:w="10159"/>
          </w:cols>
          <w:pgMar w:left="300" w:top="407"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 and Other Current Liabilities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Accrued expenses and other current liabilities consists of the following as of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24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Inventory purchases</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3,289</w:t>
            </w:r>
          </w:p>
        </w:tc>
        <w:tc>
          <w:tcPr>
            <w:tcW w:w="3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$3,813</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 costs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3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4"/>
                <w:szCs w:val="14"/>
                <w:color w:val="auto"/>
              </w:rPr>
            </w:pPr>
          </w:p>
        </w:tc>
      </w:tr>
      <w:tr>
        <w:trPr>
          <w:trHeight w:val="169"/>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accrued and other current liabilities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11,996</w:t>
            </w:r>
          </w:p>
        </w:tc>
        <w:tc>
          <w:tcPr>
            <w:tcW w:w="3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7,464</w:t>
            </w: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Accrued Loss on Purchase Commitments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and 2023, accrued loss on purchase commitments were $0.6 million and $3.6 million, respectively (see Note 12).</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Accrued Compensation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Accrued compensation consists of the following as of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Vacation</w:t>
            </w:r>
          </w:p>
        </w:tc>
        <w:tc>
          <w:tcPr>
            <w:tcW w:w="18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652</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804</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401K payable</w:t>
            </w:r>
          </w:p>
        </w:tc>
        <w:tc>
          <w:tcPr>
            <w:tcW w:w="1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Wages</w:t>
            </w: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Statutory liabilities</w:t>
            </w:r>
          </w:p>
        </w:tc>
        <w:tc>
          <w:tcPr>
            <w:tcW w:w="1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8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accrued compensation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1,613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1,938</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6. Income Taxes</w:t>
      </w:r>
    </w:p>
    <w:p>
      <w:pPr>
        <w:spacing w:after="0" w:line="93"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4"/>
          <w:szCs w:val="14"/>
          <w:color w:val="auto"/>
        </w:rPr>
        <w:t>The following represents the domestic and foreign components of loss from operations before income taxes for the years ended December 31, 2024 and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2023 (in thousands):</w:t>
      </w:r>
    </w:p>
    <w:p>
      <w:pPr>
        <w:spacing w:after="0" w:line="177"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100" w:type="dxa"/>
            <w:vAlign w:val="bottom"/>
            <w:gridSpan w:val="2"/>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Pr>
          <w:p>
            <w:pPr>
              <w:spacing w:after="0"/>
              <w:rPr>
                <w:sz w:val="11"/>
                <w:szCs w:val="11"/>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4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United States</w:t>
            </w:r>
          </w:p>
        </w:tc>
        <w:tc>
          <w:tcPr>
            <w:tcW w:w="25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$(64,690)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1"/>
              </w:rPr>
              <w:t>$(89,525)</w:t>
            </w:r>
          </w:p>
        </w:tc>
        <w:tc>
          <w:tcPr>
            <w:tcW w:w="8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25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loss before income taxes</w:t>
            </w:r>
          </w:p>
        </w:tc>
        <w:tc>
          <w:tcPr>
            <w:tcW w:w="3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(62,147)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(88,187)</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320" w:type="dxa"/>
            <w:vAlign w:val="bottom"/>
            <w:gridSpan w:val="3"/>
          </w:tcPr>
          <w:p>
            <w:pPr>
              <w:jc w:val="right"/>
              <w:ind w:right="2340"/>
              <w:spacing w:after="0"/>
              <w:rPr>
                <w:sz w:val="20"/>
                <w:szCs w:val="20"/>
                <w:color w:val="auto"/>
              </w:rPr>
            </w:pPr>
            <w:r>
              <w:rPr>
                <w:rFonts w:ascii="Times New Roman" w:cs="Times New Roman" w:eastAsia="Times New Roman" w:hAnsi="Times New Roman"/>
                <w:sz w:val="14"/>
                <w:szCs w:val="14"/>
                <w:color w:val="auto"/>
              </w:rPr>
              <w:t>F-63</w:t>
            </w: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The Company’s components of the benefit from income taxes consists of the following for the years ended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Current:</w:t>
            </w:r>
          </w:p>
        </w:tc>
        <w:tc>
          <w:tcPr>
            <w:tcW w:w="1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US Federal</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(256)</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 — 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States</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Federal</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US States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w:t>
            </w: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2"/>
              </w:rPr>
              <w:t>(1,124)</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7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deferred</w:t>
            </w:r>
          </w:p>
        </w:tc>
        <w:tc>
          <w:tcPr>
            <w:tcW w:w="18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3"/>
              </w:rPr>
              <w:t>(1,124)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from income taxes</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(952)</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Income tax expense differs from the amount of income tax determined by applying the U.S. federal statutory income tax rate of 21% to pretax loss as a result of the following differences for the years ended December 31, 2024 and 2023 ($ in thousands):</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6"/>
        </w:trPr>
        <w:tc>
          <w:tcPr>
            <w:tcW w:w="3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60" w:type="dxa"/>
            <w:vAlign w:val="bottom"/>
            <w:gridSpan w:val="3"/>
          </w:tcPr>
          <w:p>
            <w:pPr>
              <w:jc w:val="right"/>
              <w:ind w:right="400"/>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460" w:type="dxa"/>
            <w:vAlign w:val="bottom"/>
            <w:gridSpan w:val="2"/>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w w:val="94"/>
              </w:rPr>
              <w:t>Percent</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3"/>
          </w:tcPr>
          <w:p>
            <w:pPr>
              <w:jc w:val="right"/>
              <w:ind w:right="420"/>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460" w:type="dxa"/>
            <w:vAlign w:val="bottom"/>
            <w:gridSpan w:val="2"/>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60" w:type="dxa"/>
            <w:vAlign w:val="bottom"/>
          </w:tcPr>
          <w:p>
            <w:pPr>
              <w:spacing w:after="0"/>
              <w:rPr>
                <w:sz w:val="9"/>
                <w:szCs w:val="9"/>
                <w:color w:val="auto"/>
              </w:rPr>
            </w:pPr>
          </w:p>
        </w:tc>
      </w:tr>
      <w:tr>
        <w:trPr>
          <w:trHeight w:val="159"/>
        </w:trPr>
        <w:tc>
          <w:tcPr>
            <w:tcW w:w="35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Pretax loss</w:t>
            </w:r>
          </w:p>
        </w:tc>
        <w:tc>
          <w:tcPr>
            <w:tcW w:w="10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(62,147)</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7"/>
              </w:rPr>
              <w:t>(88,187)</w:t>
            </w:r>
          </w:p>
        </w:tc>
        <w:tc>
          <w:tcPr>
            <w:tcW w:w="3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Federal tax at statutory rate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w w:val="96"/>
              </w:rPr>
              <w:t>(13,049)</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w w:val="96"/>
              </w:rPr>
              <w:t>(18,522)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taxes, net of federal benefit</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Gain on remeasurement of warrant liability</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3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equity financing charge (permanent difference)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7,525</w:t>
            </w:r>
          </w:p>
        </w:tc>
        <w:tc>
          <w:tcPr>
            <w:tcW w:w="3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3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36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to accrual adjustment</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(896)</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(433)</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0.5%</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36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credits</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(1,211)</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(539)</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Uncertain tax positions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34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36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-0.3%</w:t>
            </w:r>
          </w:p>
        </w:tc>
      </w:tr>
      <w:tr>
        <w:trPr>
          <w:trHeight w:val="16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10,290</w:t>
            </w:r>
          </w:p>
        </w:tc>
        <w:tc>
          <w:tcPr>
            <w:tcW w:w="34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7,936</w:t>
            </w:r>
          </w:p>
        </w:tc>
        <w:tc>
          <w:tcPr>
            <w:tcW w:w="3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w:t>
            </w:r>
          </w:p>
        </w:tc>
      </w:tr>
      <w:tr>
        <w:trPr>
          <w:trHeight w:val="168"/>
        </w:trPr>
        <w:tc>
          <w:tcPr>
            <w:tcW w:w="358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(796)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(567)</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r>
      <w:tr>
        <w:trPr>
          <w:trHeight w:val="21"/>
        </w:trPr>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68"/>
        </w:trPr>
        <w:tc>
          <w:tcPr>
            <w:tcW w:w="35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(952)</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(598)</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0.7%</w:t>
            </w:r>
          </w:p>
        </w:tc>
      </w:tr>
      <w:tr>
        <w:trPr>
          <w:trHeight w:val="20"/>
        </w:trPr>
        <w:tc>
          <w:tcPr>
            <w:tcW w:w="3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6"/>
        </w:trPr>
        <w:tc>
          <w:tcPr>
            <w:tcW w:w="3580" w:type="dxa"/>
            <w:vAlign w:val="bottom"/>
          </w:tcPr>
          <w:p>
            <w:pPr>
              <w:spacing w:after="0"/>
              <w:rPr>
                <w:sz w:val="23"/>
                <w:szCs w:val="23"/>
                <w:color w:val="auto"/>
              </w:rPr>
            </w:pPr>
          </w:p>
        </w:tc>
        <w:tc>
          <w:tcPr>
            <w:tcW w:w="1140" w:type="dxa"/>
            <w:vAlign w:val="bottom"/>
            <w:gridSpan w:val="2"/>
          </w:tcPr>
          <w:p>
            <w:pPr>
              <w:jc w:val="right"/>
              <w:ind w:right="584"/>
              <w:spacing w:after="0"/>
              <w:rPr>
                <w:sz w:val="20"/>
                <w:szCs w:val="20"/>
                <w:color w:val="auto"/>
              </w:rPr>
            </w:pPr>
            <w:r>
              <w:rPr>
                <w:rFonts w:ascii="Times New Roman" w:cs="Times New Roman" w:eastAsia="Times New Roman" w:hAnsi="Times New Roman"/>
                <w:sz w:val="14"/>
                <w:szCs w:val="14"/>
                <w:color w:val="auto"/>
              </w:rPr>
              <w:t>F-64</w:t>
            </w: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components of the Company’s deferred tax assets and liabilities are as follows as of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Deferred tax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55,739</w:t>
            </w:r>
          </w:p>
        </w:tc>
        <w:tc>
          <w:tcPr>
            <w:tcW w:w="26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credit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Other reserves and accrued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Capitalized R&amp;D Sec 174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6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deferred tax assets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78,060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(75,826)</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6"/>
              </w:rPr>
              <w:t>(60,937)</w:t>
            </w:r>
          </w:p>
        </w:tc>
        <w:tc>
          <w:tcPr>
            <w:tcW w:w="0" w:type="dxa"/>
            <w:vAlign w:val="bottom"/>
          </w:tcPr>
          <w:p>
            <w:pPr>
              <w:spacing w:after="0"/>
              <w:rPr>
                <w:sz w:val="1"/>
                <w:szCs w:val="1"/>
                <w:color w:val="auto"/>
              </w:rPr>
            </w:pPr>
          </w:p>
        </w:tc>
      </w:tr>
      <w:tr>
        <w:trPr>
          <w:trHeight w:val="16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deferred tax assets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9"/>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net deferred tax assets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2024 and 2023, the valuation allowance was $75.8 million and $60.9 million, respectively. The increase of $14.9 million in the Company’s valuation allowance as of December 31, 2024 compared to the prior year was primarily due to an increase in deferred tax assets arising from capitalized research and experimental expenditures and net operating losses.</w:t>
      </w:r>
    </w:p>
    <w:p>
      <w:pPr>
        <w:spacing w:after="0" w:line="144" w:lineRule="exact"/>
        <w:rPr>
          <w:sz w:val="20"/>
          <w:szCs w:val="20"/>
          <w:color w:val="auto"/>
        </w:rPr>
      </w:pPr>
    </w:p>
    <w:p>
      <w:pPr>
        <w:ind w:left="1360" w:right="239"/>
        <w:spacing w:after="0" w:line="283" w:lineRule="auto"/>
        <w:rPr>
          <w:sz w:val="20"/>
          <w:szCs w:val="20"/>
          <w:color w:val="auto"/>
        </w:rPr>
      </w:pPr>
      <w:r>
        <w:rPr>
          <w:rFonts w:ascii="Times New Roman" w:cs="Times New Roman" w:eastAsia="Times New Roman" w:hAnsi="Times New Roman"/>
          <w:sz w:val="13"/>
          <w:szCs w:val="13"/>
          <w:color w:val="auto"/>
        </w:rPr>
        <w:t>At December 31, 2024, the Company had U.S. federal net operating loss (“NOL”) carryforwards of $215.5 million and U.S. state NOL carryforwards of $149.9 million. The U.S. federal NOL carryforwards will begin to expire in the year 2030 and the state NOL carryforwards will also begin to expire in the year 2030. As of December 31, 2024, the Company had federal tax credit carryforwards of $5.7 million available to offset future U.S. federal income taxes payable, which will begin to expire in the year 2035. As of December 31, 2024, the Company had state tax credit carryforwards of $4.3 million available to offset future state income taxes payable and foreign tax credits of $97.2 million available to offset future India income taxes payable.</w:t>
      </w:r>
    </w:p>
    <w:p>
      <w:pPr>
        <w:spacing w:after="0" w:line="128"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43" w:lineRule="exact"/>
        <w:rPr>
          <w:sz w:val="20"/>
          <w:szCs w:val="20"/>
          <w:color w:val="auto"/>
        </w:rPr>
      </w:pPr>
    </w:p>
    <w:p>
      <w:pPr>
        <w:ind w:left="1360" w:right="699"/>
        <w:spacing w:after="0" w:line="283" w:lineRule="auto"/>
        <w:rPr>
          <w:sz w:val="20"/>
          <w:szCs w:val="20"/>
          <w:color w:val="auto"/>
        </w:rPr>
      </w:pPr>
      <w:r>
        <w:rPr>
          <w:rFonts w:ascii="Times New Roman" w:cs="Times New Roman" w:eastAsia="Times New Roman" w:hAnsi="Times New Roman"/>
          <w:sz w:val="14"/>
          <w:szCs w:val="14"/>
          <w:color w:val="auto"/>
        </w:rPr>
        <w:t>It is the Company’s policy to include penalties and interest expense related to income taxes as a component of income tax expense. Management determined that no accrual for interest and penalties was required as of December 31, 2024 and 2023.</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F-65</w:t>
      </w:r>
    </w:p>
    <w:p>
      <w:pPr>
        <w:sectPr>
          <w:pgSz w:w="11900" w:h="16838" w:orient="portrait"/>
          <w:cols w:equalWidth="0" w:num="1">
            <w:col w:w="10159"/>
          </w:cols>
          <w:pgMar w:left="300" w:top="407"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w:t>
      </w:r>
    </w:p>
    <w:p>
      <w:pPr>
        <w:spacing w:after="0" w:line="136"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It is the Company’s policy to indefinitely reinvest undistributed earnings of their foreign subsidiaries and hence, no deferred tax liability for withholding taxes on undistributed earnings is required.</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91" w:lineRule="exact"/>
        <w:rPr>
          <w:sz w:val="20"/>
          <w:szCs w:val="20"/>
          <w:color w:val="auto"/>
        </w:rPr>
      </w:pPr>
    </w:p>
    <w:p>
      <w:pPr>
        <w:ind w:left="1360" w:right="459"/>
        <w:spacing w:after="0" w:line="286" w:lineRule="auto"/>
        <w:rPr>
          <w:sz w:val="20"/>
          <w:szCs w:val="20"/>
          <w:color w:val="auto"/>
        </w:rPr>
      </w:pPr>
      <w:r>
        <w:rPr>
          <w:rFonts w:ascii="Times New Roman" w:cs="Times New Roman" w:eastAsia="Times New Roman" w:hAnsi="Times New Roman"/>
          <w:sz w:val="14"/>
          <w:szCs w:val="14"/>
          <w:color w:val="auto"/>
        </w:rPr>
        <w:t xml:space="preserve">The Company applied FASB ASC 740-10-50, </w:t>
      </w:r>
      <w:r>
        <w:rPr>
          <w:rFonts w:ascii="Times New Roman" w:cs="Times New Roman" w:eastAsia="Times New Roman" w:hAnsi="Times New Roman"/>
          <w:sz w:val="14"/>
          <w:szCs w:val="14"/>
          <w:i w:val="1"/>
          <w:iCs w:val="1"/>
          <w:color w:val="auto"/>
        </w:rPr>
        <w:t>Accounting for Uncertainty in Income Tax</w:t>
      </w:r>
      <w:r>
        <w:rPr>
          <w:rFonts w:ascii="Times New Roman" w:cs="Times New Roman" w:eastAsia="Times New Roman" w:hAnsi="Times New Roman"/>
          <w:sz w:val="14"/>
          <w:szCs w:val="14"/>
          <w:color w:val="auto"/>
        </w:rPr>
        <w:t>, which prescribes a recognition threshold and measurement attribute for the financial statement recognition and measurement of a tax position taken or expected to be taken in a tax return.</w:t>
      </w:r>
    </w:p>
    <w:p>
      <w:pPr>
        <w:spacing w:after="0" w:line="123"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The Company had unrecognized tax benefits of approximately $5.0 million and $4.3 million as of December 31, 2024 and 2023,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beginning and ending unrecognized tax benefits amounts is as follows as of December 31, 2024 and 2023 (in thousands):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60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1"/>
                <w:szCs w:val="11"/>
                <w:color w:val="auto"/>
              </w:rPr>
            </w:pPr>
          </w:p>
        </w:tc>
      </w:tr>
      <w:tr>
        <w:trPr>
          <w:trHeight w:val="159"/>
        </w:trPr>
        <w:tc>
          <w:tcPr>
            <w:tcW w:w="60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Unrecognized tax benefits, beginning of period</w:t>
            </w: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$4,283</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$3,811</w:t>
            </w:r>
          </w:p>
        </w:tc>
        <w:tc>
          <w:tcPr>
            <w:tcW w:w="40" w:type="dxa"/>
            <w:vAlign w:val="bottom"/>
            <w:shd w:val="clear" w:color="auto" w:fill="CCEEFF"/>
          </w:tcPr>
          <w:p>
            <w:pPr>
              <w:spacing w:after="0"/>
              <w:rPr>
                <w:sz w:val="13"/>
                <w:szCs w:val="13"/>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Additions based on tax positions taken related to prior years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 based on tax positions taken related to current period</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705</w:t>
            </w:r>
          </w:p>
        </w:tc>
        <w:tc>
          <w:tcPr>
            <w:tcW w:w="3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472</w:t>
            </w:r>
          </w:p>
        </w:tc>
      </w:tr>
      <w:tr>
        <w:trPr>
          <w:trHeight w:val="169"/>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Unrecognized tax benefits, end of period</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5,000</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4,283</w:t>
            </w:r>
          </w:p>
        </w:tc>
        <w:tc>
          <w:tcPr>
            <w:tcW w:w="40" w:type="dxa"/>
            <w:vAlign w:val="bottom"/>
          </w:tcPr>
          <w:p>
            <w:pPr>
              <w:spacing w:after="0"/>
              <w:rPr>
                <w:sz w:val="14"/>
                <w:szCs w:val="14"/>
                <w:color w:val="auto"/>
              </w:rPr>
            </w:pP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7. Convertible Notes and Demand Notes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2022 Convertible Securities:</w:t>
      </w:r>
    </w:p>
    <w:p>
      <w:pPr>
        <w:spacing w:after="0" w:line="8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Pay-to-Play Convertible Notes:</w:t>
      </w:r>
    </w:p>
    <w:p>
      <w:pPr>
        <w:spacing w:after="0" w:line="93" w:lineRule="exact"/>
        <w:rPr>
          <w:sz w:val="20"/>
          <w:szCs w:val="20"/>
          <w:color w:val="auto"/>
        </w:rPr>
      </w:pPr>
    </w:p>
    <w:p>
      <w:pPr>
        <w:ind w:left="1360" w:right="319"/>
        <w:spacing w:after="0" w:line="257" w:lineRule="auto"/>
        <w:rPr>
          <w:sz w:val="20"/>
          <w:szCs w:val="20"/>
          <w:color w:val="auto"/>
        </w:rPr>
      </w:pPr>
      <w:r>
        <w:rPr>
          <w:rFonts w:ascii="Times New Roman" w:cs="Times New Roman" w:eastAsia="Times New Roman" w:hAnsi="Times New Roman"/>
          <w:sz w:val="14"/>
          <w:szCs w:val="14"/>
          <w:color w:val="auto"/>
        </w:rPr>
        <w:t>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w:t>
      </w:r>
    </w:p>
    <w:p>
      <w:pPr>
        <w:spacing w:after="0" w:line="1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2022 P2P NPA provides that the P2P Notes may be converted as follows:</w:t>
      </w:r>
    </w:p>
    <w:p>
      <w:pPr>
        <w:spacing w:after="0" w:line="102" w:lineRule="exact"/>
        <w:rPr>
          <w:sz w:val="20"/>
          <w:szCs w:val="20"/>
          <w:color w:val="auto"/>
        </w:rPr>
      </w:pPr>
    </w:p>
    <w:p>
      <w:pPr>
        <w:ind w:left="1700" w:right="219" w:hanging="261"/>
        <w:spacing w:after="0" w:line="261" w:lineRule="auto"/>
        <w:tabs>
          <w:tab w:leader="none" w:pos="1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w:t>
      </w:r>
    </w:p>
    <w:p>
      <w:pPr>
        <w:spacing w:after="0" w:line="67" w:lineRule="exact"/>
        <w:rPr>
          <w:rFonts w:ascii="Times New Roman" w:cs="Times New Roman" w:eastAsia="Times New Roman" w:hAnsi="Times New Roman"/>
          <w:sz w:val="14"/>
          <w:szCs w:val="14"/>
          <w:color w:val="auto"/>
        </w:rPr>
      </w:pPr>
    </w:p>
    <w:p>
      <w:pPr>
        <w:ind w:left="1700" w:right="299" w:hanging="261"/>
        <w:spacing w:after="0" w:line="283" w:lineRule="auto"/>
        <w:tabs>
          <w:tab w:leader="none" w:pos="17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Next Equity Financing conversion, Corporate Transaction conversion or repayment of the outstanding principal and unpaid accrued interest has not occurred on or before the maturity date (December 9, 2024),</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F-66</w:t>
      </w:r>
    </w:p>
    <w:p>
      <w:pPr>
        <w:sectPr>
          <w:pgSz w:w="11900" w:h="16838" w:orient="portrait"/>
          <w:cols w:equalWidth="0" w:num="1">
            <w:col w:w="10159"/>
          </w:cols>
          <w:pgMar w:left="300" w:top="407"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700" w:right="259"/>
        <w:spacing w:after="0" w:line="296" w:lineRule="auto"/>
        <w:rPr>
          <w:sz w:val="20"/>
          <w:szCs w:val="20"/>
          <w:color w:val="auto"/>
        </w:rPr>
      </w:pPr>
      <w:r>
        <w:rPr>
          <w:rFonts w:ascii="Times New Roman" w:cs="Times New Roman" w:eastAsia="Times New Roman" w:hAnsi="Times New Roman"/>
          <w:sz w:val="13"/>
          <w:szCs w:val="13"/>
          <w:color w:val="auto"/>
        </w:rPr>
        <w:t>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w:t>
      </w:r>
    </w:p>
    <w:p>
      <w:pPr>
        <w:spacing w:after="0" w:line="46" w:lineRule="exact"/>
        <w:rPr>
          <w:sz w:val="20"/>
          <w:szCs w:val="20"/>
          <w:color w:val="auto"/>
        </w:rPr>
      </w:pPr>
    </w:p>
    <w:p>
      <w:pPr>
        <w:ind w:left="1700" w:right="239" w:hanging="261"/>
        <w:spacing w:after="0" w:line="267" w:lineRule="auto"/>
        <w:tabs>
          <w:tab w:leader="none" w:pos="17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w:t>
      </w:r>
    </w:p>
    <w:p>
      <w:pPr>
        <w:spacing w:after="0" w:line="61" w:lineRule="exact"/>
        <w:rPr>
          <w:rFonts w:ascii="Times New Roman" w:cs="Times New Roman" w:eastAsia="Times New Roman" w:hAnsi="Times New Roman"/>
          <w:sz w:val="14"/>
          <w:szCs w:val="14"/>
          <w:color w:val="auto"/>
        </w:rPr>
      </w:pPr>
    </w:p>
    <w:p>
      <w:pPr>
        <w:ind w:left="1700" w:right="439" w:hanging="261"/>
        <w:spacing w:after="0" w:line="261" w:lineRule="auto"/>
        <w:tabs>
          <w:tab w:leader="none" w:pos="17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w:t>
      </w:r>
    </w:p>
    <w:p>
      <w:pPr>
        <w:spacing w:after="0" w:line="67" w:lineRule="exact"/>
        <w:rPr>
          <w:rFonts w:ascii="Times New Roman" w:cs="Times New Roman" w:eastAsia="Times New Roman" w:hAnsi="Times New Roman"/>
          <w:sz w:val="14"/>
          <w:szCs w:val="14"/>
          <w:color w:val="auto"/>
        </w:rPr>
      </w:pPr>
    </w:p>
    <w:p>
      <w:pPr>
        <w:ind w:left="1700" w:right="339" w:hanging="261"/>
        <w:spacing w:after="0" w:line="296" w:lineRule="auto"/>
        <w:tabs>
          <w:tab w:leader="none" w:pos="17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w:t>
      </w:r>
    </w:p>
    <w:p>
      <w:pPr>
        <w:spacing w:after="0" w:line="120"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w:t>
      </w:r>
    </w:p>
    <w:p>
      <w:pPr>
        <w:spacing w:after="0" w:line="141" w:lineRule="exact"/>
        <w:rPr>
          <w:sz w:val="20"/>
          <w:szCs w:val="20"/>
          <w:color w:val="auto"/>
        </w:rPr>
      </w:pPr>
    </w:p>
    <w:p>
      <w:pPr>
        <w:ind w:left="1360" w:right="239"/>
        <w:spacing w:after="0" w:line="254" w:lineRule="auto"/>
        <w:rPr>
          <w:sz w:val="20"/>
          <w:szCs w:val="20"/>
          <w:color w:val="auto"/>
        </w:rPr>
      </w:pPr>
      <w:r>
        <w:rPr>
          <w:rFonts w:ascii="Times New Roman" w:cs="Times New Roman" w:eastAsia="Times New Roman" w:hAnsi="Times New Roman"/>
          <w:sz w:val="14"/>
          <w:szCs w:val="14"/>
          <w:color w:val="auto"/>
        </w:rPr>
        <w:t>The Company elected to measure the P2P Notes in their entirety, for the respective period issued,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2024 and 2023, the Company recognized a change in fair value from the P2P Notes of approximately $1.3 million and $2.6 million, respectively (see Notes 4 and 13). Upfront costs and fees related to items for which the fair value option is elected must be recognized immediately. As such issuance costs (warrants) and fees associated with the convertible notes were recognized in current earnings.</w:t>
      </w:r>
    </w:p>
    <w:p>
      <w:pPr>
        <w:spacing w:after="0" w:line="149"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F-67</w:t>
      </w:r>
    </w:p>
    <w:p>
      <w:pPr>
        <w:sectPr>
          <w:pgSz w:w="11900" w:h="16838" w:orient="portrait"/>
          <w:cols w:equalWidth="0" w:num="1">
            <w:col w:w="10159"/>
          </w:cols>
          <w:pgMar w:left="300" w:top="407"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w:t>
      </w:r>
    </w:p>
    <w:p>
      <w:pPr>
        <w:spacing w:after="0" w:line="13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During the year ended December 31,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warrants (see Note 8). The fair value of the Series D warrants at reinstatement, approximating $61,000, was recognized as a component of the Pay-to-Play financing charge for the year ended December 31, 2023.</w:t>
      </w:r>
    </w:p>
    <w:p>
      <w:pPr>
        <w:spacing w:after="0" w:line="144"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During the year ended December 31, 2024, the Company did not enter into any Exchange Agreements with eligible common shareholders.</w:t>
      </w:r>
    </w:p>
    <w:p>
      <w:pPr>
        <w:spacing w:after="0" w:line="144" w:lineRule="exact"/>
        <w:rPr>
          <w:sz w:val="20"/>
          <w:szCs w:val="20"/>
          <w:color w:val="auto"/>
        </w:rPr>
      </w:pPr>
    </w:p>
    <w:p>
      <w:pPr>
        <w:ind w:left="1360" w:right="539"/>
        <w:spacing w:after="0" w:line="283" w:lineRule="auto"/>
        <w:rPr>
          <w:sz w:val="20"/>
          <w:szCs w:val="20"/>
          <w:color w:val="auto"/>
        </w:rPr>
      </w:pPr>
      <w:r>
        <w:rPr>
          <w:rFonts w:ascii="Times New Roman" w:cs="Times New Roman" w:eastAsia="Times New Roman" w:hAnsi="Times New Roman"/>
          <w:sz w:val="14"/>
          <w:szCs w:val="14"/>
          <w:color w:val="auto"/>
        </w:rPr>
        <w:t>On the Closing Date, as provided by the terms of the P2P notes, the outstanding P2P Notes were converted, at the option of the holders, to common stock upon the execution of the Merger (see Note 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2023 Convertible Notes:</w:t>
      </w:r>
    </w:p>
    <w:p>
      <w:pPr>
        <w:spacing w:after="0" w:line="93" w:lineRule="exact"/>
        <w:rPr>
          <w:sz w:val="20"/>
          <w:szCs w:val="20"/>
          <w:color w:val="auto"/>
        </w:rPr>
      </w:pPr>
    </w:p>
    <w:p>
      <w:pPr>
        <w:ind w:left="1360" w:right="319"/>
        <w:spacing w:after="0" w:line="261" w:lineRule="auto"/>
        <w:rPr>
          <w:sz w:val="20"/>
          <w:szCs w:val="20"/>
          <w:color w:val="auto"/>
        </w:rPr>
      </w:pPr>
      <w:r>
        <w:rPr>
          <w:rFonts w:ascii="Times New Roman" w:cs="Times New Roman" w:eastAsia="Times New Roman" w:hAnsi="Times New Roman"/>
          <w:sz w:val="14"/>
          <w:szCs w:val="14"/>
          <w:color w:val="auto"/>
        </w:rPr>
        <w:t>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w:t>
      </w:r>
    </w:p>
    <w:p>
      <w:pPr>
        <w:spacing w:after="0" w:line="141"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During the year ended December 31,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w:t>
      </w:r>
    </w:p>
    <w:p>
      <w:pPr>
        <w:spacing w:after="0" w:line="14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F-68</w:t>
      </w:r>
    </w:p>
    <w:p>
      <w:pPr>
        <w:sectPr>
          <w:pgSz w:w="11900" w:h="16838" w:orient="portrait"/>
          <w:cols w:equalWidth="0" w:num="1">
            <w:col w:w="10159"/>
          </w:cols>
          <w:pgMar w:left="300" w:top="407"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Of the $110.7 million in proceeds received during the year ended December 31, 2024, $11.5 million was received from BurTech (see Note 1),</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$2.4 million from miscellaneous parties, and $96.8 million from a separate third-party group of investors (the “RT Parties”) in connection with an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 to provide convertible note financing of up to $125.0 million (the “Blaize Note Financing Agreement”). Under this separate agreement,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RT Parties and their transferees or distributes will not be required to execute any lock-up or similar agreement restricting transfer or disposition of all</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shares of common stock of Blaize issuable upon the conversion of the notes, all Company shares issuable upon the exercise of warrants issued to the RT</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Parties as well as all securities of New Blaize to be issued to the RT Parties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upon consummation of the merger.</w:t>
      </w:r>
    </w:p>
    <w:p>
      <w:pPr>
        <w:spacing w:after="0" w:line="16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2023 NPA provides that the notes may be converted as follows:</w:t>
      </w:r>
    </w:p>
    <w:p>
      <w:pPr>
        <w:spacing w:after="0" w:line="102" w:lineRule="exact"/>
        <w:rPr>
          <w:sz w:val="20"/>
          <w:szCs w:val="20"/>
          <w:color w:val="auto"/>
        </w:rPr>
      </w:pPr>
    </w:p>
    <w:p>
      <w:pPr>
        <w:ind w:left="1700" w:right="319" w:hanging="261"/>
        <w:spacing w:after="0" w:line="261"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w:t>
      </w:r>
    </w:p>
    <w:p>
      <w:pPr>
        <w:spacing w:after="0" w:line="67" w:lineRule="exact"/>
        <w:rPr>
          <w:rFonts w:ascii="Times New Roman" w:cs="Times New Roman" w:eastAsia="Times New Roman" w:hAnsi="Times New Roman"/>
          <w:sz w:val="14"/>
          <w:szCs w:val="14"/>
          <w:color w:val="auto"/>
        </w:rPr>
      </w:pPr>
    </w:p>
    <w:p>
      <w:pPr>
        <w:ind w:left="1700" w:right="219" w:hanging="261"/>
        <w:spacing w:after="0" w:line="258"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w:t>
      </w:r>
    </w:p>
    <w:p>
      <w:pPr>
        <w:spacing w:after="0" w:line="70" w:lineRule="exact"/>
        <w:rPr>
          <w:rFonts w:ascii="Times New Roman" w:cs="Times New Roman" w:eastAsia="Times New Roman" w:hAnsi="Times New Roman"/>
          <w:sz w:val="14"/>
          <w:szCs w:val="14"/>
          <w:color w:val="auto"/>
        </w:rPr>
      </w:pPr>
    </w:p>
    <w:p>
      <w:pPr>
        <w:jc w:val="both"/>
        <w:ind w:left="1700" w:right="299" w:hanging="261"/>
        <w:spacing w:after="0" w:line="323" w:lineRule="auto"/>
        <w:tabs>
          <w:tab w:leader="none" w:pos="17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w:t>
      </w:r>
    </w:p>
    <w:p>
      <w:pPr>
        <w:spacing w:after="0" w:line="28" w:lineRule="exact"/>
        <w:rPr>
          <w:rFonts w:ascii="Times New Roman" w:cs="Times New Roman" w:eastAsia="Times New Roman" w:hAnsi="Times New Roman"/>
          <w:sz w:val="13"/>
          <w:szCs w:val="13"/>
          <w:color w:val="auto"/>
        </w:rPr>
      </w:pPr>
    </w:p>
    <w:p>
      <w:pPr>
        <w:ind w:left="1700" w:right="239" w:hanging="261"/>
        <w:spacing w:after="0" w:line="283"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w:t>
      </w:r>
    </w:p>
    <w:p>
      <w:pPr>
        <w:spacing w:after="0" w:line="51" w:lineRule="exact"/>
        <w:rPr>
          <w:rFonts w:ascii="Times New Roman" w:cs="Times New Roman" w:eastAsia="Times New Roman" w:hAnsi="Times New Roman"/>
          <w:sz w:val="14"/>
          <w:szCs w:val="14"/>
          <w:color w:val="auto"/>
        </w:rPr>
      </w:pPr>
    </w:p>
    <w:p>
      <w:pPr>
        <w:ind w:left="1700" w:right="299" w:hanging="261"/>
        <w:spacing w:after="0" w:line="258"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w:t>
      </w:r>
    </w:p>
    <w:p>
      <w:pPr>
        <w:spacing w:after="0" w:line="70" w:lineRule="exact"/>
        <w:rPr>
          <w:rFonts w:ascii="Times New Roman" w:cs="Times New Roman" w:eastAsia="Times New Roman" w:hAnsi="Times New Roman"/>
          <w:sz w:val="14"/>
          <w:szCs w:val="14"/>
          <w:color w:val="auto"/>
        </w:rPr>
      </w:pPr>
    </w:p>
    <w:p>
      <w:pPr>
        <w:ind w:left="1700" w:right="279" w:hanging="261"/>
        <w:spacing w:after="0" w:line="257"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w:t>
      </w:r>
    </w:p>
    <w:p>
      <w:pPr>
        <w:spacing w:after="0" w:line="69" w:lineRule="exact"/>
        <w:rPr>
          <w:rFonts w:ascii="Times New Roman" w:cs="Times New Roman" w:eastAsia="Times New Roman" w:hAnsi="Times New Roman"/>
          <w:sz w:val="14"/>
          <w:szCs w:val="14"/>
          <w:color w:val="auto"/>
        </w:rPr>
      </w:pPr>
    </w:p>
    <w:p>
      <w:pPr>
        <w:ind w:left="1700" w:right="499" w:hanging="261"/>
        <w:spacing w:after="0" w:line="283"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Corporate Transaction (any “Liquidation Event” as defined in the existing Certificate of Incorporation), the 2023 Convertible Notes shall be repaid as follows at the closing of the Corporate Transaction:</w:t>
      </w:r>
    </w:p>
    <w:p>
      <w:pPr>
        <w:spacing w:after="0" w:line="51" w:lineRule="exact"/>
        <w:rPr>
          <w:rFonts w:ascii="Times New Roman" w:cs="Times New Roman" w:eastAsia="Times New Roman" w:hAnsi="Times New Roman"/>
          <w:sz w:val="14"/>
          <w:szCs w:val="14"/>
          <w:color w:val="auto"/>
        </w:rPr>
      </w:pPr>
    </w:p>
    <w:p>
      <w:pPr>
        <w:ind w:left="1700" w:right="359" w:hanging="261"/>
        <w:spacing w:after="0" w:line="283" w:lineRule="auto"/>
        <w:tabs>
          <w:tab w:leader="none" w:pos="17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Lender who purchased a 2023 Convertible Note on or before July 3, 2023, in respect of a Corporate Transaction that occurs on or before July 3, 2024, an amount equal to the then accrued but unpaid interest plus three (3) times the then outstanding principal.</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F-69</w:t>
      </w:r>
    </w:p>
    <w:p>
      <w:pPr>
        <w:sectPr>
          <w:pgSz w:w="11900" w:h="16838" w:orient="portrait"/>
          <w:cols w:equalWidth="0" w:num="1">
            <w:col w:w="10159"/>
          </w:cols>
          <w:pgMar w:left="300" w:top="407"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700" w:right="379" w:hanging="261"/>
        <w:spacing w:after="0" w:line="283" w:lineRule="auto"/>
        <w:tabs>
          <w:tab w:leader="none" w:pos="17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Lender who purchased a 2023 Convertible Note on or before July 3, 2023, in respect of a Corporate Transaction that occurs after July 3, 2024, an amount equal to the then accrued but unpaid interest plus five (5) times the then outstanding principal.</w:t>
      </w:r>
    </w:p>
    <w:p>
      <w:pPr>
        <w:spacing w:after="0" w:line="51" w:lineRule="exact"/>
        <w:rPr>
          <w:rFonts w:ascii="Times New Roman" w:cs="Times New Roman" w:eastAsia="Times New Roman" w:hAnsi="Times New Roman"/>
          <w:sz w:val="14"/>
          <w:szCs w:val="14"/>
          <w:color w:val="auto"/>
        </w:rPr>
      </w:pPr>
    </w:p>
    <w:p>
      <w:pPr>
        <w:ind w:left="1700" w:right="359" w:hanging="261"/>
        <w:spacing w:after="0" w:line="283" w:lineRule="auto"/>
        <w:tabs>
          <w:tab w:leader="none" w:pos="170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Lender who purchased a 2023 Convertible Note after July 3, 2023, in respect of any such Corporate Transaction, an amount equal to the then accrued but unpaid interest plus one and a half (1.5) times the then outstanding principal.</w:t>
      </w:r>
    </w:p>
    <w:p>
      <w:pPr>
        <w:spacing w:after="0" w:line="125" w:lineRule="exact"/>
        <w:rPr>
          <w:sz w:val="20"/>
          <w:szCs w:val="20"/>
          <w:color w:val="auto"/>
        </w:rPr>
      </w:pPr>
    </w:p>
    <w:p>
      <w:pPr>
        <w:ind w:left="1360" w:right="459"/>
        <w:spacing w:after="0" w:line="283" w:lineRule="auto"/>
        <w:rPr>
          <w:sz w:val="20"/>
          <w:szCs w:val="20"/>
          <w:color w:val="auto"/>
        </w:rPr>
      </w:pPr>
      <w:r>
        <w:rPr>
          <w:rFonts w:ascii="Times New Roman" w:cs="Times New Roman" w:eastAsia="Times New Roman" w:hAnsi="Times New Roman"/>
          <w:sz w:val="14"/>
          <w:szCs w:val="14"/>
          <w:color w:val="auto"/>
        </w:rPr>
        <w:t>Investors in the 2023 Convertible Notes also received warrants to purchase the same type of equity shares into which the 2023 Convertible Notes are converted (see Notes 8 and 13).</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Investors in these secured convertible notes also received warrants to purchase equity shares of the Company.</w:t>
      </w:r>
    </w:p>
    <w:p>
      <w:pPr>
        <w:spacing w:after="0" w:line="17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w:t>
      </w:r>
    </w:p>
    <w:p>
      <w:pPr>
        <w:spacing w:after="0" w:line="143"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For the years ended December 31, 2024 and 2023, the Company recognized a change in fair value of approximately $8.7 million and $6.9 million, respectively. Upfront costs and fees related to items for which the fair value option is elected must be recognized immediately. As such issuance costs (warrants) and fees associated with the convertible notes were recognized in current earnings.</w:t>
      </w:r>
    </w:p>
    <w:p>
      <w:pPr>
        <w:spacing w:after="0" w:line="136"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One investor who purchased a 2023 Convertible Note also received an RSU grant for a total of 6,000,000 RSUs (see Note 13)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w:t>
      </w: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$2.6 million and accounted for as Debt Financing Charge on the 2023 Convertible Note. On December 22, 2023, the Company modified the RSU terms to immediately accelerate the vesting of the 6,000,000 awards outstanding and issue 6,000,000 shares of common stock (see Note 13).</w:t>
      </w:r>
    </w:p>
    <w:p>
      <w:pPr>
        <w:spacing w:after="0" w:line="14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scheduled maturities of the Company’s outstanding convertible notes as of December 31, 2024 is as follows (in thousands):</w:t>
      </w:r>
    </w:p>
    <w:p>
      <w:pPr>
        <w:spacing w:after="0" w:line="211" w:lineRule="exact"/>
        <w:rPr>
          <w:sz w:val="20"/>
          <w:szCs w:val="20"/>
          <w:color w:val="auto"/>
        </w:rPr>
      </w:pPr>
    </w:p>
    <w:tbl>
      <w:tblPr>
        <w:tblLayout w:type="fixed"/>
        <w:tblInd w:w="27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 ending December 31, 2025</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portion</w:t>
            </w:r>
          </w:p>
        </w:tc>
        <w:tc>
          <w:tcPr>
            <w:tcW w:w="17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8"/>
              </w:rPr>
              <w:t>(148,629)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portion</w:t>
            </w:r>
          </w:p>
        </w:tc>
        <w:tc>
          <w:tcPr>
            <w:tcW w:w="1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On the Closing Date, as provided by the terms of the 2023 Convertible Note Agreement, the outstanding 2023 Convertible Notes were converted, at the option of the holders, to common stock upon the execution of the Merger (see Note 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Demand Notes:</w:t>
      </w:r>
    </w:p>
    <w:p>
      <w:pPr>
        <w:spacing w:after="0" w:line="93" w:lineRule="exact"/>
        <w:rPr>
          <w:sz w:val="20"/>
          <w:szCs w:val="20"/>
          <w:color w:val="auto"/>
        </w:rPr>
      </w:pPr>
    </w:p>
    <w:p>
      <w:pPr>
        <w:ind w:left="1360" w:right="299"/>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F-70</w:t>
      </w:r>
    </w:p>
    <w:p>
      <w:pPr>
        <w:sectPr>
          <w:pgSz w:w="11900" w:h="16838" w:orient="portrait"/>
          <w:cols w:equalWidth="0" w:num="1">
            <w:col w:w="10159"/>
          </w:cols>
          <w:pgMar w:left="300" w:top="407"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559"/>
        <w:spacing w:after="0" w:line="283" w:lineRule="auto"/>
        <w:rPr>
          <w:sz w:val="20"/>
          <w:szCs w:val="20"/>
          <w:color w:val="auto"/>
        </w:rPr>
      </w:pPr>
      <w:r>
        <w:rPr>
          <w:rFonts w:ascii="Times New Roman" w:cs="Times New Roman" w:eastAsia="Times New Roman" w:hAnsi="Times New Roman"/>
          <w:sz w:val="14"/>
          <w:szCs w:val="14"/>
          <w:color w:val="auto"/>
        </w:rPr>
        <w:t>BurTech and other investors pursuant to the Note Purchase Agreement dated July 2, 2023 and (2) March 31, 2024 (see Note 13). In April 2024, the Company repaid the total outstanding principal and interest of $5.0 million.</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8. Warrant Liabilities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P2P Warrants:</w:t>
      </w:r>
    </w:p>
    <w:p>
      <w:pPr>
        <w:spacing w:after="0" w:line="93" w:lineRule="exact"/>
        <w:rPr>
          <w:sz w:val="20"/>
          <w:szCs w:val="20"/>
          <w:color w:val="auto"/>
        </w:rPr>
      </w:pPr>
    </w:p>
    <w:p>
      <w:pPr>
        <w:ind w:left="1360" w:right="719"/>
        <w:spacing w:after="0" w:line="283" w:lineRule="auto"/>
        <w:rPr>
          <w:sz w:val="20"/>
          <w:szCs w:val="20"/>
          <w:color w:val="auto"/>
        </w:rPr>
      </w:pPr>
      <w:r>
        <w:rPr>
          <w:rFonts w:ascii="Times New Roman" w:cs="Times New Roman" w:eastAsia="Times New Roman" w:hAnsi="Times New Roman"/>
          <w:sz w:val="14"/>
          <w:szCs w:val="14"/>
          <w:color w:val="auto"/>
        </w:rPr>
        <w:t>Certain investors who invested in the P2P Notes (see Notes 7 and 13) also received P2P Warrants for no additional consideration resulting in the allocation of proceeds between the P2P Notes and P2P Warrants (see Notes 7 and 13).</w:t>
      </w:r>
    </w:p>
    <w:p>
      <w:pPr>
        <w:spacing w:after="0" w:line="125"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w:t>
      </w:r>
    </w:p>
    <w:p>
      <w:pPr>
        <w:spacing w:after="0" w:line="143"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During 2023, in connection with the additional issuance of P2P notes, 336,950 Series D Shadow Preferred Stock warrants were reinstated at a fair value of approximately $61,000 (see Note 7) and reclassified from equity to warrant liability.</w:t>
      </w:r>
    </w:p>
    <w:p>
      <w:pPr>
        <w:spacing w:after="0" w:line="125"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Effective February 28, 2024 the Series D Shadow Preferred Stock warrants expired unexercised.</w:t>
      </w:r>
    </w:p>
    <w:p>
      <w:pPr>
        <w:spacing w:after="0" w:line="175"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As provided by the terms of the P2P notes, the notes remained outstanding and were converted, at the option of the holders, to common stock upon the Closing Date (see Note 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2023 Convertible Note Warrants:</w:t>
      </w:r>
    </w:p>
    <w:p>
      <w:pPr>
        <w:spacing w:after="0" w:line="93"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w:t>
      </w:r>
    </w:p>
    <w:p>
      <w:pPr>
        <w:spacing w:after="0" w:line="141" w:lineRule="exact"/>
        <w:rPr>
          <w:sz w:val="20"/>
          <w:szCs w:val="20"/>
          <w:color w:val="auto"/>
        </w:rPr>
      </w:pPr>
    </w:p>
    <w:p>
      <w:pPr>
        <w:ind w:left="1360" w:right="299"/>
        <w:spacing w:after="0" w:line="267" w:lineRule="auto"/>
        <w:rPr>
          <w:sz w:val="20"/>
          <w:szCs w:val="20"/>
          <w:color w:val="auto"/>
        </w:rPr>
      </w:pPr>
      <w:r>
        <w:rPr>
          <w:rFonts w:ascii="Times New Roman" w:cs="Times New Roman" w:eastAsia="Times New Roman" w:hAnsi="Times New Roman"/>
          <w:sz w:val="14"/>
          <w:szCs w:val="14"/>
          <w:color w:val="auto"/>
        </w:rPr>
        <w:t>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F-71</w:t>
      </w:r>
    </w:p>
    <w:p>
      <w:pPr>
        <w:sectPr>
          <w:pgSz w:w="11900" w:h="16838" w:orient="portrait"/>
          <w:cols w:equalWidth="0" w:num="1">
            <w:col w:w="10159"/>
          </w:cols>
          <w:pgMar w:left="300" w:top="407"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Under the terms of the April 2024 amendment,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w:t>
      </w:r>
    </w:p>
    <w:p>
      <w:pPr>
        <w:spacing w:after="0" w:line="70" w:lineRule="exact"/>
        <w:rPr>
          <w:sz w:val="20"/>
          <w:szCs w:val="20"/>
          <w:color w:val="auto"/>
        </w:rPr>
      </w:pPr>
    </w:p>
    <w:p>
      <w:pPr>
        <w:ind w:left="1700" w:hanging="261"/>
        <w:spacing w:after="0"/>
        <w:tabs>
          <w:tab w:leader="none" w:pos="17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Next Equity Financing Conversion, the per share issue price by new money investors for the equity securities;</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Maturity Conversion, a per share price mutually agreed upon by the Company and the Requisite Noteholders;</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SPAC Conversion, $11.50 per share and</w:t>
      </w:r>
    </w:p>
    <w:p>
      <w:pPr>
        <w:spacing w:after="0" w:line="101" w:lineRule="exact"/>
        <w:rPr>
          <w:rFonts w:ascii="Times New Roman" w:cs="Times New Roman" w:eastAsia="Times New Roman" w:hAnsi="Times New Roman"/>
          <w:sz w:val="14"/>
          <w:szCs w:val="14"/>
          <w:color w:val="auto"/>
        </w:rPr>
      </w:pPr>
    </w:p>
    <w:p>
      <w:pPr>
        <w:ind w:left="1700" w:hanging="261"/>
        <w:spacing w:after="0"/>
        <w:tabs>
          <w:tab w:leader="none" w:pos="17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 Corporate Transaction, the Corporate Transaction Exercise Price, as defined</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Additionally, the expiration date of the warrants was changed from 10 years to 5 years from the original date of issuance.</w:t>
      </w:r>
    </w:p>
    <w:p>
      <w:pPr>
        <w:spacing w:after="0" w:line="175"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2023 Convertible Note Warrants are legally detachable and separately exercisable from the 2023 Convertible Notes. The Company accounts for the 2023 Convertible Note Warrants as liabilities measured at fair value with subsequent changes in fair value recognized in earnings.</w:t>
      </w:r>
    </w:p>
    <w:p>
      <w:pPr>
        <w:spacing w:after="0" w:line="12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As provided by the terms of the 2023 Convertible Notes, the notes remained outstanding and were converted, at the option of the holders, to common stock upon the Closing Date (see Note 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Other Warrants:</w:t>
      </w:r>
    </w:p>
    <w:p>
      <w:pPr>
        <w:spacing w:after="0" w:line="93" w:lineRule="exact"/>
        <w:rPr>
          <w:sz w:val="20"/>
          <w:szCs w:val="20"/>
          <w:color w:val="auto"/>
        </w:rPr>
      </w:pPr>
    </w:p>
    <w:p>
      <w:pPr>
        <w:ind w:left="1360" w:right="319"/>
        <w:spacing w:after="0" w:line="256" w:lineRule="auto"/>
        <w:rPr>
          <w:sz w:val="20"/>
          <w:szCs w:val="20"/>
          <w:color w:val="auto"/>
        </w:rPr>
      </w:pPr>
      <w:r>
        <w:rPr>
          <w:rFonts w:ascii="Times New Roman" w:cs="Times New Roman" w:eastAsia="Times New Roman" w:hAnsi="Times New Roman"/>
          <w:sz w:val="14"/>
          <w:szCs w:val="14"/>
          <w:color w:val="auto"/>
        </w:rPr>
        <w:t>In conjunction with the December 22, 2023 Merger Agreement, the Company entered into a pre-funded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w:t>
      </w:r>
    </w:p>
    <w:p>
      <w:pPr>
        <w:spacing w:after="0" w:line="144" w:lineRule="exact"/>
        <w:rPr>
          <w:sz w:val="20"/>
          <w:szCs w:val="20"/>
          <w:color w:val="auto"/>
        </w:rPr>
      </w:pPr>
    </w:p>
    <w:p>
      <w:pPr>
        <w:ind w:left="1360" w:right="239"/>
        <w:spacing w:after="0" w:line="277" w:lineRule="auto"/>
        <w:rPr>
          <w:sz w:val="20"/>
          <w:szCs w:val="20"/>
          <w:color w:val="auto"/>
        </w:rPr>
      </w:pPr>
      <w:r>
        <w:rPr>
          <w:rFonts w:ascii="Times New Roman" w:cs="Times New Roman" w:eastAsia="Times New Roman" w:hAnsi="Times New Roman"/>
          <w:sz w:val="13"/>
          <w:szCs w:val="13"/>
          <w:color w:val="auto"/>
        </w:rPr>
        <w:t>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Pre-funded Warrant of $0.5 million was recognized as a debt financing charge on 2023 convertible notes during the year ended December 31, 2024.</w:t>
      </w:r>
    </w:p>
    <w:p>
      <w:pPr>
        <w:spacing w:after="0" w:line="1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All of the Company’s warrants exercisable into preferred stock are classified as liabilities requiring ongoing remeasurement at fair value.</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F-72</w:t>
      </w:r>
    </w:p>
    <w:p>
      <w:pPr>
        <w:sectPr>
          <w:pgSz w:w="11900" w:h="16838" w:orient="portrait"/>
          <w:cols w:equalWidth="0" w:num="1">
            <w:col w:w="10159"/>
          </w:cols>
          <w:pgMar w:left="300" w:top="407"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83" w:lineRule="auto"/>
        <w:rPr>
          <w:sz w:val="20"/>
          <w:szCs w:val="20"/>
          <w:color w:val="auto"/>
        </w:rPr>
      </w:pPr>
      <w:r>
        <w:rPr>
          <w:rFonts w:ascii="Times New Roman" w:cs="Times New Roman" w:eastAsia="Times New Roman" w:hAnsi="Times New Roman"/>
          <w:sz w:val="14"/>
          <w:szCs w:val="14"/>
          <w:color w:val="auto"/>
        </w:rPr>
        <w:t>As provided by the terms of the P2P notes, the notes remained outstanding and were converted, at the option of the holders, to common stock upon the execution of the Merger (see Note 1).</w:t>
      </w:r>
    </w:p>
    <w:p>
      <w:pPr>
        <w:spacing w:after="0" w:line="131"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7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4"/>
            <w:vMerge w:val="restart"/>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Number of warrant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Approximate fair</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left="175"/>
              <w:spacing w:after="0" w:line="116" w:lineRule="exact"/>
              <w:rPr>
                <w:sz w:val="20"/>
                <w:szCs w:val="20"/>
                <w:color w:val="auto"/>
              </w:rPr>
            </w:pPr>
            <w:r>
              <w:rPr>
                <w:rFonts w:ascii="Times New Roman" w:cs="Times New Roman" w:eastAsia="Times New Roman" w:hAnsi="Times New Roman"/>
                <w:sz w:val="11"/>
                <w:szCs w:val="11"/>
                <w:b w:val="1"/>
                <w:bCs w:val="1"/>
                <w:color w:val="auto"/>
                <w:w w:val="97"/>
              </w:rPr>
              <w:t>value at</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300" w:type="dxa"/>
            <w:vAlign w:val="bottom"/>
          </w:tcPr>
          <w:p>
            <w:pPr>
              <w:spacing w:after="0"/>
              <w:rPr>
                <w:sz w:val="11"/>
                <w:szCs w:val="11"/>
                <w:color w:val="auto"/>
              </w:rPr>
            </w:pPr>
          </w:p>
        </w:tc>
        <w:tc>
          <w:tcPr>
            <w:tcW w:w="1440" w:type="dxa"/>
            <w:vAlign w:val="bottom"/>
            <w:gridSpan w:val="4"/>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shares at December 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76"/>
        </w:trPr>
        <w:tc>
          <w:tcPr>
            <w:tcW w:w="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7"/>
              </w:rPr>
              <w:t>Warrant Type:</w:t>
            </w:r>
          </w:p>
        </w:tc>
        <w:tc>
          <w:tcPr>
            <w:tcW w:w="2840" w:type="dxa"/>
            <w:vAlign w:val="bottom"/>
            <w:vMerge w:val="restart"/>
          </w:tcPr>
          <w:p>
            <w:pPr>
              <w:spacing w:after="0"/>
              <w:rPr>
                <w:sz w:val="6"/>
                <w:szCs w:val="6"/>
                <w:color w:val="auto"/>
              </w:rPr>
            </w:pPr>
          </w:p>
        </w:tc>
        <w:tc>
          <w:tcPr>
            <w:tcW w:w="14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720" w:type="dxa"/>
            <w:vAlign w:val="bottom"/>
            <w:tcBorders>
              <w:bottom w:val="single" w:sz="8" w:color="auto"/>
            </w:tcBorders>
            <w:vMerge w:val="continue"/>
          </w:tcPr>
          <w:p>
            <w:pPr>
              <w:spacing w:after="0"/>
              <w:rPr>
                <w:sz w:val="12"/>
                <w:szCs w:val="12"/>
                <w:color w:val="auto"/>
              </w:rPr>
            </w:pPr>
          </w:p>
        </w:tc>
        <w:tc>
          <w:tcPr>
            <w:tcW w:w="28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32"/>
              <w:spacing w:after="0" w:line="124" w:lineRule="exact"/>
              <w:rPr>
                <w:sz w:val="20"/>
                <w:szCs w:val="20"/>
                <w:color w:val="auto"/>
              </w:rPr>
            </w:pPr>
            <w:r>
              <w:rPr>
                <w:rFonts w:ascii="Times New Roman" w:cs="Times New Roman" w:eastAsia="Times New Roman" w:hAnsi="Times New Roman"/>
                <w:sz w:val="11"/>
                <w:szCs w:val="11"/>
                <w:b w:val="1"/>
                <w:bCs w:val="1"/>
                <w:color w:val="auto"/>
              </w:rPr>
              <w:t>Price</w:t>
            </w: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Series D Shadow Preferred Warrants</w:t>
            </w:r>
          </w:p>
        </w:tc>
        <w:tc>
          <w:tcPr>
            <w:tcW w:w="1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3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center"/>
              <w:ind w:left="23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338,495</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D-2 Shadow Preferred Warrants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756,172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756,172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Warrants</w:t>
            </w: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(a)</w:t>
            </w:r>
          </w:p>
        </w:tc>
        <w:tc>
          <w:tcPr>
            <w:tcW w:w="5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5"/>
                <w:szCs w:val="5"/>
                <w:color w:val="auto"/>
                <w:w w:val="79"/>
              </w:rPr>
              <w:t> </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color w:val="auto"/>
              </w:rPr>
              <w:t>(a)</w:t>
            </w:r>
          </w:p>
        </w:tc>
        <w:tc>
          <w:tcPr>
            <w:tcW w:w="62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(a)</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Notes Warrants - 2023</w:t>
            </w: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20"/>
                <w:szCs w:val="20"/>
                <w:color w:val="auto"/>
              </w:rPr>
            </w:pPr>
            <w:r>
              <w:rPr>
                <w:rFonts w:ascii="Times New Roman" w:cs="Times New Roman" w:eastAsia="Times New Roman" w:hAnsi="Times New Roman"/>
                <w:sz w:val="9"/>
                <w:szCs w:val="9"/>
                <w:color w:val="auto"/>
              </w:rPr>
              <w:t>(c)</w:t>
            </w:r>
          </w:p>
        </w:tc>
        <w:tc>
          <w:tcPr>
            <w:tcW w:w="500" w:type="dxa"/>
            <w:vAlign w:val="bottom"/>
          </w:tcPr>
          <w:p>
            <w:pPr>
              <w:jc w:val="center"/>
              <w:ind w:left="210"/>
              <w:spacing w:after="0"/>
              <w:rPr>
                <w:sz w:val="20"/>
                <w:szCs w:val="20"/>
                <w:color w:val="auto"/>
              </w:rPr>
            </w:pPr>
            <w:r>
              <w:rPr>
                <w:rFonts w:ascii="Times New Roman" w:cs="Times New Roman" w:eastAsia="Times New Roman" w:hAnsi="Times New Roman"/>
                <w:sz w:val="5"/>
                <w:szCs w:val="5"/>
                <w:color w:val="auto"/>
                <w:w w:val="79"/>
              </w:rPr>
              <w:t> </w:t>
            </w:r>
          </w:p>
        </w:tc>
        <w:tc>
          <w:tcPr>
            <w:tcW w:w="3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(c)</w:t>
            </w:r>
          </w:p>
        </w:tc>
        <w:tc>
          <w:tcPr>
            <w:tcW w:w="620" w:type="dxa"/>
            <w:vAlign w:val="bottom"/>
          </w:tcPr>
          <w:p>
            <w:pPr>
              <w:jc w:val="center"/>
              <w:ind w:left="31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(c)</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4"/>
                <w:szCs w:val="14"/>
                <w:color w:val="auto"/>
              </w:rPr>
              <w:t>Common stock warrants</w:t>
            </w:r>
            <w:r>
              <w:rPr>
                <w:rFonts w:ascii="Times New Roman" w:cs="Times New Roman" w:eastAsia="Times New Roman" w:hAnsi="Times New Roman"/>
                <w:sz w:val="17"/>
                <w:szCs w:val="17"/>
                <w:color w:val="auto"/>
                <w:vertAlign w:val="superscript"/>
              </w:rPr>
              <w:t>(b)</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104.43</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85"/>
              </w:rPr>
              <w:t>— </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3560" w:type="dxa"/>
            <w:vAlign w:val="bottom"/>
            <w:gridSpan w:val="2"/>
          </w:tcPr>
          <w:p>
            <w:pPr>
              <w:spacing w:after="0" w:line="168" w:lineRule="exact"/>
              <w:rPr>
                <w:sz w:val="20"/>
                <w:szCs w:val="20"/>
                <w:color w:val="auto"/>
              </w:rPr>
            </w:pPr>
            <w:r>
              <w:rPr>
                <w:rFonts w:ascii="Times New Roman" w:cs="Times New Roman" w:eastAsia="Times New Roman" w:hAnsi="Times New Roman"/>
                <w:sz w:val="14"/>
                <w:szCs w:val="14"/>
                <w:color w:val="auto"/>
              </w:rPr>
              <w:t>Pre-funded common stock warrants</w:t>
            </w:r>
            <w:r>
              <w:rPr>
                <w:rFonts w:ascii="Times New Roman" w:cs="Times New Roman" w:eastAsia="Times New Roman" w:hAnsi="Times New Roman"/>
                <w:sz w:val="17"/>
                <w:szCs w:val="17"/>
                <w:color w:val="auto"/>
                <w:vertAlign w:val="superscript"/>
              </w:rPr>
              <w:t>(d)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tcPr>
          <w:p>
            <w:pPr>
              <w:spacing w:after="0"/>
              <w:rPr>
                <w:sz w:val="14"/>
                <w:szCs w:val="14"/>
                <w:color w:val="auto"/>
              </w:rPr>
            </w:pPr>
          </w:p>
        </w:tc>
        <w:tc>
          <w:tcPr>
            <w:tcW w:w="500" w:type="dxa"/>
            <w:vAlign w:val="bottom"/>
          </w:tcPr>
          <w:p>
            <w:pPr>
              <w:jc w:val="center"/>
              <w:ind w:left="210"/>
              <w:spacing w:after="0"/>
              <w:rPr>
                <w:sz w:val="20"/>
                <w:szCs w:val="20"/>
                <w:color w:val="auto"/>
              </w:rPr>
            </w:pPr>
            <w:r>
              <w:rPr>
                <w:rFonts w:ascii="Times New Roman" w:cs="Times New Roman" w:eastAsia="Times New Roman" w:hAnsi="Times New Roman"/>
                <w:sz w:val="5"/>
                <w:szCs w:val="5"/>
                <w:color w:val="auto"/>
                <w:w w:val="79"/>
              </w:rPr>
              <w:t> </w:t>
            </w:r>
          </w:p>
        </w:tc>
        <w:tc>
          <w:tcPr>
            <w:tcW w:w="32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(d)</w:t>
            </w:r>
          </w:p>
        </w:tc>
        <w:tc>
          <w:tcPr>
            <w:tcW w:w="620" w:type="dxa"/>
            <w:vAlign w:val="bottom"/>
          </w:tcPr>
          <w:p>
            <w:pPr>
              <w:jc w:val="center"/>
              <w:ind w:left="312"/>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spacing w:after="0"/>
              <w:rPr>
                <w:sz w:val="20"/>
                <w:szCs w:val="20"/>
                <w:color w:val="auto"/>
              </w:rPr>
            </w:pPr>
            <w:r>
              <w:rPr>
                <w:rFonts w:ascii="Times New Roman" w:cs="Times New Roman" w:eastAsia="Times New Roman" w:hAnsi="Times New Roman"/>
                <w:sz w:val="9"/>
                <w:szCs w:val="9"/>
                <w:color w:val="auto"/>
              </w:rPr>
              <w:t>(d)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4"/>
                <w:szCs w:val="14"/>
                <w:color w:val="auto"/>
              </w:rPr>
              <w:t>Pre-funded common stock warrants</w:t>
            </w:r>
            <w:r>
              <w:rPr>
                <w:rFonts w:ascii="Times New Roman" w:cs="Times New Roman" w:eastAsia="Times New Roman" w:hAnsi="Times New Roman"/>
                <w:sz w:val="17"/>
                <w:szCs w:val="17"/>
                <w:color w:val="auto"/>
                <w:vertAlign w:val="superscript"/>
              </w:rPr>
              <w:t>(e)</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100.00</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5"/>
                <w:szCs w:val="5"/>
                <w:color w:val="auto"/>
                <w:w w:val="79"/>
              </w:rPr>
              <w:t> </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color w:val="auto"/>
              </w:rPr>
              <w:t>(e)</w:t>
            </w:r>
          </w:p>
        </w:tc>
        <w:tc>
          <w:tcPr>
            <w:tcW w:w="62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10,091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756,172</w:t>
            </w: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1,096,730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14,712</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3,730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299" w:hanging="345"/>
        <w:spacing w:after="0" w:line="235" w:lineRule="auto"/>
        <w:tabs>
          <w:tab w:leader="none" w:pos="170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number of warrant shares to be issued upon exercise of the P2P Warrants is not determined as of December 31, 2024 or 2023, therefore, the exercise price is only known in aggregate based on individual investor participation levels and timing of investment. The aggregate exercise price is $2.5 million as of December 31, 2024 and 2023. The Company’s valuation of its P2P Warrants assumes expected warrant shares of 1,127,088 and a range of 694,397 to 721,086 shares of either common stock or a future preferred stock series as of December 31, 2024 and 2023.</w:t>
      </w:r>
    </w:p>
    <w:p>
      <w:pPr>
        <w:ind w:left="1700" w:right="339" w:hanging="345"/>
        <w:spacing w:after="0" w:line="230" w:lineRule="auto"/>
        <w:tabs>
          <w:tab w:leader="none" w:pos="170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year ended December 31, 2024.</w:t>
      </w:r>
    </w:p>
    <w:p>
      <w:pPr>
        <w:ind w:left="1700" w:right="219" w:hanging="345"/>
        <w:spacing w:after="0" w:line="230" w:lineRule="auto"/>
        <w:tabs>
          <w:tab w:leader="none" w:pos="170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number of warrant shares to be issued upon exercise of the Convertible Note Warrants as well as the related aggregate exercise price is not determinable as of December 31, 2024 and 2023 due to variable settlement terms. As of December 31, 2024 and 2023, the aggregate fixed monetary amount that will serve as the basis of calculating the number of warrant shares into which the Convertible Notes may be exercised into is $13.0 million and $2.0 million, respectively.</w:t>
      </w:r>
    </w:p>
    <w:p>
      <w:pPr>
        <w:jc w:val="both"/>
        <w:ind w:left="1700" w:right="259" w:hanging="345"/>
        <w:spacing w:after="0" w:line="230" w:lineRule="auto"/>
        <w:tabs>
          <w:tab w:leader="none" w:pos="170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exercise price is $68,333. As of December 31, 2023, the number of warrant shares is estimated based on the total Company common shares that would be required to be issued to be exchanged for the maximum number of BurTech Class A Common and is estimated at 7,007,582 shares. As of December 31, 2024, taking into consideration the effect of the April 2024 amendment, the number of warrant shares required to be issued in the form of BurTech Class A Common stock is fixed at 2,000,000 shares.</w:t>
      </w:r>
    </w:p>
    <w:p>
      <w:pPr>
        <w:ind w:left="1700" w:right="499" w:hanging="345"/>
        <w:spacing w:after="0" w:line="212" w:lineRule="auto"/>
        <w:tabs>
          <w:tab w:leader="none" w:pos="1700" w:val="left"/>
        </w:tabs>
        <w:numPr>
          <w:ilvl w:val="0"/>
          <w:numId w:val="7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exercise price is $45,000. As of December 31, 2024, the number of warrant shares to be issued in the form of BurTech Class A Common stock is a fixed 4,500,000 shares.</w:t>
      </w:r>
    </w:p>
    <w:p>
      <w:pPr>
        <w:spacing w:after="0" w:line="10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F-73</w:t>
      </w:r>
    </w:p>
    <w:p>
      <w:pPr>
        <w:sectPr>
          <w:pgSz w:w="11900" w:h="16838" w:orient="portrait"/>
          <w:cols w:equalWidth="0" w:num="1">
            <w:col w:w="10159"/>
          </w:cols>
          <w:pgMar w:left="300" w:top="407"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At issuance:</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Issued during the years ended December 31, 2024 and 2023:</w:t>
      </w:r>
    </w:p>
    <w:p>
      <w:pPr>
        <w:spacing w:after="0" w:line="19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1"/>
          <w:szCs w:val="11"/>
          <w:b w:val="1"/>
          <w:bCs w:val="1"/>
          <w:color w:val="auto"/>
        </w:rPr>
        <w:t>Series D-2 Shadow Preferred</w:t>
      </w:r>
    </w:p>
    <w:p>
      <w:pPr>
        <w:ind w:left="6960"/>
        <w:spacing w:after="0" w:line="235" w:lineRule="auto"/>
        <w:rPr>
          <w:sz w:val="20"/>
          <w:szCs w:val="20"/>
          <w:color w:val="auto"/>
        </w:rPr>
      </w:pPr>
      <w:r>
        <w:rPr>
          <w:rFonts w:ascii="Times New Roman" w:cs="Times New Roman" w:eastAsia="Times New Roman" w:hAnsi="Times New Roman"/>
          <w:sz w:val="11"/>
          <w:szCs w:val="11"/>
          <w:b w:val="1"/>
          <w:bCs w:val="1"/>
          <w:color w:val="auto"/>
        </w:rPr>
        <w:t>Stock Warrant Reinstatement</w:t>
      </w:r>
    </w:p>
    <w:tbl>
      <w:tblPr>
        <w:tblLayout w:type="fixed"/>
        <w:tblInd w:w="1360" w:type="dxa"/>
        <w:tblCellMar>
          <w:top w:w="0" w:type="dxa"/>
          <w:left w:w="0" w:type="dxa"/>
          <w:bottom w:w="0" w:type="dxa"/>
          <w:right w:w="0" w:type="dxa"/>
        </w:tblCellMar>
      </w:tblPr>
      <w:tr>
        <w:trPr>
          <w:trHeight w:val="106"/>
        </w:trPr>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20" w:type="dxa"/>
            <w:vAlign w:val="bottom"/>
            <w:tcBorders>
              <w:top w:val="single" w:sz="8" w:color="auto"/>
            </w:tcBorders>
            <w:gridSpan w:val="5"/>
          </w:tcPr>
          <w:p>
            <w:pPr>
              <w:jc w:val="right"/>
              <w:ind w:right="540"/>
              <w:spacing w:after="0" w:line="106" w:lineRule="exact"/>
              <w:rPr>
                <w:sz w:val="20"/>
                <w:szCs w:val="20"/>
                <w:color w:val="auto"/>
              </w:rPr>
            </w:pPr>
            <w:r>
              <w:rPr>
                <w:rFonts w:ascii="Times New Roman" w:cs="Times New Roman" w:eastAsia="Times New Roman" w:hAnsi="Times New Roman"/>
                <w:sz w:val="11"/>
                <w:szCs w:val="11"/>
                <w:b w:val="1"/>
                <w:bCs w:val="1"/>
                <w:color w:val="auto"/>
                <w:w w:val="98"/>
              </w:rPr>
              <w:t>Issued in 2024</w:t>
            </w:r>
          </w:p>
        </w:tc>
        <w:tc>
          <w:tcPr>
            <w:tcW w:w="940" w:type="dxa"/>
            <w:vAlign w:val="bottom"/>
            <w:tcBorders>
              <w:top w:val="single" w:sz="8" w:color="auto"/>
            </w:tcBorders>
            <w:gridSpan w:val="4"/>
          </w:tcPr>
          <w:p>
            <w:pPr>
              <w:ind w:left="240"/>
              <w:spacing w:after="0" w:line="106" w:lineRule="exact"/>
              <w:rPr>
                <w:sz w:val="20"/>
                <w:szCs w:val="20"/>
                <w:color w:val="auto"/>
              </w:rPr>
            </w:pPr>
            <w:r>
              <w:rPr>
                <w:rFonts w:ascii="Times New Roman" w:cs="Times New Roman" w:eastAsia="Times New Roman" w:hAnsi="Times New Roman"/>
                <w:sz w:val="11"/>
                <w:szCs w:val="11"/>
                <w:b w:val="1"/>
                <w:bCs w:val="1"/>
                <w:color w:val="auto"/>
              </w:rPr>
              <w:t>Issued in 2023</w:t>
            </w:r>
          </w:p>
        </w:tc>
        <w:tc>
          <w:tcPr>
            <w:tcW w:w="3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vMerge w:val="continue"/>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vMerge w:val="continue"/>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4.65%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65.00%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preferred stock</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NA</w:t>
            </w:r>
          </w:p>
        </w:tc>
        <w:tc>
          <w:tcPr>
            <w:tcW w:w="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4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3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December 31, 2024 and 2023: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vMerge w:val="restart"/>
          </w:tcPr>
          <w:p>
            <w:pPr>
              <w:jc w:val="center"/>
              <w:ind w:left="317"/>
              <w:spacing w:after="0"/>
              <w:rPr>
                <w:sz w:val="20"/>
                <w:szCs w:val="20"/>
                <w:color w:val="auto"/>
              </w:rPr>
            </w:pPr>
            <w:r>
              <w:rPr>
                <w:rFonts w:ascii="Times New Roman" w:cs="Times New Roman" w:eastAsia="Times New Roman" w:hAnsi="Times New Roman"/>
                <w:sz w:val="11"/>
                <w:szCs w:val="11"/>
                <w:b w:val="1"/>
                <w:bCs w:val="1"/>
                <w:color w:val="auto"/>
              </w:rPr>
              <w:t>Series D-2 Shadow Preferred</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Series D Shadow</w:t>
            </w:r>
          </w:p>
        </w:tc>
        <w:tc>
          <w:tcPr>
            <w:tcW w:w="0" w:type="dxa"/>
            <w:vAlign w:val="bottom"/>
          </w:tcPr>
          <w:p>
            <w:pPr>
              <w:spacing w:after="0"/>
              <w:rPr>
                <w:sz w:val="1"/>
                <w:szCs w:val="1"/>
                <w:color w:val="auto"/>
              </w:rPr>
            </w:pPr>
          </w:p>
        </w:tc>
      </w:tr>
      <w:tr>
        <w:trPr>
          <w:trHeight w:val="116"/>
        </w:trPr>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5"/>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center"/>
              <w:ind w:left="317"/>
              <w:spacing w:after="0"/>
              <w:rPr>
                <w:sz w:val="20"/>
                <w:szCs w:val="20"/>
                <w:color w:val="auto"/>
              </w:rPr>
            </w:pPr>
            <w:r>
              <w:rPr>
                <w:rFonts w:ascii="Times New Roman" w:cs="Times New Roman" w:eastAsia="Times New Roman" w:hAnsi="Times New Roman"/>
                <w:sz w:val="11"/>
                <w:szCs w:val="11"/>
                <w:b w:val="1"/>
                <w:bCs w:val="1"/>
                <w:color w:val="auto"/>
                <w:w w:val="98"/>
              </w:rPr>
              <w:t>Stock Warrants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gridSpan w:val="2"/>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3"/>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gridSpan w:val="3"/>
          </w:tcPr>
          <w:p>
            <w:pPr>
              <w:jc w:val="center"/>
              <w:ind w:right="80"/>
              <w:spacing w:after="0" w:line="87"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16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auto"/>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center"/>
              <w:ind w:left="54"/>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25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7"/>
              </w:rPr>
              <w:t>4.20% - 4.40%</w:t>
            </w: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4.51%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0.04 - 0.72</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1.72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50.80%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52.50%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52.50%</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68"/>
        </w:trPr>
        <w:tc>
          <w:tcPr>
            <w:tcW w:w="680" w:type="dxa"/>
            <w:vAlign w:val="bottom"/>
          </w:tcPr>
          <w:p>
            <w:pPr>
              <w:spacing w:after="0"/>
              <w:rPr>
                <w:sz w:val="14"/>
                <w:szCs w:val="14"/>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preferred stock</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4.36</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4.19</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 issuance:</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Issued during the years ended December 31, 2024 and 2023:</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54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Warrants issued with P2P</w:t>
            </w:r>
          </w:p>
        </w:tc>
      </w:tr>
      <w:tr>
        <w:trPr>
          <w:trHeight w:val="135"/>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60" w:type="dxa"/>
            <w:vAlign w:val="bottom"/>
            <w:gridSpan w:val="4"/>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rPr>
              <w:t>Convertible Notes</w:t>
            </w:r>
          </w:p>
        </w:tc>
      </w:tr>
      <w:tr>
        <w:trPr>
          <w:trHeight w:val="106"/>
        </w:trPr>
        <w:tc>
          <w:tcPr>
            <w:tcW w:w="20" w:type="dxa"/>
            <w:vAlign w:val="bottom"/>
          </w:tcPr>
          <w:p>
            <w:pPr>
              <w:spacing w:after="0"/>
              <w:rPr>
                <w:sz w:val="9"/>
                <w:szCs w:val="9"/>
                <w:color w:val="auto"/>
              </w:rPr>
            </w:pPr>
          </w:p>
        </w:tc>
        <w:tc>
          <w:tcPr>
            <w:tcW w:w="2340" w:type="dxa"/>
            <w:vAlign w:val="bottom"/>
            <w:tcBorders>
              <w:bottom w:val="single" w:sz="8" w:color="CCEEFF"/>
            </w:tcBorders>
          </w:tcPr>
          <w:p>
            <w:pPr>
              <w:spacing w:after="0"/>
              <w:rPr>
                <w:sz w:val="9"/>
                <w:szCs w:val="9"/>
                <w:color w:val="auto"/>
              </w:rPr>
            </w:pPr>
          </w:p>
        </w:tc>
        <w:tc>
          <w:tcPr>
            <w:tcW w:w="1620" w:type="dxa"/>
            <w:vAlign w:val="bottom"/>
            <w:tcBorders>
              <w:bottom w:val="single" w:sz="8" w:color="CCEEFF"/>
            </w:tcBorders>
          </w:tcPr>
          <w:p>
            <w:pPr>
              <w:spacing w:after="0"/>
              <w:rPr>
                <w:sz w:val="9"/>
                <w:szCs w:val="9"/>
                <w:color w:val="auto"/>
              </w:rPr>
            </w:pPr>
          </w:p>
        </w:tc>
        <w:tc>
          <w:tcPr>
            <w:tcW w:w="68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w w:val="98"/>
              </w:rPr>
              <w:t>Issued in 2024</w:t>
            </w:r>
          </w:p>
        </w:tc>
        <w:tc>
          <w:tcPr>
            <w:tcW w:w="88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jc w:val="right"/>
              <w:ind w:right="72"/>
              <w:spacing w:after="0" w:line="106" w:lineRule="exact"/>
              <w:rPr>
                <w:sz w:val="20"/>
                <w:szCs w:val="20"/>
                <w:color w:val="auto"/>
              </w:rPr>
            </w:pPr>
            <w:r>
              <w:rPr>
                <w:rFonts w:ascii="Times New Roman" w:cs="Times New Roman" w:eastAsia="Times New Roman" w:hAnsi="Times New Roman"/>
                <w:sz w:val="11"/>
                <w:szCs w:val="11"/>
                <w:b w:val="1"/>
                <w:bCs w:val="1"/>
                <w:color w:val="auto"/>
              </w:rPr>
              <w:t>Issued in 2023</w:t>
            </w:r>
          </w:p>
        </w:tc>
        <w:tc>
          <w:tcPr>
            <w:tcW w:w="40" w:type="dxa"/>
            <w:vAlign w:val="bottom"/>
            <w:tcBorders>
              <w:bottom w:val="single" w:sz="8" w:color="CCEEFF"/>
            </w:tcBorders>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23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16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4.09% - 4.65%</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1.0 - 1.94 years</w:t>
            </w:r>
          </w:p>
        </w:tc>
      </w:tr>
      <w:tr>
        <w:trPr>
          <w:trHeight w:val="168"/>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6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 - 71.6%</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preferred stock</w:t>
            </w:r>
          </w:p>
        </w:tc>
        <w:tc>
          <w:tcPr>
            <w:tcW w:w="16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16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4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300" w:type="dxa"/>
            <w:vAlign w:val="bottom"/>
            <w:gridSpan w:val="2"/>
          </w:tcPr>
          <w:p>
            <w:pPr>
              <w:jc w:val="right"/>
              <w:ind w:right="1193"/>
              <w:spacing w:after="0"/>
              <w:rPr>
                <w:sz w:val="20"/>
                <w:szCs w:val="20"/>
                <w:color w:val="auto"/>
              </w:rPr>
            </w:pPr>
            <w:r>
              <w:rPr>
                <w:rFonts w:ascii="Times New Roman" w:cs="Times New Roman" w:eastAsia="Times New Roman" w:hAnsi="Times New Roman"/>
                <w:sz w:val="14"/>
                <w:szCs w:val="14"/>
                <w:color w:val="auto"/>
              </w:rPr>
              <w:t>F-74</w:t>
            </w: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407"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and 2023:</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Warrants issued with 2022</w:t>
            </w: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rPr>
              <w:t>P2P Notes</w:t>
            </w:r>
          </w:p>
        </w:tc>
        <w:tc>
          <w:tcPr>
            <w:tcW w:w="8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256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96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Borders>
              <w:bottom w:val="single" w:sz="8" w:color="CCEEFF"/>
            </w:tcBorders>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4.16% - 4.31%</w:t>
            </w: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4.54% - 4.79%</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0.04 - 1.00 years</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1.0 - 1.44 years</w:t>
            </w:r>
          </w:p>
        </w:tc>
      </w:tr>
      <w:tr>
        <w:trPr>
          <w:trHeight w:val="168"/>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- 71.6%</w:t>
            </w: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 - 62.3%</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preferred stock</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immaterial</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40" w:type="dxa"/>
            <w:vAlign w:val="bottom"/>
          </w:tcPr>
          <w:p>
            <w:pPr>
              <w:spacing w:after="0"/>
              <w:rPr>
                <w:sz w:val="15"/>
                <w:szCs w:val="15"/>
                <w:color w:val="auto"/>
              </w:rPr>
            </w:pPr>
          </w:p>
        </w:tc>
      </w:tr>
    </w:tbl>
    <w:p>
      <w:pPr>
        <w:spacing w:after="0" w:line="139" w:lineRule="exact"/>
        <w:rPr>
          <w:sz w:val="20"/>
          <w:szCs w:val="20"/>
          <w:color w:val="auto"/>
        </w:rPr>
      </w:pPr>
    </w:p>
    <w:p>
      <w:pPr>
        <w:jc w:val="both"/>
        <w:ind w:left="1360" w:right="399"/>
        <w:spacing w:after="0" w:line="267" w:lineRule="auto"/>
        <w:rPr>
          <w:sz w:val="20"/>
          <w:szCs w:val="20"/>
          <w:color w:val="auto"/>
        </w:rPr>
      </w:pPr>
      <w:r>
        <w:rPr>
          <w:rFonts w:ascii="Times New Roman" w:cs="Times New Roman" w:eastAsia="Times New Roman" w:hAnsi="Times New Roman"/>
          <w:sz w:val="14"/>
          <w:szCs w:val="14"/>
          <w:color w:val="auto"/>
        </w:rPr>
        <w:t>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At issuance:</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Issued during the years ended December 31, 2024 and 2023:</w:t>
      </w:r>
    </w:p>
    <w:p>
      <w:pPr>
        <w:spacing w:after="0" w:line="18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Warrants issued with 2023</w:t>
            </w:r>
          </w:p>
        </w:tc>
      </w:tr>
      <w:tr>
        <w:trPr>
          <w:trHeight w:val="135"/>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ind w:left="615"/>
              <w:spacing w:after="0"/>
              <w:rPr>
                <w:sz w:val="20"/>
                <w:szCs w:val="20"/>
                <w:color w:val="auto"/>
              </w:rPr>
            </w:pPr>
            <w:r>
              <w:rPr>
                <w:rFonts w:ascii="Times New Roman" w:cs="Times New Roman" w:eastAsia="Times New Roman" w:hAnsi="Times New Roman"/>
                <w:sz w:val="11"/>
                <w:szCs w:val="11"/>
                <w:b w:val="1"/>
                <w:bCs w:val="1"/>
                <w:color w:val="auto"/>
              </w:rPr>
              <w:t>Convertible Notes</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2"/>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Issued in 2024</w:t>
            </w:r>
          </w:p>
        </w:tc>
        <w:tc>
          <w:tcPr>
            <w:tcW w:w="74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Issued in 2023</w:t>
            </w:r>
          </w:p>
        </w:tc>
        <w:tc>
          <w:tcPr>
            <w:tcW w:w="40" w:type="dxa"/>
            <w:vAlign w:val="bottom"/>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28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1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3.86% - 5.55%</w:t>
            </w:r>
          </w:p>
        </w:tc>
        <w:tc>
          <w:tcPr>
            <w:tcW w:w="6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NA</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0.36 - 5.00 years</w:t>
            </w:r>
          </w:p>
        </w:tc>
        <w:tc>
          <w:tcPr>
            <w:tcW w:w="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 - 73.0%</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preferred stock</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 $4.43</w:t>
            </w: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r>
      <w:tr>
        <w:trPr>
          <w:trHeight w:val="183"/>
        </w:trPr>
        <w:tc>
          <w:tcPr>
            <w:tcW w:w="20" w:type="dxa"/>
            <w:vAlign w:val="bottom"/>
          </w:tcPr>
          <w:p>
            <w:pPr>
              <w:spacing w:after="0"/>
              <w:rPr>
                <w:sz w:val="15"/>
                <w:szCs w:val="15"/>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0.74 - $0.81</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NA</w:t>
            </w:r>
          </w:p>
        </w:tc>
      </w:tr>
    </w:tbl>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and 2023:</w:t>
      </w:r>
    </w:p>
    <w:p>
      <w:pPr>
        <w:spacing w:after="0" w:line="192" w:lineRule="exact"/>
        <w:rPr>
          <w:sz w:val="20"/>
          <w:szCs w:val="20"/>
          <w:color w:val="auto"/>
        </w:rPr>
      </w:pPr>
    </w:p>
    <w:p>
      <w:pPr>
        <w:jc w:val="center"/>
        <w:ind w:left="3400"/>
        <w:spacing w:after="0"/>
        <w:rPr>
          <w:sz w:val="20"/>
          <w:szCs w:val="20"/>
          <w:color w:val="auto"/>
        </w:rPr>
      </w:pPr>
      <w:r>
        <w:rPr>
          <w:rFonts w:ascii="Times New Roman" w:cs="Times New Roman" w:eastAsia="Times New Roman" w:hAnsi="Times New Roman"/>
          <w:sz w:val="11"/>
          <w:szCs w:val="11"/>
          <w:b w:val="1"/>
          <w:bCs w:val="1"/>
          <w:color w:val="auto"/>
        </w:rPr>
        <w:t>Warrants issued with 2023</w:t>
      </w:r>
    </w:p>
    <w:p>
      <w:pPr>
        <w:jc w:val="center"/>
        <w:ind w:left="3400"/>
        <w:spacing w:after="0" w:line="235" w:lineRule="auto"/>
        <w:rPr>
          <w:sz w:val="20"/>
          <w:szCs w:val="20"/>
          <w:color w:val="auto"/>
        </w:rPr>
      </w:pPr>
      <w:r>
        <w:rPr>
          <w:rFonts w:ascii="Times New Roman" w:cs="Times New Roman" w:eastAsia="Times New Roman" w:hAnsi="Times New Roman"/>
          <w:sz w:val="11"/>
          <w:szCs w:val="11"/>
          <w:b w:val="1"/>
          <w:bCs w:val="1"/>
          <w:color w:val="auto"/>
        </w:rPr>
        <w:t>Convertible Notes</w:t>
      </w:r>
    </w:p>
    <w:tbl>
      <w:tblPr>
        <w:tblLayout w:type="fixed"/>
        <w:tblInd w:w="238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250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1020" w:type="dxa"/>
            <w:vAlign w:val="bottom"/>
            <w:tcBorders>
              <w:top w:val="single" w:sz="8" w:color="auto"/>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tcBorders>
              <w:top w:val="single" w:sz="8" w:color="auto"/>
              <w:bottom w:val="single" w:sz="8" w:color="CCEEFF"/>
            </w:tcBorders>
          </w:tcPr>
          <w:p>
            <w:pPr>
              <w:spacing w:after="0"/>
              <w:rPr>
                <w:sz w:val="9"/>
                <w:szCs w:val="9"/>
                <w:color w:val="auto"/>
              </w:rPr>
            </w:pPr>
          </w:p>
        </w:tc>
        <w:tc>
          <w:tcPr>
            <w:tcW w:w="1020" w:type="dxa"/>
            <w:vAlign w:val="bottom"/>
            <w:tcBorders>
              <w:top w:val="single" w:sz="8" w:color="auto"/>
              <w:bottom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December 31, 2023</w:t>
            </w:r>
          </w:p>
        </w:tc>
        <w:tc>
          <w:tcPr>
            <w:tcW w:w="40" w:type="dxa"/>
            <w:vAlign w:val="bottom"/>
            <w:tcBorders>
              <w:bottom w:val="single" w:sz="8" w:color="CCEEFF"/>
            </w:tcBorders>
          </w:tcPr>
          <w:p>
            <w:pPr>
              <w:spacing w:after="0"/>
              <w:rPr>
                <w:sz w:val="9"/>
                <w:szCs w:val="9"/>
                <w:color w:val="auto"/>
              </w:rPr>
            </w:pPr>
          </w:p>
        </w:tc>
      </w:tr>
      <w:tr>
        <w:trPr>
          <w:trHeight w:val="159"/>
        </w:trPr>
        <w:tc>
          <w:tcPr>
            <w:tcW w:w="20" w:type="dxa"/>
            <w:vAlign w:val="bottom"/>
          </w:tcPr>
          <w:p>
            <w:pPr>
              <w:spacing w:after="0"/>
              <w:rPr>
                <w:sz w:val="13"/>
                <w:szCs w:val="13"/>
                <w:color w:val="auto"/>
              </w:rPr>
            </w:pPr>
          </w:p>
        </w:tc>
        <w:tc>
          <w:tcPr>
            <w:tcW w:w="25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3.98% - 4.99%</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3.88% - 5.26%</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0.04 - 1.00 years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0.51 - 9.51 years</w:t>
            </w:r>
          </w:p>
        </w:tc>
      </w:tr>
      <w:tr>
        <w:trPr>
          <w:trHeight w:val="168"/>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 - 73.2%</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 - 62.8%</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preferred stock</w:t>
            </w: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immaterial</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common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right="639"/>
        <w:spacing w:after="0" w:line="283" w:lineRule="auto"/>
        <w:rPr>
          <w:sz w:val="20"/>
          <w:szCs w:val="20"/>
          <w:color w:val="auto"/>
        </w:rPr>
      </w:pPr>
      <w:r>
        <w:rPr>
          <w:rFonts w:ascii="Times New Roman" w:cs="Times New Roman" w:eastAsia="Times New Roman" w:hAnsi="Times New Roman"/>
          <w:sz w:val="14"/>
          <w:szCs w:val="14"/>
          <w:color w:val="auto"/>
        </w:rPr>
        <w:t>The fair value of the pre-funded common stock warrants has been estimated based on a probability-weighted approach of scenarios, including the scenarios that the Merger will and will not be consummated.</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no Company warrants have been exercised.</w:t>
      </w:r>
    </w:p>
    <w:p>
      <w:pPr>
        <w:spacing w:after="0" w:line="175"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As provided by the terms of the Merger, the outstanding warrants were converted, at the option of the holders, to common stock upon the Closing Date (see Note 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9. Leases</w:t>
      </w:r>
    </w:p>
    <w:p>
      <w:pPr>
        <w:spacing w:after="0" w:line="93"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F-75</w:t>
      </w:r>
    </w:p>
    <w:p>
      <w:pPr>
        <w:sectPr>
          <w:pgSz w:w="11900" w:h="16838" w:orient="portrait"/>
          <w:cols w:equalWidth="0" w:num="1">
            <w:col w:w="10159"/>
          </w:cols>
          <w:pgMar w:left="300" w:top="407"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w:t>
      </w:r>
    </w:p>
    <w:p>
      <w:pPr>
        <w:spacing w:after="0" w:line="136" w:lineRule="exact"/>
        <w:rPr>
          <w:sz w:val="20"/>
          <w:szCs w:val="20"/>
          <w:color w:val="auto"/>
        </w:rPr>
      </w:pPr>
    </w:p>
    <w:p>
      <w:pPr>
        <w:ind w:left="1360" w:right="319"/>
        <w:spacing w:after="0" w:line="283" w:lineRule="auto"/>
        <w:rPr>
          <w:sz w:val="20"/>
          <w:szCs w:val="20"/>
          <w:color w:val="auto"/>
        </w:rPr>
      </w:pPr>
      <w:r>
        <w:rPr>
          <w:rFonts w:ascii="Times New Roman" w:cs="Times New Roman" w:eastAsia="Times New Roman" w:hAnsi="Times New Roman"/>
          <w:sz w:val="14"/>
          <w:szCs w:val="14"/>
          <w:color w:val="auto"/>
        </w:rPr>
        <w:t>During the year ended December 31, 2023, the Company executed three lease renewals for a period of five years and extinguished one lease prior to its scheduled termination date. The loss recognized on lease termination was immaterial.</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components of the net lease cost reflected in the Company’s consolidated statements of operations were as follows for the years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and 2023 (in thousands):</w:t>
      </w:r>
    </w:p>
    <w:p>
      <w:pPr>
        <w:spacing w:after="0" w:line="177"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3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lease costs</w:t>
            </w:r>
          </w:p>
        </w:tc>
        <w:tc>
          <w:tcPr>
            <w:tcW w:w="2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2"/>
              </w:rPr>
              <w:t>$817</w:t>
            </w:r>
          </w:p>
        </w:tc>
        <w:tc>
          <w:tcPr>
            <w:tcW w:w="3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989</w:t>
            </w:r>
          </w:p>
        </w:tc>
        <w:tc>
          <w:tcPr>
            <w:tcW w:w="40" w:type="dxa"/>
            <w:vAlign w:val="bottom"/>
            <w:tcBorders>
              <w:top w:val="single" w:sz="8" w:color="CCEEFF"/>
            </w:tcBorders>
            <w:shd w:val="clear" w:color="auto" w:fill="CCEEFF"/>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costs</w:t>
            </w:r>
          </w:p>
        </w:tc>
        <w:tc>
          <w:tcPr>
            <w:tcW w:w="21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843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1,035</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399"/>
        <w:spacing w:after="0" w:line="296" w:lineRule="auto"/>
        <w:rPr>
          <w:sz w:val="20"/>
          <w:szCs w:val="20"/>
          <w:color w:val="auto"/>
        </w:rPr>
      </w:pPr>
      <w:r>
        <w:rPr>
          <w:rFonts w:ascii="Times New Roman" w:cs="Times New Roman" w:eastAsia="Times New Roman" w:hAnsi="Times New Roman"/>
          <w:sz w:val="13"/>
          <w:szCs w:val="13"/>
          <w:color w:val="auto"/>
        </w:rPr>
        <w:t>As of December 31, 2024, the Company’s operating leases had a weighted average remaining lease term of 3.2 years and a weighted average discount rate related to the Company’s ROU assets and lease liabilities of 9.9%. As of December 31, 2023, the Company’s operating leases had a weighted average remaining lease term of 4.0 years and a weighted average discount rate related to the Company’s ROU assets and lease liabilities of 9.8%.</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Supplemental information related to operating leases was as follows for the years ended December 31, 2024 and 2023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785</w:t>
            </w:r>
          </w:p>
        </w:tc>
        <w:tc>
          <w:tcPr>
            <w:tcW w:w="3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1,008</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1"/>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1,673</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and lease liabilities extinguished upon termination of lease, net gain</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1"/>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4"/>
                <w:szCs w:val="14"/>
                <w:color w:val="auto"/>
              </w:rPr>
              <w:t>Short-term variable lease expenses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5"/>
                <w:szCs w:val="15"/>
                <w:color w:val="auto"/>
              </w:rPr>
            </w:pPr>
          </w:p>
        </w:tc>
      </w:tr>
    </w:tbl>
    <w:p>
      <w:pPr>
        <w:spacing w:after="0" w:line="13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As of December 31, 2024, future minimum lease payments under the Company’s non-cancelable operating leases are as follows (in thousands):</w:t>
      </w:r>
    </w:p>
    <w:p>
      <w:pPr>
        <w:spacing w:after="0" w:line="181" w:lineRule="exact"/>
        <w:rPr>
          <w:sz w:val="20"/>
          <w:szCs w:val="20"/>
          <w:color w:val="auto"/>
        </w:rPr>
      </w:pPr>
    </w:p>
    <w:tbl>
      <w:tblPr>
        <w:tblLayout w:type="fixed"/>
        <w:tblInd w:w="274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Operating lease</w:t>
            </w:r>
          </w:p>
        </w:tc>
      </w:tr>
      <w:tr>
        <w:trPr>
          <w:trHeight w:val="135"/>
        </w:trPr>
        <w:tc>
          <w:tcPr>
            <w:tcW w:w="4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obligations</w:t>
            </w:r>
          </w:p>
        </w:tc>
      </w:tr>
      <w:tr>
        <w:trPr>
          <w:trHeight w:val="159"/>
        </w:trPr>
        <w:tc>
          <w:tcPr>
            <w:tcW w:w="49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721</w:t>
            </w:r>
          </w:p>
        </w:tc>
        <w:tc>
          <w:tcPr>
            <w:tcW w:w="80" w:type="dxa"/>
            <w:vAlign w:val="bottom"/>
            <w:tcBorders>
              <w:top w:val="single" w:sz="8" w:color="CCEEFF"/>
            </w:tcBorders>
            <w:shd w:val="clear" w:color="auto" w:fill="CCEEFF"/>
          </w:tcPr>
          <w:p>
            <w:pPr>
              <w:spacing w:after="0"/>
              <w:rPr>
                <w:sz w:val="13"/>
                <w:szCs w:val="13"/>
                <w:color w:val="auto"/>
              </w:rPr>
            </w:pPr>
          </w:p>
        </w:tc>
      </w:tr>
      <w:tr>
        <w:trPr>
          <w:trHeight w:val="168"/>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4"/>
                <w:szCs w:val="14"/>
                <w:color w:val="auto"/>
              </w:rPr>
            </w:pPr>
          </w:p>
        </w:tc>
      </w:tr>
      <w:tr>
        <w:trPr>
          <w:trHeight w:val="16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shd w:val="clear" w:color="auto" w:fill="CCEEFF"/>
          </w:tcPr>
          <w:p>
            <w:pPr>
              <w:spacing w:after="0"/>
              <w:rPr>
                <w:sz w:val="14"/>
                <w:szCs w:val="14"/>
                <w:color w:val="auto"/>
              </w:rPr>
            </w:pPr>
          </w:p>
        </w:tc>
      </w:tr>
      <w:tr>
        <w:trPr>
          <w:trHeight w:val="168"/>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4"/>
                <w:szCs w:val="14"/>
                <w:color w:val="auto"/>
              </w:rPr>
            </w:pPr>
          </w:p>
        </w:tc>
      </w:tr>
      <w:tr>
        <w:trPr>
          <w:trHeight w:val="16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4"/>
                <w:szCs w:val="14"/>
                <w:color w:val="auto"/>
              </w:rPr>
            </w:pP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80" w:type="dxa"/>
            <w:vAlign w:val="bottom"/>
          </w:tcPr>
          <w:p>
            <w:pPr>
              <w:spacing w:after="0"/>
              <w:rPr>
                <w:sz w:val="14"/>
                <w:szCs w:val="14"/>
                <w:color w:val="auto"/>
              </w:rPr>
            </w:pPr>
          </w:p>
        </w:tc>
      </w:tr>
      <w:tr>
        <w:trPr>
          <w:trHeight w:val="16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(302)</w:t>
            </w: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net future minimum lease payments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tcPr>
          <w:p>
            <w:pPr>
              <w:spacing w:after="0"/>
              <w:rPr>
                <w:sz w:val="14"/>
                <w:szCs w:val="14"/>
                <w:color w:val="auto"/>
              </w:rPr>
            </w:pPr>
          </w:p>
        </w:tc>
      </w:tr>
      <w:tr>
        <w:trPr>
          <w:trHeight w:val="16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short-term operating lease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(578)</w:t>
            </w: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10. Redeemable Convertible Preferred Stock</w:t>
      </w:r>
    </w:p>
    <w:p>
      <w:pPr>
        <w:spacing w:after="0" w:line="93" w:lineRule="exact"/>
        <w:rPr>
          <w:sz w:val="20"/>
          <w:szCs w:val="20"/>
          <w:color w:val="auto"/>
        </w:rPr>
      </w:pPr>
    </w:p>
    <w:p>
      <w:pPr>
        <w:ind w:left="1360" w:right="339"/>
        <w:spacing w:after="0" w:line="283" w:lineRule="auto"/>
        <w:rPr>
          <w:sz w:val="20"/>
          <w:szCs w:val="20"/>
          <w:color w:val="auto"/>
        </w:rPr>
      </w:pPr>
      <w:r>
        <w:rPr>
          <w:rFonts w:ascii="Times New Roman" w:cs="Times New Roman" w:eastAsia="Times New Roman" w:hAnsi="Times New Roman"/>
          <w:sz w:val="14"/>
          <w:szCs w:val="14"/>
          <w:color w:val="auto"/>
        </w:rPr>
        <w:t>Under the terms of the December 12, 2022 Amended and Restated Certificate of Incorporation the Company introduced “Shadow Preferred” classes of stock. A Shadow Preferred class of stock was created for each series of</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F-76</w:t>
      </w:r>
    </w:p>
    <w:p>
      <w:pPr>
        <w:sectPr>
          <w:pgSz w:w="11900" w:h="16838" w:orient="portrait"/>
          <w:cols w:equalWidth="0" w:num="1">
            <w:col w:w="10159"/>
          </w:cols>
          <w:pgMar w:left="300" w:top="407"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w:t>
      </w:r>
    </w:p>
    <w:p>
      <w:pPr>
        <w:spacing w:after="0" w:line="136" w:lineRule="exact"/>
        <w:rPr>
          <w:sz w:val="20"/>
          <w:szCs w:val="20"/>
          <w:color w:val="auto"/>
        </w:rPr>
      </w:pPr>
    </w:p>
    <w:p>
      <w:pPr>
        <w:ind w:left="1360" w:right="259"/>
        <w:spacing w:after="0" w:line="256" w:lineRule="auto"/>
        <w:rPr>
          <w:sz w:val="20"/>
          <w:szCs w:val="20"/>
          <w:color w:val="auto"/>
        </w:rPr>
      </w:pPr>
      <w:r>
        <w:rPr>
          <w:rFonts w:ascii="Times New Roman" w:cs="Times New Roman" w:eastAsia="Times New Roman" w:hAnsi="Times New Roman"/>
          <w:sz w:val="14"/>
          <w:szCs w:val="14"/>
          <w:color w:val="auto"/>
        </w:rPr>
        <w:t>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consolidated statements of operations.</w:t>
      </w:r>
    </w:p>
    <w:p>
      <w:pPr>
        <w:spacing w:after="0" w:line="144"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The authorized, issued and outstanding shares of the redeemable convertible preferred stock and liquidation preferences as of December 31, 2024 and 2023 were as follows (dollars in thousands):</w:t>
      </w:r>
    </w:p>
    <w:p>
      <w:pPr>
        <w:spacing w:after="0" w:line="13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60" w:type="dxa"/>
            <w:vAlign w:val="bottom"/>
            <w:vMerge w:val="restart"/>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280" w:type="dxa"/>
            <w:vAlign w:val="bottom"/>
          </w:tcPr>
          <w:p>
            <w:pPr>
              <w:spacing w:after="0"/>
              <w:rPr>
                <w:sz w:val="11"/>
                <w:szCs w:val="11"/>
                <w:color w:val="auto"/>
              </w:rPr>
            </w:pPr>
          </w:p>
        </w:tc>
        <w:tc>
          <w:tcPr>
            <w:tcW w:w="760" w:type="dxa"/>
            <w:vAlign w:val="bottom"/>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Net</w:t>
            </w:r>
          </w:p>
        </w:tc>
        <w:tc>
          <w:tcPr>
            <w:tcW w:w="280" w:type="dxa"/>
            <w:vAlign w:val="bottom"/>
          </w:tcPr>
          <w:p>
            <w:pPr>
              <w:spacing w:after="0"/>
              <w:rPr>
                <w:sz w:val="11"/>
                <w:szCs w:val="11"/>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16"/>
        </w:trPr>
        <w:tc>
          <w:tcPr>
            <w:tcW w:w="6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ind w:right="34"/>
              <w:spacing w:after="0" w:line="116"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1"/>
                <w:szCs w:val="11"/>
                <w:color w:val="auto"/>
              </w:rPr>
            </w:pPr>
          </w:p>
        </w:tc>
        <w:tc>
          <w:tcPr>
            <w:tcW w:w="76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w w:val="94"/>
              </w:rPr>
              <w:t>Value *</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Preference</w:t>
            </w:r>
          </w:p>
        </w:tc>
        <w:tc>
          <w:tcPr>
            <w:tcW w:w="0" w:type="dxa"/>
            <w:vAlign w:val="bottom"/>
          </w:tcPr>
          <w:p>
            <w:pPr>
              <w:spacing w:after="0"/>
              <w:rPr>
                <w:sz w:val="1"/>
                <w:szCs w:val="1"/>
                <w:color w:val="auto"/>
              </w:rPr>
            </w:pPr>
          </w:p>
        </w:tc>
      </w:tr>
      <w:tr>
        <w:trPr>
          <w:trHeight w:val="106"/>
        </w:trPr>
        <w:tc>
          <w:tcPr>
            <w:tcW w:w="6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gridSpan w:val="4"/>
          </w:tcPr>
          <w:p>
            <w:pPr>
              <w:jc w:val="right"/>
              <w:ind w:right="371"/>
              <w:spacing w:after="0" w:line="106"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Seed Shadow Preferred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5,032,238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2,020,309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A Shadow Preferred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15,174,130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4,573,935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B Shadow Preferred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18,392,046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12,234,661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C Shadow Preferred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13,722,052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10,211,548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48,661</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D Shadow Preferred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4,707,494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3,990,707</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41,673</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D Exchange Shadow Preferred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4,707,494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239,405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D-1</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Shadow Preferred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3,935,839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3,662,318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Series D-1</w:t>
            </w:r>
          </w:p>
        </w:tc>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Shadow Preferred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3,935,839</w:t>
            </w:r>
          </w:p>
        </w:tc>
        <w:tc>
          <w:tcPr>
            <w:tcW w:w="2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D-2</w:t>
            </w: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Shadow Preferred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27,042,965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7,561,820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37,595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56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96,650,097</w:t>
            </w:r>
          </w:p>
        </w:tc>
        <w:tc>
          <w:tcPr>
            <w:tcW w:w="2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44,494,703</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2620" w:hanging="1265"/>
        <w:spacing w:after="0"/>
        <w:tabs>
          <w:tab w:leader="none" w:pos="26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issuance cost including cash, issuance of preferred stock warrants &amp; dividend contribution(In thousands)</w:t>
      </w:r>
    </w:p>
    <w:p>
      <w:pPr>
        <w:spacing w:after="0" w:line="175"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7) and related establishment of Shadow Preferred classes remained the same.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3" w:lineRule="exact"/>
        <w:rPr>
          <w:sz w:val="20"/>
          <w:szCs w:val="20"/>
          <w:color w:val="auto"/>
        </w:rPr>
      </w:pPr>
    </w:p>
    <w:p>
      <w:pPr>
        <w:ind w:left="1360" w:right="659"/>
        <w:spacing w:after="0" w:line="323" w:lineRule="auto"/>
        <w:rPr>
          <w:sz w:val="20"/>
          <w:szCs w:val="20"/>
          <w:color w:val="auto"/>
        </w:rPr>
      </w:pPr>
      <w:r>
        <w:rPr>
          <w:rFonts w:ascii="Times New Roman" w:cs="Times New Roman" w:eastAsia="Times New Roman" w:hAnsi="Times New Roman"/>
          <w:sz w:val="13"/>
          <w:szCs w:val="13"/>
          <w:color w:val="auto"/>
        </w:rPr>
        <w:t>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w:t>
      </w:r>
    </w:p>
    <w:p>
      <w:pPr>
        <w:spacing w:after="0" w:line="5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F-77</w:t>
      </w:r>
    </w:p>
    <w:p>
      <w:pPr>
        <w:sectPr>
          <w:pgSz w:w="11900" w:h="16838" w:orient="portrait"/>
          <w:cols w:equalWidth="0" w:num="1">
            <w:col w:w="10159"/>
          </w:cols>
          <w:pgMar w:left="300" w:top="407"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ind w:left="1360" w:right="359"/>
        <w:spacing w:after="0" w:line="257" w:lineRule="auto"/>
        <w:rPr>
          <w:sz w:val="20"/>
          <w:szCs w:val="20"/>
          <w:color w:val="auto"/>
        </w:rPr>
      </w:pPr>
      <w:r>
        <w:rPr>
          <w:rFonts w:ascii="Times New Roman" w:cs="Times New Roman" w:eastAsia="Times New Roman" w:hAnsi="Times New Roman"/>
          <w:sz w:val="14"/>
          <w:szCs w:val="14"/>
          <w:color w:val="auto"/>
        </w:rPr>
        <w:t>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-600075</wp:posOffset>
            </wp:positionV>
            <wp:extent cx="222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3"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w:t>
      </w:r>
    </w:p>
    <w:p>
      <w:pPr>
        <w:spacing w:after="0" w:line="145" w:lineRule="exact"/>
        <w:rPr>
          <w:sz w:val="20"/>
          <w:szCs w:val="20"/>
          <w:color w:val="auto"/>
        </w:rPr>
      </w:pPr>
    </w:p>
    <w:p>
      <w:pPr>
        <w:ind w:left="1360" w:right="299"/>
        <w:spacing w:after="0" w:line="258" w:lineRule="auto"/>
        <w:rPr>
          <w:sz w:val="20"/>
          <w:szCs w:val="20"/>
          <w:color w:val="auto"/>
        </w:rPr>
      </w:pPr>
      <w:r>
        <w:rPr>
          <w:rFonts w:ascii="Times New Roman" w:cs="Times New Roman" w:eastAsia="Times New Roman" w:hAnsi="Times New Roman"/>
          <w:sz w:val="14"/>
          <w:szCs w:val="14"/>
          <w:color w:val="auto"/>
        </w:rPr>
        <w:t>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w:t>
      </w:r>
    </w:p>
    <w:p>
      <w:pPr>
        <w:spacing w:after="0" w:line="144" w:lineRule="exact"/>
        <w:rPr>
          <w:sz w:val="20"/>
          <w:szCs w:val="20"/>
          <w:color w:val="auto"/>
        </w:rPr>
      </w:pPr>
    </w:p>
    <w:p>
      <w:pPr>
        <w:ind w:left="1360" w:right="459"/>
        <w:spacing w:after="0" w:line="256" w:lineRule="auto"/>
        <w:rPr>
          <w:sz w:val="20"/>
          <w:szCs w:val="20"/>
          <w:color w:val="auto"/>
        </w:rPr>
      </w:pPr>
      <w:r>
        <w:rPr>
          <w:rFonts w:ascii="Times New Roman" w:cs="Times New Roman" w:eastAsia="Times New Roman" w:hAnsi="Times New Roman"/>
          <w:sz w:val="14"/>
          <w:szCs w:val="14"/>
          <w:color w:val="auto"/>
        </w:rPr>
        <w:t>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3" w:lineRule="exact"/>
        <w:rPr>
          <w:sz w:val="20"/>
          <w:szCs w:val="20"/>
          <w:color w:val="auto"/>
        </w:rPr>
      </w:pPr>
    </w:p>
    <w:p>
      <w:pPr>
        <w:ind w:left="1360" w:right="499"/>
        <w:spacing w:after="0" w:line="283" w:lineRule="auto"/>
        <w:rPr>
          <w:sz w:val="20"/>
          <w:szCs w:val="20"/>
          <w:color w:val="auto"/>
        </w:rPr>
      </w:pPr>
      <w:r>
        <w:rPr>
          <w:rFonts w:ascii="Times New Roman" w:cs="Times New Roman" w:eastAsia="Times New Roman" w:hAnsi="Times New Roman"/>
          <w:sz w:val="14"/>
          <w:szCs w:val="14"/>
          <w:color w:val="auto"/>
        </w:rPr>
        <w:t>At any time after the initial issuance date, upon receipt of a Redemption Request by the Company of not less than a majority of the then outstanding Series B Shadow Preferred Stock, Series C Shadow Preferred Stock, Series D</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F-78</w:t>
      </w:r>
    </w:p>
    <w:p>
      <w:pPr>
        <w:sectPr>
          <w:pgSz w:w="11900" w:h="16838" w:orient="portrait"/>
          <w:cols w:equalWidth="0" w:num="1">
            <w:col w:w="10159"/>
          </w:cols>
          <w:pgMar w:left="300" w:top="407"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19"/>
        <w:spacing w:after="0" w:line="261" w:lineRule="auto"/>
        <w:rPr>
          <w:sz w:val="20"/>
          <w:szCs w:val="20"/>
          <w:color w:val="auto"/>
        </w:rPr>
      </w:pPr>
      <w:r>
        <w:rPr>
          <w:rFonts w:ascii="Times New Roman" w:cs="Times New Roman" w:eastAsia="Times New Roman" w:hAnsi="Times New Roman"/>
          <w:sz w:val="14"/>
          <w:szCs w:val="14"/>
          <w:color w:val="auto"/>
        </w:rPr>
        <w:t>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w:t>
      </w:r>
    </w:p>
    <w:p>
      <w:pPr>
        <w:spacing w:after="0" w:line="141"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The redemption request could not be made until after the fifth anniversary of the date upon which shares of the Series C Preferred Stock are first issued, or July 2023. Such request was not made as of such date (see Note 7).</w:t>
      </w:r>
    </w:p>
    <w:p>
      <w:pPr>
        <w:spacing w:after="0" w:line="125" w:lineRule="exact"/>
        <w:rPr>
          <w:sz w:val="20"/>
          <w:szCs w:val="20"/>
          <w:color w:val="auto"/>
        </w:rPr>
      </w:pPr>
    </w:p>
    <w:p>
      <w:pPr>
        <w:ind w:left="1360" w:right="419"/>
        <w:spacing w:after="0" w:line="283" w:lineRule="auto"/>
        <w:rPr>
          <w:sz w:val="20"/>
          <w:szCs w:val="20"/>
          <w:color w:val="auto"/>
        </w:rPr>
      </w:pPr>
      <w:r>
        <w:rPr>
          <w:rFonts w:ascii="Times New Roman" w:cs="Times New Roman" w:eastAsia="Times New Roman" w:hAnsi="Times New Roman"/>
          <w:sz w:val="14"/>
          <w:szCs w:val="14"/>
          <w:color w:val="auto"/>
        </w:rPr>
        <w:t>Due to conditions of redemption that are outside the control of the Company, the redeemable convertible preferred stock has been reflected outside of stockholders’ deficit.</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3" w:lineRule="exact"/>
        <w:rPr>
          <w:sz w:val="20"/>
          <w:szCs w:val="20"/>
          <w:color w:val="auto"/>
        </w:rPr>
      </w:pPr>
    </w:p>
    <w:p>
      <w:pPr>
        <w:ind w:left="1360" w:right="359"/>
        <w:spacing w:after="0" w:line="261" w:lineRule="auto"/>
        <w:rPr>
          <w:sz w:val="20"/>
          <w:szCs w:val="20"/>
          <w:color w:val="auto"/>
        </w:rPr>
      </w:pPr>
      <w:r>
        <w:rPr>
          <w:rFonts w:ascii="Times New Roman" w:cs="Times New Roman" w:eastAsia="Times New Roman" w:hAnsi="Times New Roman"/>
          <w:sz w:val="14"/>
          <w:szCs w:val="14"/>
          <w:color w:val="auto"/>
        </w:rPr>
        <w:t>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w:t>
      </w:r>
    </w:p>
    <w:p>
      <w:pPr>
        <w:spacing w:after="0" w:line="141"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In addition, each share of Preferred Stock shall automatically be converted into shares of Common Stock at the Conversion Rate immediately upon the earlier of (i) an IPO with resulting gross proceeds of at least $150.0 million, (ii) a Qualified Direct Listing, (ii) a Qualified SPAC Transaction with cash and cash equivalents of at least $225.0 million after redemptions or (iv) upon vote or written consent or agreement of the holders of a majority of the then outstanding shares of Preferred Stock voting as a single class on an as-converted basis.</w:t>
      </w:r>
    </w:p>
    <w:p>
      <w:pPr>
        <w:spacing w:after="0" w:line="141" w:lineRule="exact"/>
        <w:rPr>
          <w:sz w:val="20"/>
          <w:szCs w:val="20"/>
          <w:color w:val="auto"/>
        </w:rPr>
      </w:pPr>
    </w:p>
    <w:p>
      <w:pPr>
        <w:jc w:val="both"/>
        <w:ind w:left="1360" w:right="419"/>
        <w:spacing w:after="0" w:line="267" w:lineRule="auto"/>
        <w:rPr>
          <w:sz w:val="20"/>
          <w:szCs w:val="20"/>
          <w:color w:val="auto"/>
        </w:rPr>
      </w:pPr>
      <w:r>
        <w:rPr>
          <w:rFonts w:ascii="Times New Roman" w:cs="Times New Roman" w:eastAsia="Times New Roman" w:hAnsi="Times New Roman"/>
          <w:sz w:val="14"/>
          <w:szCs w:val="14"/>
          <w:color w:val="auto"/>
        </w:rPr>
        <w:t>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On the Closing Date, all outstanding preferred stock was converted to common stock upon the execution of the Merger (see Note 1).</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11. Common stock and Stock-Based Compensation</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Common stock:</w:t>
      </w:r>
    </w:p>
    <w:p>
      <w:pPr>
        <w:spacing w:after="0" w:line="91" w:lineRule="exact"/>
        <w:rPr>
          <w:sz w:val="20"/>
          <w:szCs w:val="20"/>
          <w:color w:val="auto"/>
        </w:rPr>
      </w:pPr>
    </w:p>
    <w:p>
      <w:pPr>
        <w:ind w:left="1360" w:right="599"/>
        <w:spacing w:after="0" w:line="283" w:lineRule="auto"/>
        <w:rPr>
          <w:sz w:val="20"/>
          <w:szCs w:val="20"/>
          <w:color w:val="auto"/>
        </w:rPr>
      </w:pPr>
      <w:r>
        <w:rPr>
          <w:rFonts w:ascii="Times New Roman" w:cs="Times New Roman" w:eastAsia="Times New Roman" w:hAnsi="Times New Roman"/>
          <w:sz w:val="14"/>
          <w:szCs w:val="14"/>
          <w:color w:val="auto"/>
        </w:rPr>
        <w:t>At December 31, 2024 and 2023, there were 175,095,000 shares of common stock authorized, respectively, and 17,519,999 and 17,454,353 shares issued and outstanding, respectively.</w:t>
      </w:r>
    </w:p>
    <w:p>
      <w:pPr>
        <w:spacing w:after="0" w:line="125" w:lineRule="exact"/>
        <w:rPr>
          <w:sz w:val="20"/>
          <w:szCs w:val="20"/>
          <w:color w:val="auto"/>
        </w:rPr>
      </w:pPr>
    </w:p>
    <w:p>
      <w:pPr>
        <w:ind w:left="1360" w:right="279"/>
        <w:spacing w:after="0" w:line="267" w:lineRule="auto"/>
        <w:rPr>
          <w:sz w:val="20"/>
          <w:szCs w:val="20"/>
          <w:color w:val="auto"/>
        </w:rPr>
      </w:pPr>
      <w:r>
        <w:rPr>
          <w:rFonts w:ascii="Times New Roman" w:cs="Times New Roman" w:eastAsia="Times New Roman" w:hAnsi="Times New Roman"/>
          <w:sz w:val="14"/>
          <w:szCs w:val="14"/>
          <w:color w:val="auto"/>
        </w:rPr>
        <w:t>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F-79</w:t>
      </w:r>
    </w:p>
    <w:p>
      <w:pPr>
        <w:sectPr>
          <w:pgSz w:w="11900" w:h="16838" w:orient="portrait"/>
          <w:cols w:equalWidth="0" w:num="1">
            <w:col w:w="10159"/>
          </w:cols>
          <w:pgMar w:left="300" w:top="407"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Common stock reserved for issuance as of December 31, 2024 and 2023, is as follows:</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60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11"/>
                <w:szCs w:val="11"/>
                <w:color w:val="auto"/>
              </w:rPr>
            </w:pPr>
          </w:p>
        </w:tc>
      </w:tr>
      <w:tr>
        <w:trPr>
          <w:trHeight w:val="159"/>
        </w:trPr>
        <w:tc>
          <w:tcPr>
            <w:tcW w:w="60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Series Seed Shadow Preferred</w:t>
            </w: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2,020,309</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2,020,309</w:t>
            </w:r>
          </w:p>
        </w:tc>
        <w:tc>
          <w:tcPr>
            <w:tcW w:w="140" w:type="dxa"/>
            <w:vAlign w:val="bottom"/>
            <w:shd w:val="clear" w:color="auto" w:fill="CCEEFF"/>
          </w:tcPr>
          <w:p>
            <w:pPr>
              <w:spacing w:after="0"/>
              <w:rPr>
                <w:sz w:val="13"/>
                <w:szCs w:val="13"/>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Series A Shadow Preferred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4,573,935</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4,573,935</w:t>
            </w: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B Shadow Preferred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12,234,661</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12,234,661</w:t>
            </w:r>
          </w:p>
        </w:tc>
        <w:tc>
          <w:tcPr>
            <w:tcW w:w="140" w:type="dxa"/>
            <w:vAlign w:val="bottom"/>
            <w:shd w:val="clear" w:color="auto" w:fill="CCEEFF"/>
          </w:tcPr>
          <w:p>
            <w:pPr>
              <w:spacing w:after="0"/>
              <w:rPr>
                <w:sz w:val="14"/>
                <w:szCs w:val="14"/>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Series C Shadow Preferred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10,211,548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10,211,548</w:t>
            </w: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D Shadow Preferred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3,990,707</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3,990,707</w:t>
            </w:r>
          </w:p>
        </w:tc>
        <w:tc>
          <w:tcPr>
            <w:tcW w:w="140" w:type="dxa"/>
            <w:vAlign w:val="bottom"/>
            <w:shd w:val="clear" w:color="auto" w:fill="CCEEFF"/>
          </w:tcPr>
          <w:p>
            <w:pPr>
              <w:spacing w:after="0"/>
              <w:rPr>
                <w:sz w:val="14"/>
                <w:szCs w:val="14"/>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Series D Exchange Shadow Preferred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239,405</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239,405</w:t>
            </w: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Series D-1 Shadow Preferred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3,662,318</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3,662,318</w:t>
            </w:r>
          </w:p>
        </w:tc>
        <w:tc>
          <w:tcPr>
            <w:tcW w:w="140" w:type="dxa"/>
            <w:vAlign w:val="bottom"/>
            <w:shd w:val="clear" w:color="auto" w:fill="CCEEFF"/>
          </w:tcPr>
          <w:p>
            <w:pPr>
              <w:spacing w:after="0"/>
              <w:rPr>
                <w:sz w:val="14"/>
                <w:szCs w:val="14"/>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Series D-2 Shadow Preferred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7,561,820</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7,561,820</w:t>
            </w: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outstanding for future issuance of Series D Shadow and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756,172</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1,094,667</w:t>
            </w:r>
          </w:p>
        </w:tc>
        <w:tc>
          <w:tcPr>
            <w:tcW w:w="140" w:type="dxa"/>
            <w:vAlign w:val="bottom"/>
            <w:shd w:val="clear" w:color="auto" w:fill="CCEEFF"/>
          </w:tcPr>
          <w:p>
            <w:pPr>
              <w:spacing w:after="0"/>
              <w:rPr>
                <w:sz w:val="14"/>
                <w:szCs w:val="14"/>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Series D-2 Shadow preferred stock</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 outstanding for future issuance of common stock</w:t>
            </w: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40" w:type="dxa"/>
            <w:vAlign w:val="bottom"/>
            <w:shd w:val="clear" w:color="auto" w:fill="CCEEFF"/>
          </w:tcPr>
          <w:p>
            <w:pPr>
              <w:spacing w:after="0"/>
              <w:rPr>
                <w:sz w:val="14"/>
                <w:szCs w:val="14"/>
                <w:color w:val="auto"/>
              </w:rPr>
            </w:pP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Pay-to-Play warrants (estimated see Note 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1,127,088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721,086</w:t>
            </w:r>
          </w:p>
        </w:tc>
        <w:tc>
          <w:tcPr>
            <w:tcW w:w="140" w:type="dxa"/>
            <w:vAlign w:val="bottom"/>
          </w:tcPr>
          <w:p>
            <w:pPr>
              <w:spacing w:after="0"/>
              <w:rPr>
                <w:sz w:val="14"/>
                <w:szCs w:val="14"/>
                <w:color w:val="auto"/>
              </w:rPr>
            </w:pPr>
          </w:p>
        </w:tc>
      </w:tr>
      <w:tr>
        <w:trPr>
          <w:trHeight w:val="148"/>
        </w:trPr>
        <w:tc>
          <w:tcPr>
            <w:tcW w:w="6040" w:type="dxa"/>
            <w:vAlign w:val="bottom"/>
            <w:tcBorders>
              <w:bottom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Convertible Notes warrants - 2023</w:t>
            </w: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9"/>
                <w:szCs w:val="9"/>
                <w:color w:val="auto"/>
              </w:rPr>
              <w:t>(a)</w:t>
            </w:r>
          </w:p>
        </w:tc>
        <w:tc>
          <w:tcPr>
            <w:tcW w:w="82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9"/>
                <w:szCs w:val="9"/>
                <w:color w:val="auto"/>
              </w:rPr>
              <w:t>(a)</w:t>
            </w: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Pre-funded warrant (estimated see Note 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7,007,582</w:t>
            </w: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Pre-funded warrant April 2024 (estimated see Note 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3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 xml:space="preserve">—   </w:t>
            </w:r>
          </w:p>
        </w:tc>
      </w:tr>
      <w:tr>
        <w:trPr>
          <w:trHeight w:val="168"/>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 and restricted stock units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41,018,458</w:t>
            </w: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21,354,809</w:t>
            </w:r>
          </w:p>
        </w:tc>
        <w:tc>
          <w:tcPr>
            <w:tcW w:w="140" w:type="dxa"/>
            <w:vAlign w:val="bottom"/>
          </w:tcPr>
          <w:p>
            <w:pPr>
              <w:spacing w:after="0"/>
              <w:rPr>
                <w:sz w:val="14"/>
                <w:szCs w:val="14"/>
                <w:color w:val="auto"/>
              </w:rPr>
            </w:pPr>
          </w:p>
        </w:tc>
      </w:tr>
      <w:tr>
        <w:trPr>
          <w:trHeight w:val="16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 available for future issuance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2,226,705</w:t>
            </w:r>
          </w:p>
        </w:tc>
        <w:tc>
          <w:tcPr>
            <w:tcW w:w="36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839,706</w:t>
            </w:r>
          </w:p>
        </w:tc>
        <w:tc>
          <w:tcPr>
            <w:tcW w:w="140" w:type="dxa"/>
            <w:vAlign w:val="bottom"/>
            <w:shd w:val="clear" w:color="auto" w:fill="CCEEFF"/>
          </w:tcPr>
          <w:p>
            <w:pPr>
              <w:spacing w:after="0"/>
              <w:rPr>
                <w:sz w:val="14"/>
                <w:szCs w:val="14"/>
                <w:color w:val="auto"/>
              </w:rPr>
            </w:pPr>
          </w:p>
        </w:tc>
      </w:tr>
      <w:tr>
        <w:trPr>
          <w:trHeight w:val="169"/>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96,123,126</w:t>
            </w:r>
          </w:p>
        </w:tc>
        <w:tc>
          <w:tcPr>
            <w:tcW w:w="3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75,514,616</w:t>
            </w:r>
          </w:p>
        </w:tc>
        <w:tc>
          <w:tcPr>
            <w:tcW w:w="140" w:type="dxa"/>
            <w:vAlign w:val="bottom"/>
          </w:tcPr>
          <w:p>
            <w:pPr>
              <w:spacing w:after="0"/>
              <w:rPr>
                <w:sz w:val="14"/>
                <w:szCs w:val="14"/>
                <w:color w:val="auto"/>
              </w:rPr>
            </w:pPr>
          </w:p>
        </w:tc>
      </w:tr>
      <w:tr>
        <w:trPr>
          <w:trHeight w:val="20"/>
        </w:trPr>
        <w:tc>
          <w:tcPr>
            <w:tcW w:w="6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219" w:hanging="345"/>
        <w:spacing w:after="0" w:line="236" w:lineRule="auto"/>
        <w:tabs>
          <w:tab w:leader="none" w:pos="1700" w:val="left"/>
        </w:tabs>
        <w:numPr>
          <w:ilvl w:val="0"/>
          <w:numId w:val="8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The number of warrants shares to be issued upon exercise of the 2023 Convertible Note Warrants is not determinable as of December 31, 2023 due to the variable settlement terms (see Note 8).</w:t>
      </w:r>
    </w:p>
    <w:p>
      <w:pPr>
        <w:spacing w:after="0" w:line="1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auto"/>
        </w:rPr>
        <w:t>Stock-Based Compensation:</w:t>
      </w:r>
    </w:p>
    <w:p>
      <w:pPr>
        <w:spacing w:after="0" w:line="175"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w:t>
      </w:r>
    </w:p>
    <w:p>
      <w:pPr>
        <w:spacing w:after="0" w:line="144"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The Company recognizes compensation expense for service-based options on a straight-line basis over the requisite service period of all employees or non-employees, which is the award’s vesting term, generally over four years. The Company accounts for forfeitures when they occur.</w:t>
      </w:r>
    </w:p>
    <w:p>
      <w:pPr>
        <w:spacing w:after="0" w:line="125"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w:t>
      </w:r>
    </w:p>
    <w:p>
      <w:pPr>
        <w:spacing w:after="0" w:line="14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The fair value of RSUs is determined based on the Company’s estimated fair value of common stock at the date of grant, as determined by the Board of Directors.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F-80</w:t>
      </w:r>
    </w:p>
    <w:p>
      <w:pPr>
        <w:sectPr>
          <w:pgSz w:w="11900" w:h="16838" w:orient="portrait"/>
          <w:cols w:equalWidth="0" w:num="1">
            <w:col w:w="10159"/>
          </w:cols>
          <w:pgMar w:left="300" w:top="407"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spacing w:after="0" w:line="267" w:lineRule="auto"/>
        <w:rPr>
          <w:sz w:val="20"/>
          <w:szCs w:val="20"/>
          <w:color w:val="auto"/>
        </w:rPr>
      </w:pPr>
      <w:r>
        <w:rPr>
          <w:rFonts w:ascii="Times New Roman" w:cs="Times New Roman" w:eastAsia="Times New Roman" w:hAnsi="Times New Roman"/>
          <w:sz w:val="14"/>
          <w:szCs w:val="14"/>
          <w:color w:val="auto"/>
        </w:rPr>
        <w:t>As of December 31, 2024, there were service-based stock options outstanding to purchase a total of 36,363,184 shares of common stock under the Plan and 4,655,274 unvested RSUs. As of December 31, 2024, 2,226,705 shares of common stock were available for issuance for either stock option or RSU grants under the 2011 Amended Plan.</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Options: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 summary of stock option activity as of December 31, 2024 is as follows:</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6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70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60" w:type="dxa"/>
            <w:vAlign w:val="bottom"/>
          </w:tcPr>
          <w:p>
            <w:pPr>
              <w:spacing w:after="0"/>
              <w:rPr>
                <w:sz w:val="10"/>
                <w:szCs w:val="10"/>
                <w:color w:val="auto"/>
              </w:rPr>
            </w:pPr>
          </w:p>
        </w:tc>
        <w:tc>
          <w:tcPr>
            <w:tcW w:w="580" w:type="dxa"/>
            <w:vAlign w:val="bottom"/>
            <w:gridSpan w:val="3"/>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8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5"/>
              </w:rPr>
              <w:t>value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940" w:type="dxa"/>
            <w:vAlign w:val="bottom"/>
            <w:gridSpan w:val="2"/>
          </w:tcPr>
          <w:p>
            <w:pPr>
              <w:jc w:val="center"/>
              <w:ind w:right="300"/>
              <w:spacing w:after="0" w:line="116" w:lineRule="exact"/>
              <w:rPr>
                <w:sz w:val="20"/>
                <w:szCs w:val="20"/>
                <w:color w:val="auto"/>
              </w:rPr>
            </w:pPr>
            <w:r>
              <w:rPr>
                <w:rFonts w:ascii="Times New Roman" w:cs="Times New Roman" w:eastAsia="Times New Roman" w:hAnsi="Times New Roman"/>
                <w:sz w:val="11"/>
                <w:szCs w:val="11"/>
                <w:b w:val="1"/>
                <w:bCs w:val="1"/>
                <w:color w:val="auto"/>
              </w:rPr>
              <w:t>options</w:t>
            </w:r>
          </w:p>
        </w:tc>
        <w:tc>
          <w:tcPr>
            <w:tcW w:w="240" w:type="dxa"/>
            <w:vAlign w:val="bottom"/>
          </w:tcPr>
          <w:p>
            <w:pPr>
              <w:spacing w:after="0"/>
              <w:rPr>
                <w:sz w:val="10"/>
                <w:szCs w:val="10"/>
                <w:color w:val="auto"/>
              </w:rPr>
            </w:pPr>
          </w:p>
        </w:tc>
        <w:tc>
          <w:tcPr>
            <w:tcW w:w="4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0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w w:val="93"/>
              </w:rPr>
              <w:t>(in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price</w:t>
            </w:r>
          </w:p>
        </w:tc>
        <w:tc>
          <w:tcPr>
            <w:tcW w:w="4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life</w:t>
            </w:r>
          </w:p>
        </w:tc>
        <w:tc>
          <w:tcPr>
            <w:tcW w:w="104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Outstanding options at December 31, 2022</w:t>
            </w: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1,325,844</w:t>
            </w:r>
          </w:p>
        </w:tc>
        <w:tc>
          <w:tcPr>
            <w:tcW w:w="2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9.10</w:t>
            </w:r>
          </w:p>
        </w:tc>
        <w:tc>
          <w:tcPr>
            <w:tcW w:w="4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5.6</w:t>
            </w: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15,141,280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Expired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(8,601)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(19,543)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Outstanding options at December 31, 2023</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16,437,980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21,329,457</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(65,646)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(5,500)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(1,333,107)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options at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36,363,184</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Vested/expected to vest at December 31, 2024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22,492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80" w:type="dxa"/>
            <w:vAlign w:val="bottom"/>
            <w:gridSpan w:val="2"/>
            <w:vMerge w:val="continue"/>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35,560,434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0.99</w:t>
            </w:r>
          </w:p>
        </w:tc>
        <w:tc>
          <w:tcPr>
            <w:tcW w:w="104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options at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9,614,865</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639"/>
        <w:spacing w:after="0" w:line="267" w:lineRule="auto"/>
        <w:rPr>
          <w:sz w:val="20"/>
          <w:szCs w:val="20"/>
          <w:color w:val="auto"/>
        </w:rPr>
      </w:pPr>
      <w:r>
        <w:rPr>
          <w:rFonts w:ascii="Times New Roman" w:cs="Times New Roman" w:eastAsia="Times New Roman" w:hAnsi="Times New Roman"/>
          <w:sz w:val="14"/>
          <w:szCs w:val="14"/>
          <w:color w:val="auto"/>
        </w:rPr>
        <w:t>The aggregate intrinsic value of service-based options exercised during the years ended December 31, 2024 and 2023 was $17,000 and zero, respectively. The intrinsic value is the difference between the estimated fair value of the Company’s common stock at the date of exercise and the exercise price for in-the-money stock options.</w:t>
      </w:r>
    </w:p>
    <w:p>
      <w:pPr>
        <w:spacing w:after="0" w:line="136" w:lineRule="exact"/>
        <w:rPr>
          <w:sz w:val="20"/>
          <w:szCs w:val="20"/>
          <w:color w:val="auto"/>
        </w:rPr>
      </w:pPr>
    </w:p>
    <w:p>
      <w:pPr>
        <w:ind w:left="1360" w:right="259"/>
        <w:spacing w:after="0" w:line="267" w:lineRule="auto"/>
        <w:rPr>
          <w:sz w:val="20"/>
          <w:szCs w:val="20"/>
          <w:color w:val="auto"/>
        </w:rPr>
      </w:pPr>
      <w:r>
        <w:rPr>
          <w:rFonts w:ascii="Times New Roman" w:cs="Times New Roman" w:eastAsia="Times New Roman" w:hAnsi="Times New Roman"/>
          <w:sz w:val="14"/>
          <w:szCs w:val="14"/>
          <w:color w:val="auto"/>
        </w:rPr>
        <w:t>The weighted-average grant-date fair value of options granted during the years ended December 31, 2024 and 2023 was $0.88 per share and $0.25 per share, respectively. The total grant date fair value of stock options that vested during the years ended December 31, 2024 and 2023 was $2.8 million and $0.8 million, respectively.</w:t>
      </w:r>
    </w:p>
    <w:p>
      <w:pPr>
        <w:spacing w:after="0" w:line="136"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As of December 31, 2024 there were approximately $18.2 million of total unrecognized compensation cost related to unvested stock options granted, which is expected to be recognized over the weighted-average period of 2.4 years.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Company recorded stock-based compensation expense for stock options and the 2024 cancellation of 135,400 RSUs during the years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and 2023, as follows (in thousands):</w:t>
      </w:r>
    </w:p>
    <w:p>
      <w:pPr>
        <w:spacing w:after="0" w:line="177"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4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6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Research and development</w:t>
            </w:r>
          </w:p>
        </w:tc>
        <w:tc>
          <w:tcPr>
            <w:tcW w:w="17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3"/>
              </w:rPr>
              <w:t>$1,106</w:t>
            </w:r>
          </w:p>
        </w:tc>
        <w:tc>
          <w:tcPr>
            <w:tcW w:w="3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372</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2,111</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2,483</w:t>
            </w:r>
          </w:p>
        </w:tc>
        <w:tc>
          <w:tcPr>
            <w:tcW w:w="40" w:type="dxa"/>
            <w:vAlign w:val="bottom"/>
            <w:shd w:val="clear" w:color="auto" w:fill="CCEEFF"/>
          </w:tcPr>
          <w:p>
            <w:pPr>
              <w:spacing w:after="0"/>
              <w:rPr>
                <w:sz w:val="14"/>
                <w:szCs w:val="14"/>
                <w:color w:val="auto"/>
              </w:rPr>
            </w:pPr>
          </w:p>
        </w:tc>
      </w:tr>
    </w:tbl>
    <w:p>
      <w:pPr>
        <w:spacing w:after="0" w:line="153" w:lineRule="exact"/>
        <w:rPr>
          <w:sz w:val="20"/>
          <w:szCs w:val="20"/>
          <w:color w:val="auto"/>
        </w:rPr>
      </w:pPr>
    </w:p>
    <w:p>
      <w:pPr>
        <w:ind w:left="1360" w:right="239"/>
        <w:spacing w:after="0" w:line="261" w:lineRule="auto"/>
        <w:rPr>
          <w:sz w:val="20"/>
          <w:szCs w:val="20"/>
          <w:color w:val="auto"/>
        </w:rPr>
      </w:pPr>
      <w:r>
        <w:rPr>
          <w:rFonts w:ascii="Times New Roman" w:cs="Times New Roman" w:eastAsia="Times New Roman" w:hAnsi="Times New Roman"/>
          <w:sz w:val="14"/>
          <w:szCs w:val="14"/>
          <w:color w:val="auto"/>
        </w:rPr>
        <w:t>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F-81</w:t>
      </w:r>
    </w:p>
    <w:p>
      <w:pPr>
        <w:sectPr>
          <w:pgSz w:w="11900" w:h="16838" w:orient="portrait"/>
          <w:cols w:equalWidth="0" w:num="1">
            <w:col w:w="10159"/>
          </w:cols>
          <w:pgMar w:left="300" w:top="407"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51" w:lineRule="exact"/>
        <w:rPr>
          <w:sz w:val="20"/>
          <w:szCs w:val="20"/>
          <w:color w:val="auto"/>
        </w:rPr>
      </w:pPr>
    </w:p>
    <w:p>
      <w:pPr>
        <w:ind w:left="1360" w:right="399"/>
        <w:spacing w:after="0" w:line="283" w:lineRule="auto"/>
        <w:rPr>
          <w:sz w:val="20"/>
          <w:szCs w:val="20"/>
          <w:color w:val="auto"/>
        </w:rPr>
      </w:pPr>
      <w:r>
        <w:rPr>
          <w:rFonts w:ascii="Times New Roman" w:cs="Times New Roman" w:eastAsia="Times New Roman" w:hAnsi="Times New Roman"/>
          <w:sz w:val="14"/>
          <w:szCs w:val="14"/>
          <w:color w:val="auto"/>
        </w:rPr>
        <w:t>value of the Company’s stock options granted in the years ended December 31, 2024 and 2023 was estimated using the Black-Scholes model with the range of assumptions stated below:</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9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2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3.99% - 4.43%</w:t>
            </w: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4.44% - 4.46%</w:t>
            </w:r>
          </w:p>
        </w:tc>
        <w:tc>
          <w:tcPr>
            <w:tcW w:w="4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in years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5.00 - 6.22</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5.00 - 6.01</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56.92% - 57.51%</w:t>
            </w: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56.74% - 57.56%</w:t>
            </w:r>
          </w:p>
        </w:tc>
        <w:tc>
          <w:tcPr>
            <w:tcW w:w="4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r>
      <w:tr>
        <w:trPr>
          <w:trHeight w:val="153"/>
        </w:trPr>
        <w:tc>
          <w:tcPr>
            <w:tcW w:w="20" w:type="dxa"/>
            <w:vAlign w:val="bottom"/>
          </w:tcPr>
          <w:p>
            <w:pPr>
              <w:spacing w:after="0"/>
              <w:rPr>
                <w:sz w:val="13"/>
                <w:szCs w:val="13"/>
                <w:color w:val="auto"/>
              </w:rPr>
            </w:pPr>
          </w:p>
        </w:tc>
        <w:tc>
          <w:tcPr>
            <w:tcW w:w="28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Weighted average fair value of common</w:t>
            </w: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shd w:val="clear" w:color="auto" w:fill="CCEEFF"/>
          </w:tcPr>
          <w:p>
            <w:pPr>
              <w:spacing w:after="0"/>
              <w:rPr>
                <w:sz w:val="15"/>
                <w:szCs w:val="15"/>
                <w:color w:val="auto"/>
              </w:rPr>
            </w:pPr>
          </w:p>
        </w:tc>
      </w:tr>
    </w:tbl>
    <w:p>
      <w:pPr>
        <w:spacing w:after="0" w:line="153" w:lineRule="exact"/>
        <w:rPr>
          <w:sz w:val="20"/>
          <w:szCs w:val="20"/>
          <w:color w:val="auto"/>
        </w:rPr>
      </w:pPr>
    </w:p>
    <w:p>
      <w:pPr>
        <w:ind w:left="1360" w:right="219"/>
        <w:spacing w:after="0" w:line="256" w:lineRule="auto"/>
        <w:rPr>
          <w:sz w:val="20"/>
          <w:szCs w:val="20"/>
          <w:color w:val="auto"/>
        </w:rPr>
      </w:pPr>
      <w:r>
        <w:rPr>
          <w:rFonts w:ascii="Times New Roman" w:cs="Times New Roman" w:eastAsia="Times New Roman" w:hAnsi="Times New Roman"/>
          <w:sz w:val="14"/>
          <w:szCs w:val="14"/>
          <w:color w:val="auto"/>
        </w:rPr>
        <w:t>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the Closing Date, all outstanding options were converted into new instruments in accordance with the terms of the Merger (see Note 1).</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u w:val="single" w:color="auto"/>
          <w:color w:val="auto"/>
        </w:rPr>
        <w:t>Restricted-Stock Units:</w:t>
      </w:r>
    </w:p>
    <w:p>
      <w:pPr>
        <w:spacing w:after="0" w:line="93" w:lineRule="exact"/>
        <w:rPr>
          <w:sz w:val="20"/>
          <w:szCs w:val="20"/>
          <w:color w:val="auto"/>
        </w:rPr>
      </w:pPr>
    </w:p>
    <w:p>
      <w:pPr>
        <w:ind w:left="1360" w:right="439"/>
        <w:spacing w:after="0" w:line="283" w:lineRule="auto"/>
        <w:rPr>
          <w:sz w:val="20"/>
          <w:szCs w:val="20"/>
          <w:color w:val="auto"/>
        </w:rPr>
      </w:pPr>
      <w:r>
        <w:rPr>
          <w:rFonts w:ascii="Times New Roman" w:cs="Times New Roman" w:eastAsia="Times New Roman" w:hAnsi="Times New Roman"/>
          <w:sz w:val="14"/>
          <w:szCs w:val="14"/>
          <w:color w:val="auto"/>
        </w:rPr>
        <w:t>A summary of the Company’s RSU activity issued under the 2011 Amended Plan, inclusive of the 6,000,000 RSUs issued to an investor (see Notes 7 and 13), for the years ended December 31, 2024 and 2023 is as follows:</w:t>
      </w:r>
    </w:p>
    <w:p>
      <w:pPr>
        <w:spacing w:after="0" w:line="13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3"/>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9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Awards</w:t>
            </w:r>
          </w:p>
        </w:tc>
        <w:tc>
          <w:tcPr>
            <w:tcW w:w="1000" w:type="dxa"/>
            <w:vAlign w:val="bottom"/>
            <w:gridSpan w:val="4"/>
          </w:tcPr>
          <w:p>
            <w:pPr>
              <w:jc w:val="center"/>
              <w:ind w:left="152"/>
              <w:spacing w:after="0" w:line="116"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Nonvested as of January 1, 2023</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137,909</w:t>
            </w:r>
          </w:p>
        </w:tc>
        <w:tc>
          <w:tcPr>
            <w:tcW w:w="3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15.28</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Issued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10,929,820</w:t>
            </w:r>
          </w:p>
        </w:tc>
        <w:tc>
          <w:tcPr>
            <w:tcW w:w="30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(6,000,000)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(150,900)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as of December 31,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4,916,829</w:t>
            </w:r>
          </w:p>
        </w:tc>
        <w:tc>
          <w:tcPr>
            <w:tcW w:w="3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(254,555)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(7,000)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4,655,274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2024, no stock-based compensation expense was recognized for the periods presented. As of December 31, 2024, there was $6.3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F-82</w:t>
      </w:r>
    </w:p>
    <w:p>
      <w:pPr>
        <w:sectPr>
          <w:pgSz w:w="11900" w:h="16838" w:orient="portrait"/>
          <w:cols w:equalWidth="0" w:num="1">
            <w:col w:w="10159"/>
          </w:cols>
          <w:pgMar w:left="300" w:top="407"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8" w:lineRule="auto"/>
        <w:rPr>
          <w:sz w:val="20"/>
          <w:szCs w:val="20"/>
          <w:color w:val="auto"/>
        </w:rPr>
      </w:pPr>
      <w:r>
        <w:rPr>
          <w:rFonts w:ascii="Times New Roman" w:cs="Times New Roman" w:eastAsia="Times New Roman" w:hAnsi="Times New Roman"/>
          <w:sz w:val="14"/>
          <w:szCs w:val="14"/>
          <w:color w:val="auto"/>
        </w:rPr>
        <w:t>The 6,000,000 RSUs issued as part of the 2023 Convertible Note financing were fair valued on the date of grant and recognized as debt financing charge at date of transaction (see Notes 8 and 13). Effective December 21, 2023, as a condition of executing the Merger Agreement, the Company accelerated the vesting associated with the 6,000,000 RSUs. Upon acceleration, the RSUs were immediately exchanged and 6,000,000 shares of common stock issued. The modification of vesting terms resulted in the recognition of $1.7 million in stock-based compensation expense during the year ended December 31, 2023.</w:t>
      </w:r>
    </w:p>
    <w:p>
      <w:pPr>
        <w:spacing w:after="0" w:line="1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the Closing Date, all outstanding RSUs were converted into new instruments in accordance with the terms of the Merger (see Note 1).</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12. Commitments and Contingencies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Purchase Commitments</w:t>
      </w:r>
    </w:p>
    <w:p>
      <w:pPr>
        <w:spacing w:after="0" w:line="93" w:lineRule="exact"/>
        <w:rPr>
          <w:sz w:val="20"/>
          <w:szCs w:val="20"/>
          <w:color w:val="auto"/>
        </w:rPr>
      </w:pPr>
    </w:p>
    <w:p>
      <w:pPr>
        <w:ind w:left="1360" w:right="259"/>
        <w:spacing w:after="0" w:line="257" w:lineRule="auto"/>
        <w:rPr>
          <w:sz w:val="20"/>
          <w:szCs w:val="20"/>
          <w:color w:val="auto"/>
        </w:rPr>
      </w:pPr>
      <w:r>
        <w:rPr>
          <w:rFonts w:ascii="Times New Roman" w:cs="Times New Roman" w:eastAsia="Times New Roman" w:hAnsi="Times New Roman"/>
          <w:sz w:val="14"/>
          <w:szCs w:val="14"/>
          <w:color w:val="auto"/>
        </w:rPr>
        <w:t>As of December 31, 2024, the Company had outstanding purchase orders and contractual obligations totaling $0.2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years ended December 31, 2024 and 2023, the Company purchased inventories of $4.3 million and $4.4 million, respectively, due to this obligation.</w:t>
      </w:r>
    </w:p>
    <w:p>
      <w:pPr>
        <w:spacing w:after="0" w:line="143"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2024 and 2023, the liability balance of the Company’s accrued losses on accrued purchase commitments equaled $0.6 million and $3.6 million, respectively, on the consolidated balance sheets.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consolidated financial statements.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Merger Agreement</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w:t>
      </w:r>
    </w:p>
    <w:p>
      <w:pPr>
        <w:spacing w:after="0" w:line="136" w:lineRule="exact"/>
        <w:rPr>
          <w:sz w:val="20"/>
          <w:szCs w:val="20"/>
          <w:color w:val="auto"/>
        </w:rPr>
      </w:pPr>
    </w:p>
    <w:p>
      <w:pPr>
        <w:ind w:left="1360" w:right="339"/>
        <w:spacing w:after="0" w:line="261" w:lineRule="auto"/>
        <w:rPr>
          <w:sz w:val="20"/>
          <w:szCs w:val="20"/>
          <w:color w:val="auto"/>
        </w:rPr>
      </w:pPr>
      <w:r>
        <w:rPr>
          <w:rFonts w:ascii="Times New Roman" w:cs="Times New Roman" w:eastAsia="Times New Roman" w:hAnsi="Times New Roman"/>
          <w:sz w:val="14"/>
          <w:szCs w:val="14"/>
          <w:color w:val="auto"/>
        </w:rPr>
        <w:t>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F-83</w:t>
      </w:r>
    </w:p>
    <w:p>
      <w:pPr>
        <w:sectPr>
          <w:pgSz w:w="11900" w:h="16838" w:orient="portrait"/>
          <w:cols w:equalWidth="0" w:num="1">
            <w:col w:w="10159"/>
          </w:cols>
          <w:pgMar w:left="300" w:top="407"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339"/>
        <w:spacing w:after="0" w:line="257" w:lineRule="auto"/>
        <w:rPr>
          <w:sz w:val="20"/>
          <w:szCs w:val="20"/>
          <w:color w:val="auto"/>
        </w:rPr>
      </w:pPr>
      <w:r>
        <w:rPr>
          <w:rFonts w:ascii="Times New Roman" w:cs="Times New Roman" w:eastAsia="Times New Roman" w:hAnsi="Times New Roman"/>
          <w:sz w:val="14"/>
          <w:szCs w:val="14"/>
          <w:color w:val="auto"/>
        </w:rPr>
        <w:t>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w:t>
      </w:r>
    </w:p>
    <w:p>
      <w:pPr>
        <w:spacing w:after="0" w:line="143"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On April 22, 2024, BurTech LP LLC and BurTech entered into a letter agreement. Under this agreement, conditioned upon the occurrence of the closing of the Merger, BurTech LP LLC agreed to forfeit 2,000,000 BurTech Shares to be effective immediately prior to the closing.</w:t>
      </w:r>
    </w:p>
    <w:p>
      <w:pPr>
        <w:spacing w:after="0" w:line="125" w:lineRule="exact"/>
        <w:rPr>
          <w:sz w:val="20"/>
          <w:szCs w:val="20"/>
          <w:color w:val="auto"/>
        </w:rPr>
      </w:pPr>
    </w:p>
    <w:p>
      <w:pPr>
        <w:jc w:val="both"/>
        <w:ind w:left="1360" w:right="299"/>
        <w:spacing w:after="0" w:line="267" w:lineRule="auto"/>
        <w:rPr>
          <w:sz w:val="20"/>
          <w:szCs w:val="20"/>
          <w:color w:val="auto"/>
        </w:rPr>
      </w:pPr>
      <w:r>
        <w:rPr>
          <w:rFonts w:ascii="Times New Roman" w:cs="Times New Roman" w:eastAsia="Times New Roman" w:hAnsi="Times New Roman"/>
          <w:sz w:val="14"/>
          <w:szCs w:val="14"/>
          <w:color w:val="auto"/>
        </w:rPr>
        <w:t>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w:t>
      </w:r>
    </w:p>
    <w:p>
      <w:pPr>
        <w:spacing w:after="0" w:line="136" w:lineRule="exact"/>
        <w:rPr>
          <w:sz w:val="20"/>
          <w:szCs w:val="20"/>
          <w:color w:val="auto"/>
        </w:rPr>
      </w:pPr>
    </w:p>
    <w:p>
      <w:pPr>
        <w:ind w:left="1360" w:right="259"/>
        <w:spacing w:after="0" w:line="258" w:lineRule="auto"/>
        <w:rPr>
          <w:sz w:val="20"/>
          <w:szCs w:val="20"/>
          <w:color w:val="auto"/>
        </w:rPr>
      </w:pPr>
      <w:r>
        <w:rPr>
          <w:rFonts w:ascii="Times New Roman" w:cs="Times New Roman" w:eastAsia="Times New Roman" w:hAnsi="Times New Roman"/>
          <w:sz w:val="14"/>
          <w:szCs w:val="14"/>
          <w:color w:val="auto"/>
        </w:rPr>
        <w:t>On October 24, 2024, BurTech, Merger Sub, the Company and Burkhan entered into an Amendment No. 2 to Agreement and Plan of Merger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w:t>
      </w:r>
    </w:p>
    <w:p>
      <w:pPr>
        <w:spacing w:after="0" w:line="144" w:lineRule="exact"/>
        <w:rPr>
          <w:sz w:val="20"/>
          <w:szCs w:val="20"/>
          <w:color w:val="auto"/>
        </w:rPr>
      </w:pPr>
    </w:p>
    <w:p>
      <w:pPr>
        <w:ind w:left="1360" w:right="259"/>
        <w:spacing w:after="0" w:line="255" w:lineRule="auto"/>
        <w:rPr>
          <w:sz w:val="20"/>
          <w:szCs w:val="20"/>
          <w:color w:val="auto"/>
        </w:rPr>
      </w:pPr>
      <w:r>
        <w:rPr>
          <w:rFonts w:ascii="Times New Roman" w:cs="Times New Roman" w:eastAsia="Times New Roman" w:hAnsi="Times New Roman"/>
          <w:sz w:val="14"/>
          <w:szCs w:val="14"/>
          <w:color w:val="auto"/>
        </w:rPr>
        <w:t>On November 21, 2024, BurTech, Merger Sub, Blaize and Burkhan entered into an Amendment No. 3 to Agreement and Plan of Merger (the “Third Amendment to Merger Agreement”). The Third Amendment to Merger Agreement amended the original merger agreement to (i) revise the New Blaize Board designees to be comprised of seven members, including two individuals to be designated by Blaize and five independent directors, designated by Blaize after consultation, in good faith, with BurTech regarding the determination of the independent directors, with Lane M. Bess to be designated as the Chairman until a new chairperson is appointed by the New Blaize Board, (ii) remove the agreement between BurTech,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New Blaize Board will not be a classified board.</w:t>
      </w:r>
    </w:p>
    <w:p>
      <w:pPr>
        <w:spacing w:after="0" w:line="145" w:lineRule="exact"/>
        <w:rPr>
          <w:sz w:val="20"/>
          <w:szCs w:val="20"/>
          <w:color w:val="auto"/>
        </w:rPr>
      </w:pPr>
    </w:p>
    <w:p>
      <w:pPr>
        <w:ind w:left="1360" w:right="299"/>
        <w:spacing w:after="0" w:line="283" w:lineRule="auto"/>
        <w:rPr>
          <w:sz w:val="20"/>
          <w:szCs w:val="20"/>
          <w:color w:val="auto"/>
        </w:rPr>
      </w:pPr>
      <w:r>
        <w:rPr>
          <w:rFonts w:ascii="Times New Roman" w:cs="Times New Roman" w:eastAsia="Times New Roman" w:hAnsi="Times New Roman"/>
          <w:sz w:val="14"/>
          <w:szCs w:val="14"/>
          <w:color w:val="auto"/>
        </w:rPr>
        <w:t>Pursuant to the terms and subject to the conditions set forth in the Merger Agreement, on January 13, 2025, the transaction was consummated (see Note 1).</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93" w:lineRule="exact"/>
        <w:rPr>
          <w:sz w:val="20"/>
          <w:szCs w:val="20"/>
          <w:color w:val="auto"/>
        </w:rPr>
      </w:pPr>
    </w:p>
    <w:p>
      <w:pPr>
        <w:ind w:left="1360" w:right="299"/>
        <w:spacing w:after="0" w:line="256" w:lineRule="auto"/>
        <w:rPr>
          <w:sz w:val="20"/>
          <w:szCs w:val="20"/>
          <w:color w:val="auto"/>
        </w:rPr>
      </w:pPr>
      <w:r>
        <w:rPr>
          <w:rFonts w:ascii="Times New Roman" w:cs="Times New Roman" w:eastAsia="Times New Roman" w:hAnsi="Times New Roman"/>
          <w:sz w:val="14"/>
          <w:szCs w:val="14"/>
          <w:color w:val="auto"/>
        </w:rPr>
        <w:t>On September 19, 2024, the Company entered into an engagement letter with KeyBanc Capital Markets Inc. (“KBCM”) to serve as its (i) exclusive strategic advisor in connection with the Business Combination, (ii) sole 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by KBCM has used reasonable best efforts to secure such a private placement, a fee of $500,000 promptly (but not later than two business days) following the close of the Business Combination. Additionally, a sale transaction fee will be paid, calculated as the greater of $3,000,000 or 1% of the transaction value.</w:t>
      </w:r>
    </w:p>
    <w:p>
      <w:pPr>
        <w:spacing w:after="0" w:line="144" w:lineRule="exact"/>
        <w:rPr>
          <w:sz w:val="20"/>
          <w:szCs w:val="20"/>
          <w:color w:val="auto"/>
        </w:rPr>
      </w:pPr>
    </w:p>
    <w:p>
      <w:pPr>
        <w:ind w:left="1360" w:right="379"/>
        <w:spacing w:after="0" w:line="267" w:lineRule="auto"/>
        <w:rPr>
          <w:sz w:val="20"/>
          <w:szCs w:val="20"/>
          <w:color w:val="auto"/>
        </w:rPr>
      </w:pPr>
      <w:r>
        <w:rPr>
          <w:rFonts w:ascii="Times New Roman" w:cs="Times New Roman" w:eastAsia="Times New Roman" w:hAnsi="Times New Roman"/>
          <w:sz w:val="14"/>
          <w:szCs w:val="14"/>
          <w:color w:val="auto"/>
        </w:rPr>
        <w:t>On October 24, 2024, contingent upon the close of the proposed merger on or before December 31, 2024 and continued employment or services to the Company on the applicable grant date, the Company’s Board of Directors approved the issuance of 6,936,285 restricted stock units under the New Blaize equity plan.</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F-84</w:t>
      </w:r>
    </w:p>
    <w:p>
      <w:pPr>
        <w:sectPr>
          <w:pgSz w:w="11900" w:h="16838" w:orient="portrait"/>
          <w:cols w:equalWidth="0" w:num="1">
            <w:col w:w="10159"/>
          </w:cols>
          <w:pgMar w:left="300" w:top="407"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In October through December of 2024, the Company entered into various advisor agreements related to business development and strategy, and for new revenue contracts, in new geographical markets. Compensation for services, pending approval by the New Blaize Board of Directors, is in the form of restricted stock units of New Blaize following the filing of a registration statement subsequent to Merger consummation to register such shares, and subject to the advisors continued service on the applicable grant date.</w:t>
      </w:r>
    </w:p>
    <w:p>
      <w:pPr>
        <w:spacing w:after="0" w:line="14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In December 2024, the Company entered into an agreement for capital market services which included advisory services and a finder’s fee, for which</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payment was due upon the close of the Merger (see Note 1). Under the terms of the agreement, at the discretion of the Company, the advisory fee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$0.8 million is to be paid in the form of (i) cash and (ii) cash or a combination of cash and shares of common stock of New Blaize at a price of $10 per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share at various dates in 2025. The finder’s fee, equal to a specified percentage of the trust value for the Company’s shares held by investors introduced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by the advisor, is to be paid fifty percent in cash and fifty-percent in shares of New Blaize at a price of $10.00 per share, concurrent with the close of the</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Meger. The Company recognized $0.6 million associated with the contract as deferred offering costs and accrued liabilities for the year ended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On the earlier of the date that is six months from the date of the Merger and the date that a Registration Statement filed with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SEC registering the resale of the closing shares is declared effective (the “Reset Date”), if the five day volume weighted average price of common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the five trading days immediately preceding the Reset Date (such price, the “Reset Price”) is less than $10 per share (subject to a $1.00 per share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floor), within two days the Company shall issue an additional number of common shares equal to the number obtained by dividing (i) the product of the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number of shares held as of the Reset Date and $10.00 by (ii) the Reset Price, less the number of sharing shares held, provided that the additional shares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shall not exceed 300,000.</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13. Related Party Transactions and Balances</w:t>
      </w:r>
    </w:p>
    <w:p>
      <w:pPr>
        <w:spacing w:after="0" w:line="93" w:lineRule="exact"/>
        <w:rPr>
          <w:sz w:val="20"/>
          <w:szCs w:val="20"/>
          <w:color w:val="auto"/>
        </w:rPr>
      </w:pPr>
    </w:p>
    <w:p>
      <w:pPr>
        <w:ind w:left="1360" w:right="259"/>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2024, the Company recognized revenues of approximately $1.5 million, or approximately 98% of its total revenue, from sales to two minority stockholders. During the year ended December 31, 2023, the Company recognized revenues of approximately $3.8 million, or nearly 100% of its total revenue, from sales to one minority stockholders. As of December 31, 2024 and 2023, there was zero and $0.5 million of accounts receivables from one of these customers, respectively, all of which was unbilled.</w:t>
      </w:r>
    </w:p>
    <w:p>
      <w:pPr>
        <w:spacing w:after="0" w:line="14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December 31, 2024, the related party 2023 Convertible Note and 2023 Convertible Note Warrants approximate $6.9 million and $8.0 million, respectively. As of December 31, 2023, the related party 2023 Convertible Note and 2023 Convertible Note Warrants approximate $7.3 million and $0.9 million, respectively. During the years ended December 31, 2024 and 2023, the change in fair value for the 2023 Convertible Note equaled $0.4 million and $3.0 million, respectively (see Note 4). During the years ended December 31, 2024 and 2023, the change in fair value for the 2023 Convertible Note Warrants equaled $0.8 million and $0.2 million, respectively (see Note 4). In conjunction with the issuance of the 2023 Convertible Note, the Company issued 6,000,000 RSUs to the investor. The issuance date fair value of the RSUs was recognized as a financing charge (see Note 8). In December 2023, the terms of the RSUs were modified resulting in accelerated vesting and immediate issuance of 6,000,000 common stock shares for which incremental stock-based compensation expense was recorded (see Note 11).</w:t>
      </w:r>
    </w:p>
    <w:p>
      <w:pPr>
        <w:spacing w:after="0" w:line="147" w:lineRule="exact"/>
        <w:rPr>
          <w:sz w:val="20"/>
          <w:szCs w:val="20"/>
          <w:color w:val="auto"/>
        </w:rPr>
      </w:pPr>
    </w:p>
    <w:p>
      <w:pPr>
        <w:ind w:left="1360" w:right="379"/>
        <w:spacing w:after="0" w:line="283" w:lineRule="auto"/>
        <w:rPr>
          <w:sz w:val="20"/>
          <w:szCs w:val="20"/>
          <w:color w:val="auto"/>
        </w:rPr>
      </w:pPr>
      <w:r>
        <w:rPr>
          <w:rFonts w:ascii="Times New Roman" w:cs="Times New Roman" w:eastAsia="Times New Roman" w:hAnsi="Times New Roman"/>
          <w:sz w:val="14"/>
          <w:szCs w:val="14"/>
          <w:color w:val="auto"/>
        </w:rPr>
        <w:t>In January 2023, one of the minority investors with which the Company had a revenue arrangement, representing 21% and zero percent of revenue for the years ended December 31, 2024 and 2023, also invested in a P2P Note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F-85</w:t>
      </w:r>
    </w:p>
    <w:p>
      <w:pPr>
        <w:sectPr>
          <w:pgSz w:w="11900" w:h="16838" w:orient="portrait"/>
          <w:cols w:equalWidth="0" w:num="1">
            <w:col w:w="10159"/>
          </w:cols>
          <w:pgMar w:left="300" w:top="407"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6" w:lineRule="auto"/>
        <w:rPr>
          <w:sz w:val="20"/>
          <w:szCs w:val="20"/>
          <w:color w:val="auto"/>
        </w:rPr>
      </w:pPr>
      <w:r>
        <w:rPr>
          <w:rFonts w:ascii="Times New Roman" w:cs="Times New Roman" w:eastAsia="Times New Roman" w:hAnsi="Times New Roman"/>
          <w:sz w:val="14"/>
          <w:szCs w:val="14"/>
          <w:color w:val="auto"/>
        </w:rPr>
        <w:t>(see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December 31, 2024, the related party P2P Note and P2P Warrants approximate $4.2 million and nearly zero, respectively. As of December 31, 2023, the related party P2P Note and P2P Warrants approximate $3.9 million and $0.3 million, respectively. During the years ended December 31, 2024 and 2023, the change in fair value for the P2P Note equaled $0.3 million and $0.9 million, respectively (see Note 4). During the years ended December 31, 2024 and 2023, the change in fair value for P2P Warrants equaled $0.3 million and $32,000 respectively (see Note 4).</w:t>
      </w:r>
    </w:p>
    <w:p>
      <w:pPr>
        <w:spacing w:after="0" w:line="144" w:lineRule="exact"/>
        <w:rPr>
          <w:sz w:val="20"/>
          <w:szCs w:val="20"/>
          <w:color w:val="auto"/>
        </w:rPr>
      </w:pPr>
    </w:p>
    <w:p>
      <w:pPr>
        <w:ind w:left="1360" w:right="279"/>
        <w:spacing w:after="0" w:line="254" w:lineRule="auto"/>
        <w:rPr>
          <w:sz w:val="20"/>
          <w:szCs w:val="20"/>
          <w:color w:val="auto"/>
        </w:rPr>
      </w:pPr>
      <w:r>
        <w:rPr>
          <w:rFonts w:ascii="Times New Roman" w:cs="Times New Roman" w:eastAsia="Times New Roman" w:hAnsi="Times New Roman"/>
          <w:sz w:val="14"/>
          <w:szCs w:val="14"/>
          <w:color w:val="auto"/>
        </w:rPr>
        <w:t>In December 2022, one of the minority stockholders with which the Company had a revenue arrangement, representing 77% and nearly 100% of total revenues for the years ended December 31, 2024 and 2023, and zero percent and 98% of accounts receivable as of December 31, 2024 and 2023, respectively, also invested in a 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December 31, 2024, the fair value of the related party P2P Note and P2P Warrants approximate $0.5 million and nearly zero, respectively. As of December 31, 2023, the related party P2P Note and P2P Warrants approximate $0.4 million and $29,000, respectively. During the year ended December 31, 2024, the change in fair value for the P2P Note and P2P Note Warrants equaled $38,000 and $29,000, respectively (see Note 4). During the year ended December 31, 2023, the change in fair value for the P2P Note and P2P Note Warrants was immaterial (see Note 4).</w:t>
      </w:r>
    </w:p>
    <w:p>
      <w:pPr>
        <w:spacing w:after="0" w:line="149" w:lineRule="exact"/>
        <w:rPr>
          <w:sz w:val="20"/>
          <w:szCs w:val="20"/>
          <w:color w:val="auto"/>
        </w:rPr>
      </w:pPr>
    </w:p>
    <w:p>
      <w:pPr>
        <w:ind w:left="1360" w:right="279"/>
        <w:spacing w:after="0" w:line="283" w:lineRule="auto"/>
        <w:rPr>
          <w:sz w:val="20"/>
          <w:szCs w:val="20"/>
          <w:color w:val="auto"/>
        </w:rPr>
      </w:pPr>
      <w:r>
        <w:rPr>
          <w:rFonts w:ascii="Times New Roman" w:cs="Times New Roman" w:eastAsia="Times New Roman" w:hAnsi="Times New Roman"/>
          <w:sz w:val="14"/>
          <w:szCs w:val="14"/>
          <w:color w:val="auto"/>
        </w:rPr>
        <w:t>During 2024, the Company incurred $0.3 million of marketing expenses paid to a Company owned by a direct family member of a minority stockholder and Company board of director.</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14. Net Loss Per Share Attributable to Common Shareholders</w:t>
      </w:r>
    </w:p>
    <w:p>
      <w:pPr>
        <w:spacing w:after="0" w:line="9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dilutive net loss per share attributable to common stockholders for the years ended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2024 and 2023:</w:t>
      </w:r>
    </w:p>
    <w:p>
      <w:pPr>
        <w:spacing w:after="0" w:line="177"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50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(61,195)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(87,589)</w:t>
            </w: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Weighted-average number of shares outstanding used to compute net loss per share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attributable to common stockholders, basic and diluted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17,476,105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4,213,244</w:t>
            </w: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attributable to common stockholders, basic and diluted</w:t>
            </w: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480"/>
              <w:spacing w:after="0"/>
              <w:rPr>
                <w:sz w:val="20"/>
                <w:szCs w:val="20"/>
                <w:color w:val="auto"/>
              </w:rPr>
            </w:pPr>
            <w:r>
              <w:rPr>
                <w:rFonts w:ascii="Times New Roman" w:cs="Times New Roman" w:eastAsia="Times New Roman" w:hAnsi="Times New Roman"/>
                <w:sz w:val="14"/>
                <w:szCs w:val="14"/>
                <w:color w:val="auto"/>
              </w:rPr>
              <w:t>F-86</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04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07"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83" w:lineRule="auto"/>
        <w:rPr>
          <w:sz w:val="20"/>
          <w:szCs w:val="20"/>
          <w:color w:val="auto"/>
        </w:rPr>
      </w:pPr>
      <w:r>
        <w:rPr>
          <w:rFonts w:ascii="Times New Roman" w:cs="Times New Roman" w:eastAsia="Times New Roman" w:hAnsi="Times New Roman"/>
          <w:sz w:val="14"/>
          <w:szCs w:val="14"/>
          <w:color w:val="auto"/>
        </w:rPr>
        <w:t>The following potentially dilutive securities were excluded from the calculation of diluted net loss per share attributable to common shareholders for the periods presented because the impact of including them would have been anti-dilutive for the years ended December 31, 2024 and 2023:</w:t>
      </w:r>
    </w:p>
    <w:p>
      <w:pPr>
        <w:spacing w:after="0" w:line="141" w:lineRule="exact"/>
        <w:rPr>
          <w:sz w:val="20"/>
          <w:szCs w:val="20"/>
          <w:color w:val="auto"/>
        </w:rPr>
      </w:pPr>
    </w:p>
    <w:tbl>
      <w:tblPr>
        <w:tblLayout w:type="fixed"/>
        <w:tblInd w:w="2040" w:type="dxa"/>
        <w:tblCellMar>
          <w:top w:w="0" w:type="dxa"/>
          <w:left w:w="0" w:type="dxa"/>
          <w:bottom w:w="0" w:type="dxa"/>
          <w:right w:w="0" w:type="dxa"/>
        </w:tblCellMar>
      </w:tblPr>
      <w:tr>
        <w:trPr>
          <w:trHeight w:val="135"/>
        </w:trPr>
        <w:tc>
          <w:tcPr>
            <w:tcW w:w="53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CCEEFF"/>
            </w:tcBorders>
          </w:tcPr>
          <w:p>
            <w:pPr>
              <w:spacing w:after="0"/>
              <w:rPr>
                <w:sz w:val="11"/>
                <w:szCs w:val="11"/>
                <w:color w:val="auto"/>
              </w:rPr>
            </w:pPr>
          </w:p>
        </w:tc>
      </w:tr>
      <w:tr>
        <w:trPr>
          <w:trHeight w:val="159"/>
        </w:trPr>
        <w:tc>
          <w:tcPr>
            <w:tcW w:w="53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6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44,494,703</w:t>
            </w: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44,494,703</w:t>
            </w:r>
          </w:p>
        </w:tc>
        <w:tc>
          <w:tcPr>
            <w:tcW w:w="140" w:type="dxa"/>
            <w:vAlign w:val="bottom"/>
            <w:shd w:val="clear" w:color="auto" w:fill="CCEEFF"/>
          </w:tcPr>
          <w:p>
            <w:pPr>
              <w:spacing w:after="0"/>
              <w:rPr>
                <w:sz w:val="13"/>
                <w:szCs w:val="13"/>
                <w:color w:val="auto"/>
              </w:rPr>
            </w:pP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36,363,184</w:t>
            </w:r>
          </w:p>
        </w:tc>
        <w:tc>
          <w:tcPr>
            <w:tcW w:w="3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16,437,980</w:t>
            </w: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4,655,274</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4,916,829</w:t>
            </w:r>
          </w:p>
        </w:tc>
        <w:tc>
          <w:tcPr>
            <w:tcW w:w="140" w:type="dxa"/>
            <w:vAlign w:val="bottom"/>
            <w:shd w:val="clear" w:color="auto" w:fill="CCEEFF"/>
          </w:tcPr>
          <w:p>
            <w:pPr>
              <w:spacing w:after="0"/>
              <w:rPr>
                <w:sz w:val="14"/>
                <w:szCs w:val="14"/>
                <w:color w:val="auto"/>
              </w:rPr>
            </w:pP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Series D and D-2 preferred stock warrants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756,172</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1,094,667</w:t>
            </w:r>
          </w:p>
        </w:tc>
        <w:tc>
          <w:tcPr>
            <w:tcW w:w="140" w:type="dxa"/>
            <w:vAlign w:val="bottom"/>
          </w:tcPr>
          <w:p>
            <w:pPr>
              <w:spacing w:after="0"/>
              <w:rPr>
                <w:sz w:val="14"/>
                <w:szCs w:val="14"/>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Pay-to-Play warrants (estimated See Note 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1,127,088</w:t>
            </w: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721,086</w:t>
            </w:r>
          </w:p>
        </w:tc>
        <w:tc>
          <w:tcPr>
            <w:tcW w:w="140" w:type="dxa"/>
            <w:vAlign w:val="bottom"/>
            <w:shd w:val="clear" w:color="auto" w:fill="CCEEFF"/>
          </w:tcPr>
          <w:p>
            <w:pPr>
              <w:spacing w:after="0"/>
              <w:rPr>
                <w:sz w:val="14"/>
                <w:szCs w:val="14"/>
                <w:color w:val="auto"/>
              </w:rPr>
            </w:pP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Convertible Notes warrants - 2023</w:t>
            </w:r>
          </w:p>
        </w:tc>
        <w:tc>
          <w:tcPr>
            <w:tcW w:w="1020" w:type="dxa"/>
            <w:vAlign w:val="bottom"/>
            <w:gridSpan w:val="3"/>
          </w:tcPr>
          <w:p>
            <w:pPr>
              <w:ind w:left="520"/>
              <w:spacing w:after="0" w:line="168" w:lineRule="exact"/>
              <w:rPr>
                <w:sz w:val="20"/>
                <w:szCs w:val="20"/>
                <w:color w:val="auto"/>
              </w:rPr>
            </w:pPr>
            <w:r>
              <w:rPr>
                <w:rFonts w:ascii="Times New Roman" w:cs="Times New Roman" w:eastAsia="Times New Roman" w:hAnsi="Times New Roman"/>
                <w:sz w:val="19"/>
                <w:szCs w:val="19"/>
                <w:color w:val="auto"/>
                <w:vertAlign w:val="subscript"/>
              </w:rPr>
              <w:t xml:space="preserve"> </w:t>
            </w:r>
            <w:r>
              <w:rPr>
                <w:rFonts w:ascii="Times New Roman" w:cs="Times New Roman" w:eastAsia="Times New Roman" w:hAnsi="Times New Roman"/>
                <w:sz w:val="7"/>
                <w:szCs w:val="7"/>
                <w:color w:val="auto"/>
              </w:rPr>
              <w:t xml:space="preserve">  (a)</w:t>
            </w:r>
          </w:p>
        </w:tc>
        <w:tc>
          <w:tcPr>
            <w:tcW w:w="800" w:type="dxa"/>
            <w:vAlign w:val="bottom"/>
            <w:gridSpan w:val="2"/>
          </w:tcPr>
          <w:p>
            <w:pPr>
              <w:jc w:val="right"/>
              <w:ind w:right="40"/>
              <w:spacing w:after="0" w:line="168" w:lineRule="exact"/>
              <w:rPr>
                <w:sz w:val="20"/>
                <w:szCs w:val="20"/>
                <w:color w:val="auto"/>
              </w:rPr>
            </w:pPr>
            <w:r>
              <w:rPr>
                <w:rFonts w:ascii="Times New Roman" w:cs="Times New Roman" w:eastAsia="Times New Roman" w:hAnsi="Times New Roman"/>
                <w:sz w:val="19"/>
                <w:szCs w:val="19"/>
                <w:color w:val="auto"/>
                <w:vertAlign w:val="subscript"/>
              </w:rPr>
              <w:t xml:space="preserve"> </w:t>
            </w:r>
            <w:r>
              <w:rPr>
                <w:rFonts w:ascii="Times New Roman" w:cs="Times New Roman" w:eastAsia="Times New Roman" w:hAnsi="Times New Roman"/>
                <w:sz w:val="7"/>
                <w:szCs w:val="7"/>
                <w:color w:val="auto"/>
              </w:rPr>
              <w:t xml:space="preserve">  (a)</w:t>
            </w: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warrants</w:t>
            </w: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40" w:type="dxa"/>
            <w:vAlign w:val="bottom"/>
            <w:shd w:val="clear" w:color="auto" w:fill="CCEEFF"/>
          </w:tcPr>
          <w:p>
            <w:pPr>
              <w:spacing w:after="0"/>
              <w:rPr>
                <w:sz w:val="14"/>
                <w:szCs w:val="14"/>
                <w:color w:val="auto"/>
              </w:rPr>
            </w:pPr>
          </w:p>
        </w:tc>
      </w:tr>
      <w:tr>
        <w:trPr>
          <w:trHeight w:val="168"/>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Pre-funded warrant (estimated See Note 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2,000,000</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7,007,582</w:t>
            </w:r>
          </w:p>
        </w:tc>
        <w:tc>
          <w:tcPr>
            <w:tcW w:w="140" w:type="dxa"/>
            <w:vAlign w:val="bottom"/>
          </w:tcPr>
          <w:p>
            <w:pPr>
              <w:spacing w:after="0"/>
              <w:rPr>
                <w:sz w:val="14"/>
                <w:szCs w:val="14"/>
                <w:color w:val="auto"/>
              </w:rPr>
            </w:pPr>
          </w:p>
        </w:tc>
      </w:tr>
      <w:tr>
        <w:trPr>
          <w:trHeight w:val="16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Pre-funded warrant April 2024 (estimated See Note 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4,500,000</w:t>
            </w:r>
          </w:p>
        </w:tc>
        <w:tc>
          <w:tcPr>
            <w:tcW w:w="3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5380" w:type="dxa"/>
            <w:vAlign w:val="bottom"/>
          </w:tcPr>
          <w:p>
            <w:pPr>
              <w:spacing w:after="0"/>
              <w:rPr>
                <w:sz w:val="20"/>
                <w:szCs w:val="20"/>
                <w:color w:val="auto"/>
              </w:rPr>
            </w:pPr>
            <w:r>
              <w:rPr>
                <w:rFonts w:ascii="Times New Roman" w:cs="Times New Roman" w:eastAsia="Times New Roman" w:hAnsi="Times New Roman"/>
                <w:sz w:val="14"/>
                <w:szCs w:val="14"/>
                <w:color w:val="auto"/>
              </w:rPr>
              <w:t>Total potentially dilutive shares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93,896,421</w:t>
            </w:r>
          </w:p>
        </w:tc>
        <w:tc>
          <w:tcPr>
            <w:tcW w:w="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74,674,910</w:t>
            </w:r>
          </w:p>
        </w:tc>
        <w:tc>
          <w:tcPr>
            <w:tcW w:w="140" w:type="dxa"/>
            <w:vAlign w:val="bottom"/>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ind w:left="1700" w:right="839" w:hanging="345"/>
        <w:spacing w:after="0" w:line="236" w:lineRule="auto"/>
        <w:tabs>
          <w:tab w:leader="none" w:pos="1700" w:val="left"/>
        </w:tabs>
        <w:numPr>
          <w:ilvl w:val="0"/>
          <w:numId w:val="8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The number of warrants shares to be issued upon exercise of the 2023 Convertible Note Warrants is not determinable due to the variable settlement terms (see Note 8).</w:t>
      </w:r>
    </w:p>
    <w:p>
      <w:pPr>
        <w:spacing w:after="0" w:line="2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15. Employee Benefit Plan</w:t>
      </w:r>
    </w:p>
    <w:p>
      <w:pPr>
        <w:spacing w:after="0" w:line="93" w:lineRule="exact"/>
        <w:rPr>
          <w:sz w:val="20"/>
          <w:szCs w:val="20"/>
          <w:color w:val="auto"/>
        </w:rPr>
      </w:pPr>
    </w:p>
    <w:p>
      <w:pPr>
        <w:ind w:left="1360" w:right="239"/>
        <w:spacing w:after="0" w:line="267" w:lineRule="auto"/>
        <w:rPr>
          <w:sz w:val="20"/>
          <w:szCs w:val="20"/>
          <w:color w:val="auto"/>
        </w:rPr>
      </w:pPr>
      <w:r>
        <w:rPr>
          <w:rFonts w:ascii="Times New Roman" w:cs="Times New Roman" w:eastAsia="Times New Roman" w:hAnsi="Times New Roman"/>
          <w:sz w:val="14"/>
          <w:szCs w:val="14"/>
          <w:color w:val="auto"/>
        </w:rPr>
        <w:t>A 401(k) plan is provided that covers substantially all employees meeting certain age and service requirements. The Company makes discretionary contributions to the 401(k) plan. The Company recorded $0.6 million and $0.5 million in matching contributions for the years ended December 31, 2024 and 2023.</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Long-term employee benefits:</w:t>
      </w:r>
    </w:p>
    <w:p>
      <w:pPr>
        <w:spacing w:after="0" w:line="93" w:lineRule="exact"/>
        <w:rPr>
          <w:sz w:val="20"/>
          <w:szCs w:val="20"/>
          <w:color w:val="auto"/>
        </w:rPr>
      </w:pPr>
    </w:p>
    <w:p>
      <w:pPr>
        <w:ind w:left="1360" w:right="239"/>
        <w:spacing w:after="0" w:line="255" w:lineRule="auto"/>
        <w:rPr>
          <w:sz w:val="20"/>
          <w:szCs w:val="20"/>
          <w:color w:val="auto"/>
        </w:rPr>
      </w:pPr>
      <w:r>
        <w:rPr>
          <w:rFonts w:ascii="Times New Roman" w:cs="Times New Roman" w:eastAsia="Times New Roman" w:hAnsi="Times New Roman"/>
          <w:sz w:val="14"/>
          <w:szCs w:val="14"/>
          <w:color w:val="auto"/>
        </w:rPr>
        <w:t>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2024 and 2023, the related liability is included within accrued compensation and other liabilities on the consolidated balance sheets.</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16. Segment Reporting</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Company operates as a single reportable segment, manages the business, and evaluates financial performance on a consolidated basis. The CODM regularly receives and reviews consolidated financial results focusing primarily on revenue, costs and expenses, and net loss from the consolidated statements of operations to make decisions regarding the allocation of resources and assessment of performance.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F-87</w:t>
      </w:r>
    </w:p>
    <w:p>
      <w:pPr>
        <w:sectPr>
          <w:pgSz w:w="11900" w:h="16838" w:orient="portrait"/>
          <w:cols w:equalWidth="0" w:num="1">
            <w:col w:w="10159"/>
          </w:cols>
          <w:pgMar w:left="300" w:top="407"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Net loss for the years ended December 31, 2024 and 2023 is as follows (in thousands):</w:t>
      </w:r>
    </w:p>
    <w:p>
      <w:pPr>
        <w:spacing w:after="0" w:line="192" w:lineRule="exact"/>
        <w:rPr>
          <w:sz w:val="20"/>
          <w:szCs w:val="20"/>
          <w:color w:val="auto"/>
        </w:rPr>
      </w:pPr>
    </w:p>
    <w:tbl>
      <w:tblPr>
        <w:tblLayout w:type="fixed"/>
        <w:tblInd w:w="238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9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9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Revenue</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1,554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3,856</w:t>
            </w:r>
          </w:p>
        </w:tc>
        <w:tc>
          <w:tcPr>
            <w:tcW w:w="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Less: Costs and expenses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Employee costs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23,773</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 costs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(income)/expense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(1,903)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Fair value changes and financing charges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49,454</w:t>
            </w: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7"/>
                <w:szCs w:val="17"/>
                <w:color w:val="auto"/>
                <w:vertAlign w:val="superscript"/>
              </w:rPr>
              <w:t>(a)</w:t>
            </w: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9,574</w:t>
            </w:r>
          </w:p>
        </w:tc>
        <w:tc>
          <w:tcPr>
            <w:tcW w:w="80" w:type="dxa"/>
            <w:vAlign w:val="bottom"/>
            <w:shd w:val="clear" w:color="auto" w:fill="CCEEFF"/>
          </w:tcPr>
          <w:p>
            <w:pPr>
              <w:spacing w:after="0"/>
              <w:rPr>
                <w:sz w:val="14"/>
                <w:szCs w:val="14"/>
                <w:color w:val="auto"/>
              </w:rPr>
            </w:pPr>
          </w:p>
        </w:tc>
      </w:tr>
      <w:tr>
        <w:trPr>
          <w:trHeight w:val="169"/>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(61,195</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(87,589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1520" w:right="739" w:hanging="165"/>
        <w:spacing w:after="0" w:line="283" w:lineRule="auto"/>
        <w:tabs>
          <w:tab w:leader="none" w:pos="1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included in segment net loss includes marketing expense, professional fees, income tax expense, facilities costs, foreign currency exchange gains and losses, credit loss, and other overhead expenses.</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The measure of segment assets is reported on the consolidated balance sheet as total consolidated assets. Long-lived and ROU assets located in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United States, Asia Pacific and United Kingdom region were as follows: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3960" w:type="dxa"/>
            <w:vAlign w:val="bottom"/>
          </w:tcPr>
          <w:p>
            <w:pPr>
              <w:spacing w:after="0"/>
              <w:rPr>
                <w:sz w:val="11"/>
                <w:szCs w:val="11"/>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9"/>
              </w:rPr>
              <w:t>Fixed Assets</w:t>
            </w: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1"/>
                <w:szCs w:val="11"/>
                <w:b w:val="1"/>
                <w:bCs w:val="1"/>
                <w:color w:val="auto"/>
                <w:w w:val="98"/>
              </w:rPr>
              <w:t>ROU Assets</w:t>
            </w:r>
          </w:p>
        </w:tc>
        <w:tc>
          <w:tcPr>
            <w:tcW w:w="1100" w:type="dxa"/>
            <w:vAlign w:val="bottom"/>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w w:val="99"/>
              </w:rPr>
              <w:t>Fixed Assets</w:t>
            </w:r>
          </w:p>
        </w:tc>
        <w:tc>
          <w:tcPr>
            <w:tcW w:w="114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ROU Assets</w:t>
            </w:r>
          </w:p>
        </w:tc>
      </w:tr>
      <w:tr>
        <w:trPr>
          <w:trHeight w:val="159"/>
        </w:trPr>
        <w:tc>
          <w:tcPr>
            <w:tcW w:w="39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United States</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1,095</w:t>
            </w:r>
          </w:p>
        </w:tc>
        <w:tc>
          <w:tcPr>
            <w:tcW w:w="5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277</w:t>
            </w:r>
          </w:p>
        </w:tc>
        <w:tc>
          <w:tcPr>
            <w:tcW w:w="5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368</w:t>
            </w:r>
          </w:p>
        </w:tc>
        <w:tc>
          <w:tcPr>
            <w:tcW w:w="5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421</w:t>
            </w:r>
          </w:p>
        </w:tc>
        <w:tc>
          <w:tcPr>
            <w:tcW w:w="60" w:type="dxa"/>
            <w:vAlign w:val="bottom"/>
            <w:tcBorders>
              <w:top w:val="single" w:sz="8" w:color="CCEEFF"/>
            </w:tcBorders>
            <w:shd w:val="clear" w:color="auto" w:fill="CCEEFF"/>
          </w:tcPr>
          <w:p>
            <w:pPr>
              <w:spacing w:after="0"/>
              <w:rPr>
                <w:sz w:val="13"/>
                <w:szCs w:val="13"/>
                <w:color w:val="auto"/>
              </w:rPr>
            </w:pPr>
          </w:p>
        </w:tc>
      </w:tr>
      <w:tr>
        <w:trPr>
          <w:trHeight w:val="16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Asia Pacific</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60" w:type="dxa"/>
            <w:vAlign w:val="bottom"/>
          </w:tcPr>
          <w:p>
            <w:pPr>
              <w:spacing w:after="0"/>
              <w:rPr>
                <w:sz w:val="14"/>
                <w:szCs w:val="14"/>
                <w:color w:val="auto"/>
              </w:rPr>
            </w:pPr>
          </w:p>
        </w:tc>
      </w:tr>
      <w:tr>
        <w:trPr>
          <w:trHeight w:val="168"/>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Kingdom</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5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5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60" w:type="dxa"/>
            <w:vAlign w:val="bottom"/>
            <w:shd w:val="clear" w:color="auto" w:fill="CCEEFF"/>
          </w:tcPr>
          <w:p>
            <w:pPr>
              <w:spacing w:after="0"/>
              <w:rPr>
                <w:sz w:val="14"/>
                <w:szCs w:val="14"/>
                <w:color w:val="auto"/>
              </w:rPr>
            </w:pPr>
          </w:p>
        </w:tc>
      </w:tr>
      <w:tr>
        <w:trPr>
          <w:trHeight w:val="169"/>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6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Note 17. Subsequent Events</w:t>
      </w:r>
    </w:p>
    <w:p>
      <w:pPr>
        <w:spacing w:after="0" w:line="93" w:lineRule="exact"/>
        <w:rPr>
          <w:sz w:val="20"/>
          <w:szCs w:val="20"/>
          <w:color w:val="auto"/>
        </w:rPr>
      </w:pPr>
    </w:p>
    <w:p>
      <w:pPr>
        <w:ind w:left="1360" w:right="339"/>
        <w:spacing w:after="0" w:line="267" w:lineRule="auto"/>
        <w:rPr>
          <w:sz w:val="20"/>
          <w:szCs w:val="20"/>
          <w:color w:val="auto"/>
        </w:rPr>
      </w:pPr>
      <w:r>
        <w:rPr>
          <w:rFonts w:ascii="Times New Roman" w:cs="Times New Roman" w:eastAsia="Times New Roman" w:hAnsi="Times New Roman"/>
          <w:sz w:val="14"/>
          <w:szCs w:val="14"/>
          <w:color w:val="auto"/>
        </w:rPr>
        <w:t>The Company has evaluated subsequent events through March 11, 2025, the date on which these consolidated financial statements were available to be issued and has determined that the following subsequent events are reportable other than those disclosed elsewhere in the consolidated financial statements.</w:t>
      </w:r>
    </w:p>
    <w:p>
      <w:pPr>
        <w:spacing w:after="0" w:line="13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On January 13, 2025, the Company consummated the Merger (See Note 1 “Description of Business”).</w:t>
      </w:r>
    </w:p>
    <w:p>
      <w:pPr>
        <w:spacing w:after="0" w:line="175" w:lineRule="exact"/>
        <w:rPr>
          <w:sz w:val="20"/>
          <w:szCs w:val="20"/>
          <w:color w:val="auto"/>
        </w:rPr>
      </w:pPr>
    </w:p>
    <w:p>
      <w:pPr>
        <w:ind w:left="1360" w:right="359"/>
        <w:spacing w:after="0" w:line="278" w:lineRule="auto"/>
        <w:rPr>
          <w:sz w:val="20"/>
          <w:szCs w:val="20"/>
          <w:color w:val="auto"/>
        </w:rPr>
      </w:pPr>
      <w:r>
        <w:rPr>
          <w:rFonts w:ascii="Times New Roman" w:cs="Times New Roman" w:eastAsia="Times New Roman" w:hAnsi="Times New Roman"/>
          <w:sz w:val="13"/>
          <w:szCs w:val="13"/>
          <w:color w:val="auto"/>
        </w:rPr>
        <w:t>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advisory fee of $0.5 million for capital market advisory services is due (1) $0.3 million upon the closing of the Merger with fifty-percent paid in cash and fifty percent paid in common stock of New Blaize; and 0.2 million paid in two equal quarterly installments due at the end of each calendar quarter following the Merger with fifty percent of each quarterly payment being paid in cash and fifty precent paid in common stock of the Company. In addition, the Company entered into a warrant agreement, for a nominal upfront value, which allows the advisor to purchase 50 000 shares of common stock at a price of $11.50 per share for a term of five years. On February 10, 2025, New Blaize issued the 50,000 common stock warrants.</w:t>
      </w:r>
    </w:p>
    <w:p>
      <w:pPr>
        <w:spacing w:after="0" w:line="13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During January 2025 the Company received $15.4 million in funding in accordance with the PIPE Subscription Agreements (see Note 1).</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F-88</w:t>
      </w:r>
    </w:p>
    <w:p>
      <w:pPr>
        <w:sectPr>
          <w:pgSz w:w="11900" w:h="16838" w:orient="portrait"/>
          <w:cols w:equalWidth="0" w:num="1">
            <w:col w:w="10159"/>
          </w:cols>
          <w:pgMar w:left="300" w:top="407"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188595</wp:posOffset>
            </wp:positionV>
            <wp:extent cx="544703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228600</wp:posOffset>
            </wp:positionV>
            <wp:extent cx="544703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22"/>
          <w:szCs w:val="22"/>
          <w:b w:val="1"/>
          <w:bCs w:val="1"/>
          <w:color w:val="auto"/>
        </w:rPr>
        <w:t>18,750,000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2275205</wp:posOffset>
            </wp:positionV>
            <wp:extent cx="114173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41730" cy="698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272415</wp:posOffset>
            </wp:positionV>
            <wp:extent cx="1381760" cy="4673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81760"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185420</wp:posOffset>
            </wp:positionV>
            <wp:extent cx="114173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1503680</wp:posOffset>
            </wp:positionV>
            <wp:extent cx="544703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1557020</wp:posOffset>
            </wp:positionV>
            <wp:extent cx="5447030" cy="13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407"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3" w:lineRule="exact"/>
        <w:rPr>
          <w:sz w:val="20"/>
          <w:szCs w:val="20"/>
          <w:color w:val="auto"/>
        </w:rPr>
      </w:pPr>
    </w:p>
    <w:p>
      <w:pPr>
        <w:ind w:left="1360" w:right="65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indicates the expenses to be incurred in connection with the offering described in this registration statement, other than underwriting discounts and commissions.</w:t>
      </w:r>
    </w:p>
    <w:p>
      <w:pPr>
        <w:spacing w:after="0" w:line="141" w:lineRule="exact"/>
        <w:rPr>
          <w:sz w:val="20"/>
          <w:szCs w:val="20"/>
          <w:color w:val="auto"/>
        </w:rPr>
      </w:pPr>
    </w:p>
    <w:tbl>
      <w:tblPr>
        <w:tblLayout w:type="fixed"/>
        <w:tblInd w:w="27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640" w:type="dxa"/>
            <w:vAlign w:val="bottom"/>
            <w:gridSpan w:val="4"/>
          </w:tcPr>
          <w:p>
            <w:pPr>
              <w:ind w:left="120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59"/>
        </w:trPr>
        <w:tc>
          <w:tcPr>
            <w:tcW w:w="20" w:type="dxa"/>
            <w:vAlign w:val="bottom"/>
          </w:tcPr>
          <w:p>
            <w:pPr>
              <w:spacing w:after="0"/>
              <w:rPr>
                <w:sz w:val="13"/>
                <w:szCs w:val="13"/>
                <w:color w:val="auto"/>
              </w:rPr>
            </w:pPr>
          </w:p>
        </w:tc>
        <w:tc>
          <w:tcPr>
            <w:tcW w:w="41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Securities and Exchange Commission registration fee</w:t>
            </w:r>
          </w:p>
        </w:tc>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5,802</w:t>
            </w:r>
          </w:p>
        </w:tc>
        <w:tc>
          <w:tcPr>
            <w:tcW w:w="40" w:type="dxa"/>
            <w:vAlign w:val="bottom"/>
            <w:tcBorders>
              <w:top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Accountants’ fees and expenses</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Printing and miscellaneous fees and expenses</w:t>
            </w:r>
          </w:p>
        </w:tc>
        <w:tc>
          <w:tcPr>
            <w:tcW w:w="1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128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73660</wp:posOffset>
            </wp:positionV>
            <wp:extent cx="59436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23" w:lineRule="exact"/>
        <w:rPr>
          <w:sz w:val="20"/>
          <w:szCs w:val="20"/>
          <w:color w:val="auto"/>
        </w:rPr>
      </w:pPr>
    </w:p>
    <w:p>
      <w:pPr>
        <w:ind w:left="1700" w:hanging="345"/>
        <w:spacing w:after="0"/>
        <w:tabs>
          <w:tab w:leader="none" w:pos="17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defined at this time.</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93"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44"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4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Our certificate of incorporation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407"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59"/>
        <w:spacing w:after="0" w:line="253" w:lineRule="auto"/>
        <w:rPr>
          <w:sz w:val="20"/>
          <w:szCs w:val="20"/>
          <w:color w:val="auto"/>
        </w:rPr>
      </w:pPr>
      <w:r>
        <w:rPr>
          <w:rFonts w:ascii="Times New Roman" w:cs="Times New Roman" w:eastAsia="Times New Roman" w:hAnsi="Times New Roman"/>
          <w:sz w:val="14"/>
          <w:szCs w:val="14"/>
          <w:color w:val="auto"/>
        </w:rPr>
        <w:t>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47"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41" w:lineRule="exact"/>
        <w:rPr>
          <w:sz w:val="20"/>
          <w:szCs w:val="20"/>
          <w:color w:val="auto"/>
        </w:rPr>
      </w:pPr>
    </w:p>
    <w:p>
      <w:pPr>
        <w:ind w:left="1360" w:right="559" w:firstLine="343"/>
        <w:spacing w:after="0" w:line="283" w:lineRule="auto"/>
        <w:rPr>
          <w:sz w:val="20"/>
          <w:szCs w:val="20"/>
          <w:color w:val="auto"/>
        </w:rPr>
      </w:pPr>
      <w:r>
        <w:rPr>
          <w:rFonts w:ascii="Times New Roman" w:cs="Times New Roman" w:eastAsia="Times New Roman" w:hAnsi="Times New Roman"/>
          <w:sz w:val="14"/>
          <w:szCs w:val="14"/>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93"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 PIPE Investment.</w:t>
      </w:r>
    </w:p>
    <w:p>
      <w:pPr>
        <w:spacing w:after="0" w:line="93"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From December 31, 2024 through January 13, 2025, BurTech and certain subscribers (each, a “Subscriber” and collectively, the “Subscribers”) entered into subscription agreements (each, a “PIPE Subscription Agreement” and collectively, the “PIPE Subscription Agreements”) pursuant to which BurTech agreed to issue and sell to the Subscribers, immediately prior to the closing of the Merger, collectively, 1,540,300 shares of Class A Stock (the “PIPE Shares”) at a price per share equal to $10.00 (the “PIPE Investment”). 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407"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 Secured Promissory Note and Pledge Agreement.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On January 13, 2025, in connection with the consummation of the Business Combination and as contemplated by the Merger Agreement, the</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Sponsor issued a secured promissory note and pledge agreement (the “Sponsor Note”) to BurTech (the “Holder”) in the principal amount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$8,753,744.21, bearing an interest rate of 7% with annual compounding, compounded on December 31 each year the Sponsor Note remains outstanding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for the remaining principal amount of the Sponsor Note as at the maturity date, until such remaining principal amount is paid. Pursuant to the Sponsor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Note, the Sponsor granted a first priority security interest in, and pledges, 2,000,000 shares of Class A Stock and all additions, accessions and</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substitutions to the Holder to secure the satisfaction by the Sponsor of all its obligations to the Holder under this Sponsor Note. This Sponsor Note was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issued in connection with the consummation of the Business Combination in satisfaction of the Acquiror Transaction Expenses (as defined in the Merger</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Agreement) that were due to third-party service providers on or immediately following Closing. As consideration for entry into the Sponsor Note,</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color w:val="auto"/>
        </w:rPr>
        <w:t>Burtech issued 750,000 shares of Class A Stock (“Sponsor Note Shares”) to the Sponsor in accordance with the terms of the Sponsor Note (the “Sponsor</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Note Issuance” and together with the PIPE Investment, the “Private Placements”). The shares of Class A Stock issued in consideration for the Sponsor</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Note were offered in a private placement under the Securities Act, pursuant to the Sponsor Note and after the Business Combination, are now shares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Common Stock.</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 Capital Market Advisors.</w:t>
      </w:r>
    </w:p>
    <w:p>
      <w:pPr>
        <w:spacing w:after="0" w:line="9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On February 10, 2025, in connection with that certain Letter Agreement, dated December 23, 2024, by and between the Company and Roth Capital Partners, LLC (“Roth”), the Company issued 63,157 shares of 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 (i) 31,792 shares of Common Stock to Craig-Hallum and (ii) warrants exercisable for up to 50,000 shares of Common Stock at a price of $11.50 per share (the “CMA Warrants”), in each case, in a private placement under the Securities Act.</w:t>
      </w:r>
    </w:p>
    <w:p>
      <w:pPr>
        <w:spacing w:after="0" w:line="143"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On April 11, 2025, we entered into that certain Engagement Letter, by and between the Company and Cantor Fitzgerald &amp; Co. (“Cantor”), pursuant to which, among other things, the Company issued 769,231 shares of Common Stock to Cantor on July 15, 2025, in consideration for acting as the Company’s capital markets advisor. The Engagement Letter entitled Cantor to resale registration rights with respect to such shares of Common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 Committed Equity Facility.</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On July 14, 2025, the Company entered into a Common Stock Purchase Agreement and a related Registration Rights Agreement with B. Riley</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Principal Capital II, LLC (“B. Riley Principal Capital II”). Upon the terms and subject to the satisfaction of the conditions set forth in the Common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Stock Purchase Agreement, the Company will have the right, in its sole discretion, to sell to B. Riley Principal Capital II up to an aggregate of</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$50,000,000 of newly issued shares of the Company’s Common Stock, subject to certain conditions and limitations contained in the Common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Purchase Agreement, from time to time during the term of the Common Stock Purchase Agreement. Sales of Common Stock by the Company to B.</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Riley Principal Capital II pursuant to the Purchase Agreement, and the timing of any sales, are solely at the option of the Company, and the Company is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under no obligation to sell any securities to B. Riley Principal Capital II under the Purchase Agreement.</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 PIPE Investment</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On November 10, 2025, the Company and Polar Multi-Strategy Master Fund and Polar Long/Short Master Fund (collectively, Polar”) entered into a Securities Purchase Agreement (the “Polar Private Placement”). Pursuant to the Polar Private Placement, the Company agreed to the direct sale of 9,375,000 shares of the</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407"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Company’s common stock at a purchase price of $3.20 per share and the issuance of 9,375,000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general corporate and working capital purposes.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 Exhibits.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138"/>
        </w:trPr>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Form</w:t>
            </w:r>
          </w:p>
        </w:tc>
        <w:tc>
          <w:tcPr>
            <w:tcW w:w="5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2.1*</w:t>
            </w:r>
          </w:p>
        </w:tc>
        <w:tc>
          <w:tcPr>
            <w:tcW w:w="6100" w:type="dxa"/>
            <w:vAlign w:val="bottom"/>
            <w:gridSpan w:val="16"/>
          </w:tcPr>
          <w:p>
            <w:pPr>
              <w:spacing w:after="0"/>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Agreement and Plan of Merger, dated as of December 22, 2023, by and among BurTech Acquisition</w:t>
              </w:r>
            </w:hyperlink>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rPr>
              <w:t>S-4</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7/19/2024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60" w:type="dxa"/>
            <w:vAlign w:val="bottom"/>
          </w:tcPr>
          <w:p>
            <w:pPr>
              <w:spacing w:after="0"/>
              <w:rPr>
                <w:sz w:val="12"/>
                <w:szCs w:val="12"/>
                <w:color w:val="auto"/>
              </w:rPr>
            </w:pPr>
          </w:p>
        </w:tc>
        <w:tc>
          <w:tcPr>
            <w:tcW w:w="6100" w:type="dxa"/>
            <w:vAlign w:val="bottom"/>
            <w:gridSpan w:val="16"/>
          </w:tcPr>
          <w:p>
            <w:pPr>
              <w:spacing w:after="0" w:line="148"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Corp., BurTech Merger Sub, Inc., Blaize, Inc. and for the limited purposes set forth therein, Burkhan</w:t>
              </w:r>
            </w:hyperlink>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640" w:type="dxa"/>
            <w:vAlign w:val="bottom"/>
            <w:tcBorders>
              <w:top w:val="single" w:sz="8" w:color="0000EE"/>
            </w:tcBorders>
            <w:gridSpan w:val="12"/>
          </w:tcPr>
          <w:p>
            <w:pPr>
              <w:spacing w:after="0" w:line="148"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Capital LLC.</w:t>
              </w:r>
            </w:hyperlink>
          </w:p>
        </w:tc>
        <w:tc>
          <w:tcPr>
            <w:tcW w:w="460" w:type="dxa"/>
            <w:vAlign w:val="bottom"/>
            <w:gridSpan w:val="4"/>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2.2</w:t>
            </w:r>
          </w:p>
        </w:tc>
        <w:tc>
          <w:tcPr>
            <w:tcW w:w="55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9"/>
              </w:rPr>
            </w:pPr>
            <w:hyperlink r:id="rId247">
              <w:r>
                <w:rPr>
                  <w:rFonts w:ascii="Times New Roman" w:cs="Times New Roman" w:eastAsia="Times New Roman" w:hAnsi="Times New Roman"/>
                  <w:sz w:val="14"/>
                  <w:szCs w:val="14"/>
                  <w:color w:val="0000EE"/>
                  <w:w w:val="99"/>
                </w:rPr>
                <w:t>Amendment to Agreement and Plan of Merger, dated as of April 22, 2024, by and among BurTech</w:t>
              </w:r>
            </w:hyperlink>
          </w:p>
        </w:tc>
        <w:tc>
          <w:tcPr>
            <w:tcW w:w="560" w:type="dxa"/>
            <w:vAlign w:val="bottom"/>
            <w:gridSpan w:val="6"/>
          </w:tcPr>
          <w:p>
            <w:pPr>
              <w:spacing w:after="0"/>
              <w:rPr>
                <w:sz w:val="20"/>
                <w:szCs w:val="20"/>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rPr>
              <w:t>S-4</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7/19/2024</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100" w:type="dxa"/>
            <w:vAlign w:val="bottom"/>
            <w:gridSpan w:val="16"/>
          </w:tcPr>
          <w:p>
            <w:pPr>
              <w:spacing w:after="0" w:line="148"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Acquisition Corp., BurTech Merger Sub, Inc., Blaize, Inc. and for the limited purposes set forth therein,</w:t>
              </w:r>
            </w:hyperlink>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820" w:type="dxa"/>
            <w:vAlign w:val="bottom"/>
            <w:tcBorders>
              <w:top w:val="single" w:sz="8" w:color="0000EE"/>
            </w:tcBorders>
            <w:gridSpan w:val="14"/>
          </w:tcPr>
          <w:p>
            <w:pPr>
              <w:spacing w:after="0" w:line="148"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Burkhan Capital LLC.</w:t>
              </w:r>
            </w:hyperlink>
          </w:p>
        </w:tc>
        <w:tc>
          <w:tcPr>
            <w:tcW w:w="28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2.3</w:t>
            </w:r>
          </w:p>
        </w:tc>
        <w:tc>
          <w:tcPr>
            <w:tcW w:w="552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w w:val="99"/>
              </w:rPr>
            </w:pPr>
            <w:hyperlink r:id="rId248">
              <w:r>
                <w:rPr>
                  <w:rFonts w:ascii="Times New Roman" w:cs="Times New Roman" w:eastAsia="Times New Roman" w:hAnsi="Times New Roman"/>
                  <w:sz w:val="14"/>
                  <w:szCs w:val="14"/>
                  <w:color w:val="0000EE"/>
                  <w:w w:val="99"/>
                </w:rPr>
                <w:t>Amendment No. 2 to Agreement and Plan of Merger, dated as of October 24, 2024, by and among</w:t>
              </w:r>
            </w:hyperlink>
          </w:p>
        </w:tc>
        <w:tc>
          <w:tcPr>
            <w:tcW w:w="580" w:type="dxa"/>
            <w:vAlign w:val="bottom"/>
            <w:gridSpan w:val="7"/>
          </w:tcPr>
          <w:p>
            <w:pPr>
              <w:spacing w:after="0"/>
              <w:rPr>
                <w:sz w:val="20"/>
                <w:szCs w:val="20"/>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rPr>
              <w:t>S-4</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10/30/2024</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880" w:type="dxa"/>
            <w:vAlign w:val="bottom"/>
            <w:tcBorders>
              <w:bottom w:val="single" w:sz="8" w:color="0000EE"/>
            </w:tcBorders>
            <w:gridSpan w:val="15"/>
          </w:tcPr>
          <w:p>
            <w:pPr>
              <w:spacing w:after="0" w:line="148" w:lineRule="exact"/>
              <w:rPr>
                <w:rFonts w:ascii="Times New Roman" w:cs="Times New Roman" w:eastAsia="Times New Roman" w:hAnsi="Times New Roman"/>
                <w:sz w:val="14"/>
                <w:szCs w:val="14"/>
                <w:color w:val="0000EE"/>
                <w:w w:val="99"/>
              </w:rPr>
            </w:pPr>
            <w:hyperlink r:id="rId248">
              <w:r>
                <w:rPr>
                  <w:rFonts w:ascii="Times New Roman" w:cs="Times New Roman" w:eastAsia="Times New Roman" w:hAnsi="Times New Roman"/>
                  <w:sz w:val="14"/>
                  <w:szCs w:val="14"/>
                  <w:color w:val="0000EE"/>
                  <w:w w:val="99"/>
                </w:rPr>
                <w:t>BurTech Acquisition Corp., BurTech Merger Sub, Inc., Blaize, Inc. and for the limited purposes set forth</w:t>
              </w:r>
            </w:hyperlink>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100" w:type="dxa"/>
            <w:vAlign w:val="bottom"/>
            <w:gridSpan w:val="16"/>
          </w:tcPr>
          <w:p>
            <w:pPr>
              <w:spacing w:after="0" w:line="148" w:lineRule="exact"/>
              <w:rPr>
                <w:rFonts w:ascii="Times New Roman" w:cs="Times New Roman" w:eastAsia="Times New Roman" w:hAnsi="Times New Roman"/>
                <w:sz w:val="14"/>
                <w:szCs w:val="14"/>
                <w:color w:val="0000EE"/>
              </w:rPr>
            </w:pPr>
            <w:hyperlink r:id="rId248">
              <w:r>
                <w:rPr>
                  <w:rFonts w:ascii="Times New Roman" w:cs="Times New Roman" w:eastAsia="Times New Roman" w:hAnsi="Times New Roman"/>
                  <w:sz w:val="14"/>
                  <w:szCs w:val="14"/>
                  <w:color w:val="0000EE"/>
                </w:rPr>
                <w:t>therein, Burkhan Capital LLC.</w:t>
              </w:r>
            </w:hyperlink>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2.4</w:t>
            </w:r>
          </w:p>
        </w:tc>
        <w:tc>
          <w:tcPr>
            <w:tcW w:w="5660" w:type="dxa"/>
            <w:vAlign w:val="bottom"/>
            <w:tcBorders>
              <w:bottom w:val="single" w:sz="8" w:color="0000EE"/>
            </w:tcBorders>
            <w:gridSpan w:val="13"/>
          </w:tcPr>
          <w:p>
            <w:pPr>
              <w:spacing w:after="0"/>
              <w:rPr>
                <w:rFonts w:ascii="Times New Roman" w:cs="Times New Roman" w:eastAsia="Times New Roman" w:hAnsi="Times New Roman"/>
                <w:sz w:val="14"/>
                <w:szCs w:val="14"/>
                <w:color w:val="0000EE"/>
                <w:w w:val="99"/>
              </w:rPr>
            </w:pPr>
            <w:hyperlink r:id="rId249">
              <w:r>
                <w:rPr>
                  <w:rFonts w:ascii="Times New Roman" w:cs="Times New Roman" w:eastAsia="Times New Roman" w:hAnsi="Times New Roman"/>
                  <w:sz w:val="14"/>
                  <w:szCs w:val="14"/>
                  <w:color w:val="0000EE"/>
                  <w:w w:val="99"/>
                </w:rPr>
                <w:t>Amendment No. 3 to Agreement and Plan of Merger, dated as of November 21, 2024, by and among</w:t>
              </w:r>
            </w:hyperlink>
          </w:p>
        </w:tc>
        <w:tc>
          <w:tcPr>
            <w:tcW w:w="440" w:type="dxa"/>
            <w:vAlign w:val="bottom"/>
            <w:gridSpan w:val="3"/>
          </w:tcPr>
          <w:p>
            <w:pPr>
              <w:spacing w:after="0"/>
              <w:rPr>
                <w:sz w:val="20"/>
                <w:szCs w:val="20"/>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rPr>
              <w:t>S-4</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11/26/2024</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5880" w:type="dxa"/>
            <w:vAlign w:val="bottom"/>
            <w:tcBorders>
              <w:bottom w:val="single" w:sz="8" w:color="0000EE"/>
            </w:tcBorders>
            <w:gridSpan w:val="15"/>
          </w:tcPr>
          <w:p>
            <w:pPr>
              <w:spacing w:after="0" w:line="148" w:lineRule="exact"/>
              <w:rPr>
                <w:rFonts w:ascii="Times New Roman" w:cs="Times New Roman" w:eastAsia="Times New Roman" w:hAnsi="Times New Roman"/>
                <w:sz w:val="14"/>
                <w:szCs w:val="14"/>
                <w:color w:val="0000EE"/>
                <w:w w:val="99"/>
              </w:rPr>
            </w:pPr>
            <w:hyperlink r:id="rId249">
              <w:r>
                <w:rPr>
                  <w:rFonts w:ascii="Times New Roman" w:cs="Times New Roman" w:eastAsia="Times New Roman" w:hAnsi="Times New Roman"/>
                  <w:sz w:val="14"/>
                  <w:szCs w:val="14"/>
                  <w:color w:val="0000EE"/>
                  <w:w w:val="99"/>
                </w:rPr>
                <w:t>BurTech Acquisition Corp., BurTech Merger Sub, Inc., Blaize, Inc. and for the limited purposes set forth</w:t>
              </w:r>
            </w:hyperlink>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6100" w:type="dxa"/>
            <w:vAlign w:val="bottom"/>
            <w:gridSpan w:val="16"/>
          </w:tcPr>
          <w:p>
            <w:pPr>
              <w:spacing w:after="0" w:line="148" w:lineRule="exact"/>
              <w:rPr>
                <w:rFonts w:ascii="Times New Roman" w:cs="Times New Roman" w:eastAsia="Times New Roman" w:hAnsi="Times New Roman"/>
                <w:sz w:val="14"/>
                <w:szCs w:val="14"/>
                <w:color w:val="0000EE"/>
              </w:rPr>
            </w:pPr>
            <w:hyperlink r:id="rId249">
              <w:r>
                <w:rPr>
                  <w:rFonts w:ascii="Times New Roman" w:cs="Times New Roman" w:eastAsia="Times New Roman" w:hAnsi="Times New Roman"/>
                  <w:sz w:val="14"/>
                  <w:szCs w:val="14"/>
                  <w:color w:val="0000EE"/>
                </w:rPr>
                <w:t>therein, Burkhan Capital LLC.</w:t>
              </w:r>
            </w:hyperlink>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6100" w:type="dxa"/>
            <w:vAlign w:val="bottom"/>
            <w:gridSpan w:val="16"/>
          </w:tcPr>
          <w:p>
            <w:pPr>
              <w:spacing w:after="0"/>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Third Amended and Restated Certificate of Incorporation of Blaize Holdings, Inc.</w:t>
              </w:r>
            </w:hyperlink>
          </w:p>
        </w:tc>
        <w:tc>
          <w:tcPr>
            <w:tcW w:w="4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1/17/2025</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31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4"/>
                <w:szCs w:val="14"/>
                <w:color w:val="0000EE"/>
                <w:w w:val="99"/>
              </w:rPr>
            </w:pPr>
            <w:hyperlink r:id="rId251">
              <w:r>
                <w:rPr>
                  <w:rFonts w:ascii="Times New Roman" w:cs="Times New Roman" w:eastAsia="Times New Roman" w:hAnsi="Times New Roman"/>
                  <w:sz w:val="14"/>
                  <w:szCs w:val="14"/>
                  <w:color w:val="0000EE"/>
                  <w:w w:val="99"/>
                </w:rPr>
                <w:t>Amended and Restated Bylaws of Blaize Holdings, Inc.</w:t>
              </w:r>
            </w:hyperlink>
          </w:p>
        </w:tc>
        <w:tc>
          <w:tcPr>
            <w:tcW w:w="1460" w:type="dxa"/>
            <w:vAlign w:val="bottom"/>
            <w:tcBorders>
              <w:top w:val="single" w:sz="8" w:color="0000EE"/>
            </w:tcBorders>
          </w:tcPr>
          <w:p>
            <w:pPr>
              <w:spacing w:after="0"/>
              <w:rPr>
                <w:sz w:val="20"/>
                <w:szCs w:val="20"/>
                <w:color w:val="auto"/>
              </w:rPr>
            </w:pPr>
          </w:p>
        </w:tc>
        <w:tc>
          <w:tcPr>
            <w:tcW w:w="1500" w:type="dxa"/>
            <w:vAlign w:val="bottom"/>
            <w:gridSpan w:val="8"/>
          </w:tcPr>
          <w:p>
            <w:pPr>
              <w:spacing w:after="0"/>
              <w:rPr>
                <w:sz w:val="20"/>
                <w:szCs w:val="20"/>
                <w:color w:val="auto"/>
              </w:rPr>
            </w:pPr>
          </w:p>
        </w:tc>
        <w:tc>
          <w:tcPr>
            <w:tcW w:w="4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1/17/2025</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214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252">
              <w:r>
                <w:rPr>
                  <w:rFonts w:ascii="Times New Roman" w:cs="Times New Roman" w:eastAsia="Times New Roman" w:hAnsi="Times New Roman"/>
                  <w:sz w:val="14"/>
                  <w:szCs w:val="14"/>
                  <w:color w:val="0000EE"/>
                  <w:w w:val="99"/>
                </w:rPr>
                <w:t>Specimen Common Stock Certificate.</w:t>
              </w:r>
            </w:hyperlink>
          </w:p>
        </w:tc>
        <w:tc>
          <w:tcPr>
            <w:tcW w:w="3960" w:type="dxa"/>
            <w:vAlign w:val="bottom"/>
            <w:gridSpan w:val="12"/>
          </w:tcPr>
          <w:p>
            <w:pPr>
              <w:spacing w:after="0"/>
              <w:rPr>
                <w:sz w:val="20"/>
                <w:szCs w:val="20"/>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5"/>
              </w:rPr>
              <w:t>S-1/A</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11/19/2021</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6100" w:type="dxa"/>
            <w:vAlign w:val="bottom"/>
            <w:gridSpan w:val="16"/>
          </w:tcPr>
          <w:p>
            <w:pPr>
              <w:spacing w:after="0"/>
              <w:rPr>
                <w:rFonts w:ascii="Times New Roman" w:cs="Times New Roman" w:eastAsia="Times New Roman" w:hAnsi="Times New Roman"/>
                <w:sz w:val="14"/>
                <w:szCs w:val="14"/>
                <w:color w:val="0000EE"/>
              </w:rPr>
            </w:pPr>
            <w:hyperlink r:id="rId253">
              <w:r>
                <w:rPr>
                  <w:rFonts w:ascii="Times New Roman" w:cs="Times New Roman" w:eastAsia="Times New Roman" w:hAnsi="Times New Roman"/>
                  <w:sz w:val="14"/>
                  <w:szCs w:val="14"/>
                  <w:color w:val="0000EE"/>
                </w:rPr>
                <w:t>Specimen Warrant Certificate.</w:t>
              </w:r>
            </w:hyperlink>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5"/>
              </w:rPr>
              <w:t>S-1/A</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11/19/2021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6100" w:type="dxa"/>
            <w:vAlign w:val="bottom"/>
            <w:gridSpan w:val="16"/>
          </w:tcPr>
          <w:p>
            <w:pPr>
              <w:spacing w:after="0"/>
              <w:rPr>
                <w:rFonts w:ascii="Times New Roman" w:cs="Times New Roman" w:eastAsia="Times New Roman" w:hAnsi="Times New Roman"/>
                <w:sz w:val="14"/>
                <w:szCs w:val="14"/>
                <w:color w:val="0000EE"/>
              </w:rPr>
            </w:pPr>
            <w:hyperlink r:id="rId254">
              <w:r>
                <w:rPr>
                  <w:rFonts w:ascii="Times New Roman" w:cs="Times New Roman" w:eastAsia="Times New Roman" w:hAnsi="Times New Roman"/>
                  <w:sz w:val="14"/>
                  <w:szCs w:val="14"/>
                  <w:color w:val="0000EE"/>
                </w:rPr>
                <w:t>Warrant Agreement, dated as of December 10, 2021, by and between the Company and Continental</w:t>
              </w:r>
            </w:hyperlink>
          </w:p>
        </w:tc>
        <w:tc>
          <w:tcPr>
            <w:tcW w:w="44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12/16/2021</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900" w:type="dxa"/>
            <w:vAlign w:val="bottom"/>
            <w:tcBorders>
              <w:top w:val="single" w:sz="8" w:color="0000EE"/>
              <w:bottom w:val="single" w:sz="8" w:color="0000EE"/>
            </w:tcBorders>
            <w:gridSpan w:val="6"/>
          </w:tcPr>
          <w:p>
            <w:pPr>
              <w:spacing w:after="0" w:line="148" w:lineRule="exact"/>
              <w:rPr>
                <w:rFonts w:ascii="Times New Roman" w:cs="Times New Roman" w:eastAsia="Times New Roman" w:hAnsi="Times New Roman"/>
                <w:sz w:val="14"/>
                <w:szCs w:val="14"/>
                <w:color w:val="0000EE"/>
                <w:w w:val="99"/>
              </w:rPr>
            </w:pPr>
            <w:hyperlink r:id="rId254">
              <w:r>
                <w:rPr>
                  <w:rFonts w:ascii="Times New Roman" w:cs="Times New Roman" w:eastAsia="Times New Roman" w:hAnsi="Times New Roman"/>
                  <w:sz w:val="14"/>
                  <w:szCs w:val="14"/>
                  <w:color w:val="0000EE"/>
                  <w:w w:val="99"/>
                </w:rPr>
                <w:t>Stock Transfer &amp; Trust Company, as warrant agent.</w:t>
              </w:r>
            </w:hyperlink>
          </w:p>
        </w:tc>
        <w:tc>
          <w:tcPr>
            <w:tcW w:w="2720" w:type="dxa"/>
            <w:vAlign w:val="bottom"/>
            <w:tcBorders>
              <w:top w:val="single" w:sz="8" w:color="0000EE"/>
            </w:tcBorders>
            <w:gridSpan w:val="5"/>
          </w:tcPr>
          <w:p>
            <w:pPr>
              <w:spacing w:after="0"/>
              <w:rPr>
                <w:sz w:val="12"/>
                <w:szCs w:val="12"/>
                <w:color w:val="auto"/>
              </w:rPr>
            </w:pPr>
          </w:p>
        </w:tc>
        <w:tc>
          <w:tcPr>
            <w:tcW w:w="480" w:type="dxa"/>
            <w:vAlign w:val="bottom"/>
            <w:gridSpan w:val="5"/>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6100" w:type="dxa"/>
            <w:vAlign w:val="bottom"/>
            <w:gridSpan w:val="16"/>
          </w:tcPr>
          <w:p>
            <w:pPr>
              <w:spacing w:after="0"/>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Form of Warrant, dated as of November 12, 2025.</w:t>
              </w:r>
            </w:hyperlink>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color w:val="auto"/>
                <w:w w:val="97"/>
              </w:rPr>
              <w:t>10-Q</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11/13/2025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420" w:hanging="65"/>
        <w:spacing w:after="0"/>
        <w:tabs>
          <w:tab w:leader="none" w:pos="1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  5.1**   </w:t>
      </w:r>
      <w:r>
        <w:rPr>
          <w:rFonts w:ascii="Times New Roman" w:cs="Times New Roman" w:eastAsia="Times New Roman" w:hAnsi="Times New Roman"/>
          <w:sz w:val="12"/>
          <w:szCs w:val="12"/>
          <w:u w:val="single" w:color="auto"/>
          <w:color w:val="0000EE"/>
        </w:rPr>
        <w:t>Opinion of Faegre Drinker Biddle &amp; Reath LLP.</w:t>
      </w:r>
    </w:p>
    <w:p>
      <w:pPr>
        <w:spacing w:after="0" w:line="105"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10.1</w:t>
            </w:r>
          </w:p>
        </w:tc>
        <w:tc>
          <w:tcPr>
            <w:tcW w:w="584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Amended and Restated Registration Rights Agreement, dated as of January 13, 2025, by and among the</w:t>
              </w:r>
            </w:hyperlink>
          </w:p>
        </w:tc>
        <w:tc>
          <w:tcPr>
            <w:tcW w:w="16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8-K</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1/17/2025</w:t>
            </w:r>
          </w:p>
        </w:tc>
      </w:tr>
      <w:tr>
        <w:trPr>
          <w:trHeight w:val="148"/>
        </w:trPr>
        <w:tc>
          <w:tcPr>
            <w:tcW w:w="660" w:type="dxa"/>
            <w:vAlign w:val="bottom"/>
          </w:tcPr>
          <w:p>
            <w:pPr>
              <w:spacing w:after="0"/>
              <w:rPr>
                <w:sz w:val="12"/>
                <w:szCs w:val="12"/>
                <w:color w:val="auto"/>
              </w:rPr>
            </w:pPr>
          </w:p>
        </w:tc>
        <w:tc>
          <w:tcPr>
            <w:tcW w:w="6000" w:type="dxa"/>
            <w:vAlign w:val="bottom"/>
            <w:gridSpan w:val="6"/>
          </w:tcPr>
          <w:p>
            <w:pPr>
              <w:spacing w:after="0" w:line="148" w:lineRule="exact"/>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Company, certain stockholders of BurTech named therein and certain stockholders of Legacy Blaize</w:t>
              </w:r>
            </w:hyperlink>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660" w:type="dxa"/>
            <w:vAlign w:val="bottom"/>
          </w:tcPr>
          <w:p>
            <w:pPr>
              <w:spacing w:after="0"/>
              <w:rPr>
                <w:sz w:val="12"/>
                <w:szCs w:val="12"/>
                <w:color w:val="auto"/>
              </w:rPr>
            </w:pPr>
          </w:p>
        </w:tc>
        <w:tc>
          <w:tcPr>
            <w:tcW w:w="5620" w:type="dxa"/>
            <w:vAlign w:val="bottom"/>
            <w:tcBorders>
              <w:top w:val="single" w:sz="8" w:color="0000EE"/>
            </w:tcBorders>
            <w:gridSpan w:val="3"/>
          </w:tcPr>
          <w:p>
            <w:pPr>
              <w:spacing w:after="0" w:line="148" w:lineRule="exact"/>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named therein.</w:t>
              </w:r>
            </w:hyperlink>
          </w:p>
        </w:tc>
        <w:tc>
          <w:tcPr>
            <w:tcW w:w="380" w:type="dxa"/>
            <w:vAlign w:val="bottom"/>
            <w:gridSpan w:val="3"/>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  10.2</w:t>
            </w:r>
          </w:p>
        </w:tc>
        <w:tc>
          <w:tcPr>
            <w:tcW w:w="582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9"/>
              </w:rPr>
            </w:pPr>
            <w:hyperlink r:id="rId257">
              <w:r>
                <w:rPr>
                  <w:rFonts w:ascii="Times New Roman" w:cs="Times New Roman" w:eastAsia="Times New Roman" w:hAnsi="Times New Roman"/>
                  <w:sz w:val="14"/>
                  <w:szCs w:val="14"/>
                  <w:color w:val="0000EE"/>
                  <w:w w:val="99"/>
                </w:rPr>
                <w:t>Letter Agreement, dated as of December 10, 2021, by and among BurTech, its officers and its directors,</w:t>
              </w:r>
            </w:hyperlink>
          </w:p>
        </w:tc>
        <w:tc>
          <w:tcPr>
            <w:tcW w:w="180" w:type="dxa"/>
            <w:vAlign w:val="bottom"/>
            <w:gridSpan w:val="2"/>
          </w:tcPr>
          <w:p>
            <w:pPr>
              <w:spacing w:after="0"/>
              <w:rPr>
                <w:sz w:val="20"/>
                <w:szCs w:val="20"/>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8-K</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12/16/2021</w:t>
            </w:r>
          </w:p>
        </w:tc>
      </w:tr>
      <w:tr>
        <w:trPr>
          <w:trHeight w:val="148"/>
        </w:trPr>
        <w:tc>
          <w:tcPr>
            <w:tcW w:w="660" w:type="dxa"/>
            <w:vAlign w:val="bottom"/>
          </w:tcPr>
          <w:p>
            <w:pPr>
              <w:spacing w:after="0"/>
              <w:rPr>
                <w:sz w:val="12"/>
                <w:szCs w:val="12"/>
                <w:color w:val="auto"/>
              </w:rPr>
            </w:pPr>
          </w:p>
        </w:tc>
        <w:tc>
          <w:tcPr>
            <w:tcW w:w="6000" w:type="dxa"/>
            <w:vAlign w:val="bottom"/>
            <w:gridSpan w:val="6"/>
          </w:tcPr>
          <w:p>
            <w:pPr>
              <w:spacing w:after="0" w:line="148" w:lineRule="exact"/>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Sponsor and certain other stockholders party thereto.</w:t>
              </w:r>
            </w:hyperlink>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0"/>
        </w:trPr>
        <w:tc>
          <w:tcPr>
            <w:tcW w:w="6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407"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373" w:lineRule="exact"/>
        <w:rPr>
          <w:sz w:val="20"/>
          <w:szCs w:val="20"/>
          <w:color w:val="auto"/>
        </w:rPr>
      </w:pPr>
    </w:p>
    <w:tbl>
      <w:tblPr>
        <w:tblLayout w:type="fixed"/>
        <w:tblInd w:w="1360" w:type="dxa"/>
        <w:tblCellMar>
          <w:top w:w="0" w:type="dxa"/>
          <w:left w:w="0" w:type="dxa"/>
          <w:bottom w:w="0" w:type="dxa"/>
          <w:right w:w="0" w:type="dxa"/>
        </w:tblCellMar>
      </w:tblPr>
      <w:tr>
        <w:trPr>
          <w:trHeight w:val="148"/>
        </w:trPr>
        <w:tc>
          <w:tcPr>
            <w:tcW w:w="8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8"/>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10.3</w:t>
            </w:r>
          </w:p>
        </w:tc>
        <w:tc>
          <w:tcPr>
            <w:tcW w:w="214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rPr>
            </w:pPr>
            <w:hyperlink r:id="rId259">
              <w:r>
                <w:rPr>
                  <w:rFonts w:ascii="Times New Roman" w:cs="Times New Roman" w:eastAsia="Times New Roman" w:hAnsi="Times New Roman"/>
                  <w:sz w:val="14"/>
                  <w:szCs w:val="14"/>
                  <w:color w:val="0000EE"/>
                </w:rPr>
                <w:t>Form of Indemnification Agreement.</w:t>
              </w:r>
            </w:hyperlink>
          </w:p>
        </w:tc>
        <w:tc>
          <w:tcPr>
            <w:tcW w:w="3380" w:type="dxa"/>
            <w:vAlign w:val="bottom"/>
            <w:gridSpan w:val="6"/>
          </w:tcPr>
          <w:p>
            <w:pPr>
              <w:spacing w:after="0"/>
              <w:rPr>
                <w:sz w:val="18"/>
                <w:szCs w:val="18"/>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10.4</w:t>
            </w:r>
          </w:p>
        </w:tc>
        <w:tc>
          <w:tcPr>
            <w:tcW w:w="296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w w:val="99"/>
              </w:rPr>
            </w:pPr>
            <w:hyperlink r:id="rId260">
              <w:r>
                <w:rPr>
                  <w:rFonts w:ascii="Times New Roman" w:cs="Times New Roman" w:eastAsia="Times New Roman" w:hAnsi="Times New Roman"/>
                  <w:sz w:val="14"/>
                  <w:szCs w:val="14"/>
                  <w:color w:val="0000EE"/>
                  <w:w w:val="99"/>
                </w:rPr>
                <w:t>Blaize, Inc. Amended and Restated 2011 Stock Plan.</w:t>
              </w:r>
            </w:hyperlink>
          </w:p>
        </w:tc>
        <w:tc>
          <w:tcPr>
            <w:tcW w:w="2560" w:type="dxa"/>
            <w:vAlign w:val="bottom"/>
            <w:gridSpan w:val="3"/>
          </w:tcPr>
          <w:p>
            <w:pPr>
              <w:spacing w:after="0"/>
              <w:rPr>
                <w:sz w:val="20"/>
                <w:szCs w:val="20"/>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10.5</w:t>
            </w:r>
          </w:p>
        </w:tc>
        <w:tc>
          <w:tcPr>
            <w:tcW w:w="278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w w:val="98"/>
              </w:rPr>
            </w:pPr>
            <w:hyperlink r:id="rId261">
              <w:r>
                <w:rPr>
                  <w:rFonts w:ascii="Times New Roman" w:cs="Times New Roman" w:eastAsia="Times New Roman" w:hAnsi="Times New Roman"/>
                  <w:sz w:val="14"/>
                  <w:szCs w:val="14"/>
                  <w:color w:val="0000EE"/>
                  <w:w w:val="98"/>
                </w:rPr>
                <w:t>Blaize Holdings, Inc. 2025 Incentive Award Plan.</w:t>
              </w:r>
            </w:hyperlink>
          </w:p>
        </w:tc>
        <w:tc>
          <w:tcPr>
            <w:tcW w:w="2740" w:type="dxa"/>
            <w:vAlign w:val="bottom"/>
            <w:gridSpan w:val="4"/>
          </w:tcPr>
          <w:p>
            <w:pPr>
              <w:spacing w:after="0"/>
              <w:rPr>
                <w:sz w:val="20"/>
                <w:szCs w:val="20"/>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10.6</w:t>
            </w:r>
          </w:p>
        </w:tc>
        <w:tc>
          <w:tcPr>
            <w:tcW w:w="3320" w:type="dxa"/>
            <w:vAlign w:val="bottom"/>
            <w:tcBorders>
              <w:bottom w:val="single" w:sz="8" w:color="0000EE"/>
            </w:tcBorders>
            <w:gridSpan w:val="6"/>
          </w:tcPr>
          <w:p>
            <w:pPr>
              <w:spacing w:after="0"/>
              <w:rPr>
                <w:rFonts w:ascii="Times New Roman" w:cs="Times New Roman" w:eastAsia="Times New Roman" w:hAnsi="Times New Roman"/>
                <w:sz w:val="14"/>
                <w:szCs w:val="14"/>
                <w:color w:val="0000EE"/>
                <w:w w:val="99"/>
              </w:rPr>
            </w:pPr>
            <w:hyperlink r:id="rId262">
              <w:r>
                <w:rPr>
                  <w:rFonts w:ascii="Times New Roman" w:cs="Times New Roman" w:eastAsia="Times New Roman" w:hAnsi="Times New Roman"/>
                  <w:sz w:val="14"/>
                  <w:szCs w:val="14"/>
                  <w:color w:val="0000EE"/>
                  <w:w w:val="99"/>
                </w:rPr>
                <w:t>Blaize Holdings, Inc. 2025 Employee Stock Purchase Plan.</w:t>
              </w:r>
            </w:hyperlink>
          </w:p>
        </w:tc>
        <w:tc>
          <w:tcPr>
            <w:tcW w:w="2200" w:type="dxa"/>
            <w:vAlign w:val="bottom"/>
            <w:gridSpan w:val="2"/>
          </w:tcPr>
          <w:p>
            <w:pPr>
              <w:spacing w:after="0"/>
              <w:rPr>
                <w:sz w:val="20"/>
                <w:szCs w:val="20"/>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5520" w:type="dxa"/>
            <w:vAlign w:val="bottom"/>
            <w:gridSpan w:val="8"/>
          </w:tcPr>
          <w:p>
            <w:pPr>
              <w:spacing w:after="0"/>
              <w:rPr>
                <w:rFonts w:ascii="Times New Roman" w:cs="Times New Roman" w:eastAsia="Times New Roman" w:hAnsi="Times New Roman"/>
                <w:sz w:val="14"/>
                <w:szCs w:val="14"/>
                <w:color w:val="0000EE"/>
                <w:w w:val="99"/>
              </w:rPr>
            </w:pPr>
            <w:hyperlink r:id="rId263">
              <w:r>
                <w:rPr>
                  <w:rFonts w:ascii="Times New Roman" w:cs="Times New Roman" w:eastAsia="Times New Roman" w:hAnsi="Times New Roman"/>
                  <w:sz w:val="14"/>
                  <w:szCs w:val="14"/>
                  <w:color w:val="0000EE"/>
                  <w:w w:val="99"/>
                </w:rPr>
                <w:t>Form of Stock Option Grant Agreement (Installment Exercise) and Grant Notice under the Blaize,</w:t>
              </w:r>
            </w:hyperlink>
          </w:p>
        </w:tc>
      </w:tr>
      <w:tr>
        <w:trPr>
          <w:trHeight w:val="148"/>
        </w:trPr>
        <w:tc>
          <w:tcPr>
            <w:tcW w:w="800" w:type="dxa"/>
            <w:vAlign w:val="bottom"/>
          </w:tcPr>
          <w:p>
            <w:pPr>
              <w:spacing w:after="0"/>
              <w:rPr>
                <w:sz w:val="12"/>
                <w:szCs w:val="12"/>
                <w:color w:val="auto"/>
              </w:rPr>
            </w:pPr>
          </w:p>
        </w:tc>
        <w:tc>
          <w:tcPr>
            <w:tcW w:w="5500" w:type="dxa"/>
            <w:vAlign w:val="bottom"/>
            <w:tcBorders>
              <w:top w:val="single" w:sz="8" w:color="0000EE"/>
            </w:tcBorders>
            <w:gridSpan w:val="7"/>
          </w:tcPr>
          <w:p>
            <w:pPr>
              <w:spacing w:after="0" w:line="148" w:lineRule="exact"/>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Inc. Amended and Restated 2011 Stock Plan.</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10.8</w:t>
            </w:r>
          </w:p>
        </w:tc>
        <w:tc>
          <w:tcPr>
            <w:tcW w:w="552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9"/>
              </w:rPr>
            </w:pPr>
            <w:hyperlink r:id="rId264">
              <w:r>
                <w:rPr>
                  <w:rFonts w:ascii="Times New Roman" w:cs="Times New Roman" w:eastAsia="Times New Roman" w:hAnsi="Times New Roman"/>
                  <w:sz w:val="14"/>
                  <w:szCs w:val="14"/>
                  <w:color w:val="0000EE"/>
                  <w:w w:val="99"/>
                </w:rPr>
                <w:t>Form of Restricted Stock Unit Grant Agreement and Grant Notice under the Blaize, Inc. Amended</w:t>
              </w:r>
            </w:hyperlink>
          </w:p>
        </w:tc>
      </w:tr>
      <w:tr>
        <w:trPr>
          <w:trHeight w:val="148"/>
        </w:trPr>
        <w:tc>
          <w:tcPr>
            <w:tcW w:w="800" w:type="dxa"/>
            <w:vAlign w:val="bottom"/>
          </w:tcPr>
          <w:p>
            <w:pPr>
              <w:spacing w:after="0"/>
              <w:rPr>
                <w:sz w:val="12"/>
                <w:szCs w:val="12"/>
                <w:color w:val="auto"/>
              </w:rPr>
            </w:pPr>
          </w:p>
        </w:tc>
        <w:tc>
          <w:tcPr>
            <w:tcW w:w="1700" w:type="dxa"/>
            <w:vAlign w:val="bottom"/>
            <w:tcBorders>
              <w:bottom w:val="single" w:sz="8" w:color="0000EE"/>
            </w:tcBorders>
          </w:tcPr>
          <w:p>
            <w:pPr>
              <w:spacing w:after="0" w:line="148" w:lineRule="exact"/>
              <w:rPr>
                <w:rFonts w:ascii="Times New Roman" w:cs="Times New Roman" w:eastAsia="Times New Roman" w:hAnsi="Times New Roman"/>
                <w:sz w:val="14"/>
                <w:szCs w:val="14"/>
                <w:color w:val="0000EE"/>
                <w:w w:val="98"/>
              </w:rPr>
            </w:pPr>
            <w:hyperlink r:id="rId264">
              <w:r>
                <w:rPr>
                  <w:rFonts w:ascii="Times New Roman" w:cs="Times New Roman" w:eastAsia="Times New Roman" w:hAnsi="Times New Roman"/>
                  <w:sz w:val="14"/>
                  <w:szCs w:val="14"/>
                  <w:color w:val="0000EE"/>
                  <w:w w:val="98"/>
                </w:rPr>
                <w:t>and Restated 2011 Stock Plan.</w:t>
              </w:r>
            </w:hyperlink>
          </w:p>
        </w:tc>
        <w:tc>
          <w:tcPr>
            <w:tcW w:w="3820" w:type="dxa"/>
            <w:vAlign w:val="bottom"/>
            <w:gridSpan w:val="7"/>
          </w:tcPr>
          <w:p>
            <w:pPr>
              <w:spacing w:after="0"/>
              <w:rPr>
                <w:sz w:val="12"/>
                <w:szCs w:val="12"/>
                <w:color w:val="auto"/>
              </w:rPr>
            </w:pPr>
          </w:p>
        </w:tc>
      </w:tr>
      <w:tr>
        <w:trPr>
          <w:trHeight w:val="232"/>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  10.9</w:t>
            </w:r>
          </w:p>
        </w:tc>
        <w:tc>
          <w:tcPr>
            <w:tcW w:w="5520" w:type="dxa"/>
            <w:vAlign w:val="bottom"/>
            <w:gridSpan w:val="8"/>
          </w:tcPr>
          <w:p>
            <w:pPr>
              <w:spacing w:after="0"/>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Form of Non-Redemption Agreement.</w:t>
              </w:r>
            </w:hyperlink>
          </w:p>
        </w:tc>
      </w:tr>
      <w:tr>
        <w:trPr>
          <w:trHeight w:val="20"/>
        </w:trPr>
        <w:tc>
          <w:tcPr>
            <w:tcW w:w="80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1420" w:hanging="65"/>
        <w:spacing w:after="0"/>
        <w:tabs>
          <w:tab w:leader="none" w:pos="1420" w:val="left"/>
        </w:tabs>
        <w:numPr>
          <w:ilvl w:val="0"/>
          <w:numId w:val="85"/>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2"/>
          <w:szCs w:val="12"/>
          <w:color w:val="auto"/>
        </w:rPr>
        <w:t>10.10</w:t>
      </w:r>
      <w:hyperlink r:id="rId266">
        <w:r>
          <w:rPr>
            <w:rFonts w:ascii="Times New Roman" w:cs="Times New Roman" w:eastAsia="Times New Roman" w:hAnsi="Times New Roman"/>
            <w:sz w:val="13"/>
            <w:szCs w:val="13"/>
            <w:u w:val="single" w:color="auto"/>
            <w:color w:val="0000EE"/>
          </w:rPr>
          <w:t>Form of PIPE Agreement.</w:t>
        </w:r>
      </w:hyperlink>
    </w:p>
    <w:p>
      <w:pPr>
        <w:spacing w:after="0" w:line="102" w:lineRule="exact"/>
        <w:rPr>
          <w:rFonts w:ascii="Times New Roman" w:cs="Times New Roman" w:eastAsia="Times New Roman" w:hAnsi="Times New Roman"/>
          <w:sz w:val="13"/>
          <w:szCs w:val="13"/>
          <w:u w:val="single" w:color="auto"/>
          <w:color w:val="0000EE"/>
        </w:rPr>
      </w:pPr>
    </w:p>
    <w:p>
      <w:pPr>
        <w:ind w:left="216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w:t>
      </w:r>
      <w:hyperlink r:id="rId267">
        <w:r>
          <w:rPr>
            <w:rFonts w:ascii="Times New Roman" w:cs="Times New Roman" w:eastAsia="Times New Roman" w:hAnsi="Times New Roman"/>
            <w:sz w:val="14"/>
            <w:szCs w:val="14"/>
            <w:u w:val="single" w:color="auto"/>
            <w:color w:val="0000EE"/>
          </w:rPr>
          <w:t>Registration Rights Agreement, dated as of January 13, 2025, by and among the Company and certain</w:t>
        </w:r>
      </w:hyperlink>
      <w:r>
        <w:rPr>
          <w:rFonts w:ascii="Times New Roman" w:cs="Times New Roman" w:eastAsia="Times New Roman" w:hAnsi="Times New Roman"/>
          <w:sz w:val="14"/>
          <w:szCs w:val="14"/>
          <w:u w:val="single" w:color="auto"/>
          <w:color w:val="0000EE"/>
        </w:rPr>
        <w:t xml:space="preserve"> </w:t>
      </w:r>
      <w:hyperlink r:id="rId267">
        <w:r>
          <w:rPr>
            <w:rFonts w:ascii="Times New Roman" w:cs="Times New Roman" w:eastAsia="Times New Roman" w:hAnsi="Times New Roman"/>
            <w:sz w:val="14"/>
            <w:szCs w:val="14"/>
            <w:u w:val="single" w:color="auto"/>
            <w:color w:val="0000EE"/>
          </w:rPr>
          <w:t>stockholders of Legacy Blaize named therein.</w:t>
        </w:r>
      </w:hyperlink>
    </w:p>
    <w:p>
      <w:pPr>
        <w:spacing w:after="0" w:line="40" w:lineRule="exact"/>
        <w:rPr>
          <w:rFonts w:ascii="Times New Roman" w:cs="Times New Roman" w:eastAsia="Times New Roman" w:hAnsi="Times New Roman"/>
          <w:sz w:val="14"/>
          <w:szCs w:val="14"/>
          <w:u w:val="single" w:color="auto"/>
          <w:color w:val="0000EE"/>
        </w:rPr>
      </w:pPr>
    </w:p>
    <w:p>
      <w:pPr>
        <w:ind w:left="2160" w:right="30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10.12</w:t>
      </w:r>
      <w:hyperlink r:id="rId268">
        <w:r>
          <w:rPr>
            <w:rFonts w:ascii="Times New Roman" w:cs="Times New Roman" w:eastAsia="Times New Roman" w:hAnsi="Times New Roman"/>
            <w:sz w:val="14"/>
            <w:szCs w:val="14"/>
            <w:u w:val="single" w:color="auto"/>
            <w:color w:val="0000EE"/>
          </w:rPr>
          <w:t>Stockholder Lock-Up Agreement, dated as of January 13, 2025, by and among the Company and</w:t>
        </w:r>
      </w:hyperlink>
      <w:r>
        <w:rPr>
          <w:rFonts w:ascii="Times New Roman" w:cs="Times New Roman" w:eastAsia="Times New Roman" w:hAnsi="Times New Roman"/>
          <w:sz w:val="14"/>
          <w:szCs w:val="14"/>
          <w:u w:val="single" w:color="auto"/>
          <w:color w:val="0000EE"/>
        </w:rPr>
        <w:t xml:space="preserve"> </w:t>
      </w:r>
      <w:hyperlink r:id="rId268">
        <w:r>
          <w:rPr>
            <w:rFonts w:ascii="Times New Roman" w:cs="Times New Roman" w:eastAsia="Times New Roman" w:hAnsi="Times New Roman"/>
            <w:sz w:val="14"/>
            <w:szCs w:val="14"/>
            <w:u w:val="single" w:color="auto"/>
            <w:color w:val="0000EE"/>
          </w:rPr>
          <w:t>certain stockholders of Legacy Blaize named therein.</w:t>
        </w:r>
      </w:hyperlink>
    </w:p>
    <w:p>
      <w:pPr>
        <w:spacing w:after="0" w:line="40" w:lineRule="exact"/>
        <w:rPr>
          <w:rFonts w:ascii="Times New Roman" w:cs="Times New Roman" w:eastAsia="Times New Roman" w:hAnsi="Times New Roman"/>
          <w:sz w:val="14"/>
          <w:szCs w:val="14"/>
          <w:u w:val="single" w:color="auto"/>
          <w:color w:val="0000EE"/>
        </w:rPr>
      </w:pPr>
    </w:p>
    <w:p>
      <w:pPr>
        <w:ind w:left="2160" w:right="34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w:t>
      </w:r>
      <w:hyperlink r:id="rId269">
        <w:r>
          <w:rPr>
            <w:rFonts w:ascii="Times New Roman" w:cs="Times New Roman" w:eastAsia="Times New Roman" w:hAnsi="Times New Roman"/>
            <w:sz w:val="14"/>
            <w:szCs w:val="14"/>
            <w:u w:val="single" w:color="auto"/>
            <w:color w:val="0000EE"/>
          </w:rPr>
          <w:t>Noteholder Lock-Up Agreement, dated as of January 13, 2025, by and among the Company and</w:t>
        </w:r>
      </w:hyperlink>
      <w:r>
        <w:rPr>
          <w:rFonts w:ascii="Times New Roman" w:cs="Times New Roman" w:eastAsia="Times New Roman" w:hAnsi="Times New Roman"/>
          <w:sz w:val="14"/>
          <w:szCs w:val="14"/>
          <w:u w:val="single" w:color="auto"/>
          <w:color w:val="0000EE"/>
        </w:rPr>
        <w:t xml:space="preserve"> </w:t>
      </w:r>
      <w:hyperlink r:id="rId269">
        <w:r>
          <w:rPr>
            <w:rFonts w:ascii="Times New Roman" w:cs="Times New Roman" w:eastAsia="Times New Roman" w:hAnsi="Times New Roman"/>
            <w:sz w:val="14"/>
            <w:szCs w:val="14"/>
            <w:u w:val="single" w:color="auto"/>
            <w:color w:val="0000EE"/>
          </w:rPr>
          <w:t>certain securityholders of Legacy Blaize named therein.</w:t>
        </w:r>
      </w:hyperlink>
    </w:p>
    <w:p>
      <w:pPr>
        <w:spacing w:after="0" w:line="40" w:lineRule="exact"/>
        <w:rPr>
          <w:rFonts w:ascii="Times New Roman" w:cs="Times New Roman" w:eastAsia="Times New Roman" w:hAnsi="Times New Roman"/>
          <w:sz w:val="14"/>
          <w:szCs w:val="14"/>
          <w:u w:val="single" w:color="auto"/>
          <w:color w:val="0000EE"/>
        </w:rPr>
      </w:pPr>
    </w:p>
    <w:p>
      <w:pPr>
        <w:ind w:left="2160" w:right="44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10.14</w:t>
      </w:r>
      <w:hyperlink r:id="rId270">
        <w:r>
          <w:rPr>
            <w:rFonts w:ascii="Times New Roman" w:cs="Times New Roman" w:eastAsia="Times New Roman" w:hAnsi="Times New Roman"/>
            <w:sz w:val="14"/>
            <w:szCs w:val="14"/>
            <w:u w:val="single" w:color="auto"/>
            <w:color w:val="0000EE"/>
          </w:rPr>
          <w:t>Secured Promissory Note and Pledge Agreement, dated as of January 13, 2025, by and among</w:t>
        </w:r>
      </w:hyperlink>
      <w:r>
        <w:rPr>
          <w:rFonts w:ascii="Times New Roman" w:cs="Times New Roman" w:eastAsia="Times New Roman" w:hAnsi="Times New Roman"/>
          <w:sz w:val="14"/>
          <w:szCs w:val="14"/>
          <w:u w:val="single" w:color="auto"/>
          <w:color w:val="0000EE"/>
        </w:rPr>
        <w:t xml:space="preserve"> </w:t>
      </w:r>
      <w:hyperlink r:id="rId270">
        <w:r>
          <w:rPr>
            <w:rFonts w:ascii="Times New Roman" w:cs="Times New Roman" w:eastAsia="Times New Roman" w:hAnsi="Times New Roman"/>
            <w:sz w:val="14"/>
            <w:szCs w:val="14"/>
            <w:u w:val="single" w:color="auto"/>
            <w:color w:val="0000EE"/>
          </w:rPr>
          <w:t>BurTech LP LLC and BurTech.</w:t>
        </w:r>
      </w:hyperlink>
    </w:p>
    <w:p>
      <w:pPr>
        <w:spacing w:after="0" w:line="40" w:lineRule="exact"/>
        <w:rPr>
          <w:rFonts w:ascii="Times New Roman" w:cs="Times New Roman" w:eastAsia="Times New Roman" w:hAnsi="Times New Roman"/>
          <w:sz w:val="14"/>
          <w:szCs w:val="14"/>
          <w:u w:val="single" w:color="auto"/>
          <w:color w:val="0000EE"/>
        </w:rPr>
      </w:pPr>
    </w:p>
    <w:p>
      <w:pPr>
        <w:ind w:left="2160" w:right="28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w:t>
      </w:r>
      <w:hyperlink r:id="rId271">
        <w:r>
          <w:rPr>
            <w:rFonts w:ascii="Times New Roman" w:cs="Times New Roman" w:eastAsia="Times New Roman" w:hAnsi="Times New Roman"/>
            <w:sz w:val="14"/>
            <w:szCs w:val="14"/>
            <w:u w:val="single" w:color="auto"/>
            <w:color w:val="0000EE"/>
          </w:rPr>
          <w:t>Letter Agreement, dated as of January 13, 2025, by and among BurTech, Merger Sub, Blaize and</w:t>
        </w:r>
      </w:hyperlink>
      <w:r>
        <w:rPr>
          <w:rFonts w:ascii="Times New Roman" w:cs="Times New Roman" w:eastAsia="Times New Roman" w:hAnsi="Times New Roman"/>
          <w:sz w:val="14"/>
          <w:szCs w:val="14"/>
          <w:u w:val="single" w:color="auto"/>
          <w:color w:val="0000EE"/>
        </w:rPr>
        <w:t xml:space="preserve"> </w:t>
      </w:r>
      <w:hyperlink r:id="rId271">
        <w:r>
          <w:rPr>
            <w:rFonts w:ascii="Times New Roman" w:cs="Times New Roman" w:eastAsia="Times New Roman" w:hAnsi="Times New Roman"/>
            <w:sz w:val="14"/>
            <w:szCs w:val="14"/>
            <w:u w:val="single" w:color="auto"/>
            <w:color w:val="0000EE"/>
          </w:rPr>
          <w:t>Burkhan BurTech LP LLC and Blaize.</w:t>
        </w:r>
      </w:hyperlink>
    </w:p>
    <w:p>
      <w:pPr>
        <w:spacing w:after="0" w:line="40" w:lineRule="exact"/>
        <w:rPr>
          <w:rFonts w:ascii="Times New Roman" w:cs="Times New Roman" w:eastAsia="Times New Roman" w:hAnsi="Times New Roman"/>
          <w:sz w:val="14"/>
          <w:szCs w:val="14"/>
          <w:u w:val="single" w:color="auto"/>
          <w:color w:val="0000EE"/>
        </w:rPr>
      </w:pPr>
    </w:p>
    <w:p>
      <w:pPr>
        <w:ind w:left="1420" w:hanging="65"/>
        <w:spacing w:after="0"/>
        <w:tabs>
          <w:tab w:leader="none" w:pos="1420" w:val="left"/>
        </w:tabs>
        <w:numPr>
          <w:ilvl w:val="0"/>
          <w:numId w:val="85"/>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2"/>
          <w:szCs w:val="12"/>
          <w:color w:val="auto"/>
        </w:rPr>
        <w:t>10.16</w:t>
      </w:r>
      <w:hyperlink r:id="rId272">
        <w:r>
          <w:rPr>
            <w:rFonts w:ascii="Times New Roman" w:cs="Times New Roman" w:eastAsia="Times New Roman" w:hAnsi="Times New Roman"/>
            <w:sz w:val="13"/>
            <w:szCs w:val="13"/>
            <w:u w:val="single" w:color="auto"/>
            <w:color w:val="0000EE"/>
          </w:rPr>
          <w:t>Offer Letter, dated as of June 18, 2018, by and between ThinCI, Inc. and Dinakar Munagala.</w:t>
        </w:r>
      </w:hyperlink>
    </w:p>
    <w:p>
      <w:pPr>
        <w:spacing w:after="0" w:line="102" w:lineRule="exact"/>
        <w:rPr>
          <w:rFonts w:ascii="Times New Roman" w:cs="Times New Roman" w:eastAsia="Times New Roman" w:hAnsi="Times New Roman"/>
          <w:sz w:val="13"/>
          <w:szCs w:val="13"/>
          <w:u w:val="single" w:color="auto"/>
          <w:color w:val="0000EE"/>
        </w:rPr>
      </w:pPr>
    </w:p>
    <w:p>
      <w:pPr>
        <w:ind w:left="1420" w:hanging="65"/>
        <w:spacing w:after="0"/>
        <w:tabs>
          <w:tab w:leader="none" w:pos="1420" w:val="left"/>
        </w:tabs>
        <w:numPr>
          <w:ilvl w:val="0"/>
          <w:numId w:val="85"/>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2"/>
          <w:szCs w:val="12"/>
          <w:color w:val="auto"/>
        </w:rPr>
        <w:t>10.17</w:t>
      </w:r>
      <w:hyperlink r:id="rId273">
        <w:r>
          <w:rPr>
            <w:rFonts w:ascii="Times New Roman" w:cs="Times New Roman" w:eastAsia="Times New Roman" w:hAnsi="Times New Roman"/>
            <w:sz w:val="13"/>
            <w:szCs w:val="13"/>
            <w:u w:val="single" w:color="auto"/>
            <w:color w:val="0000EE"/>
          </w:rPr>
          <w:t>Offer Letter, dated as of June 20, 2018, by and between ThinCI, Inc. and Val Cook.</w:t>
        </w:r>
      </w:hyperlink>
    </w:p>
    <w:p>
      <w:pPr>
        <w:spacing w:after="0" w:line="102" w:lineRule="exact"/>
        <w:rPr>
          <w:rFonts w:ascii="Times New Roman" w:cs="Times New Roman" w:eastAsia="Times New Roman" w:hAnsi="Times New Roman"/>
          <w:sz w:val="13"/>
          <w:szCs w:val="13"/>
          <w:u w:val="single" w:color="auto"/>
          <w:color w:val="0000EE"/>
        </w:rPr>
      </w:pPr>
    </w:p>
    <w:p>
      <w:pPr>
        <w:ind w:left="1420" w:hanging="65"/>
        <w:spacing w:after="0"/>
        <w:tabs>
          <w:tab w:leader="none" w:pos="1420" w:val="left"/>
        </w:tabs>
        <w:numPr>
          <w:ilvl w:val="0"/>
          <w:numId w:val="85"/>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2"/>
          <w:szCs w:val="12"/>
          <w:color w:val="auto"/>
        </w:rPr>
        <w:t>10.18</w:t>
      </w:r>
      <w:hyperlink r:id="rId274">
        <w:r>
          <w:rPr>
            <w:rFonts w:ascii="Times New Roman" w:cs="Times New Roman" w:eastAsia="Times New Roman" w:hAnsi="Times New Roman"/>
            <w:sz w:val="13"/>
            <w:szCs w:val="13"/>
            <w:u w:val="single" w:color="auto"/>
            <w:color w:val="0000EE"/>
          </w:rPr>
          <w:t>Offer Letter, dated as of November 15, 2018, by and between ThinCI, Inc. and Dmitry Zakharchenko.</w:t>
        </w:r>
      </w:hyperlink>
    </w:p>
    <w:p>
      <w:pPr>
        <w:spacing w:after="0" w:line="102" w:lineRule="exact"/>
        <w:rPr>
          <w:rFonts w:ascii="Times New Roman" w:cs="Times New Roman" w:eastAsia="Times New Roman" w:hAnsi="Times New Roman"/>
          <w:sz w:val="13"/>
          <w:szCs w:val="13"/>
          <w:u w:val="single" w:color="auto"/>
          <w:color w:val="0000EE"/>
        </w:rPr>
      </w:pPr>
    </w:p>
    <w:p>
      <w:pPr>
        <w:ind w:left="2160" w:right="10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w:t>
      </w:r>
      <w:hyperlink r:id="rId275">
        <w:r>
          <w:rPr>
            <w:rFonts w:ascii="Times New Roman" w:cs="Times New Roman" w:eastAsia="Times New Roman" w:hAnsi="Times New Roman"/>
            <w:sz w:val="14"/>
            <w:szCs w:val="14"/>
            <w:u w:val="single" w:color="auto"/>
            <w:color w:val="0000EE"/>
          </w:rPr>
          <w:t>Amendment to Offer Letter, dated as of February 22, 2022, by and between ThinCI, Inc. and Dmitry</w:t>
        </w:r>
      </w:hyperlink>
      <w:r>
        <w:rPr>
          <w:rFonts w:ascii="Times New Roman" w:cs="Times New Roman" w:eastAsia="Times New Roman" w:hAnsi="Times New Roman"/>
          <w:sz w:val="14"/>
          <w:szCs w:val="14"/>
          <w:u w:val="single" w:color="auto"/>
          <w:color w:val="0000EE"/>
        </w:rPr>
        <w:t xml:space="preserve"> </w:t>
      </w:r>
      <w:hyperlink r:id="rId275">
        <w:r>
          <w:rPr>
            <w:rFonts w:ascii="Times New Roman" w:cs="Times New Roman" w:eastAsia="Times New Roman" w:hAnsi="Times New Roman"/>
            <w:sz w:val="14"/>
            <w:szCs w:val="14"/>
            <w:u w:val="single" w:color="auto"/>
            <w:color w:val="0000EE"/>
          </w:rPr>
          <w:t>Zakharchenko.</w:t>
        </w:r>
      </w:hyperlink>
    </w:p>
    <w:p>
      <w:pPr>
        <w:spacing w:after="0" w:line="40" w:lineRule="exact"/>
        <w:rPr>
          <w:rFonts w:ascii="Times New Roman" w:cs="Times New Roman" w:eastAsia="Times New Roman" w:hAnsi="Times New Roman"/>
          <w:sz w:val="14"/>
          <w:szCs w:val="14"/>
          <w:u w:val="single" w:color="auto"/>
          <w:color w:val="0000EE"/>
        </w:rPr>
      </w:pPr>
    </w:p>
    <w:p>
      <w:pPr>
        <w:ind w:left="1420" w:hanging="65"/>
        <w:spacing w:after="0"/>
        <w:tabs>
          <w:tab w:leader="none" w:pos="1420" w:val="left"/>
        </w:tabs>
        <w:numPr>
          <w:ilvl w:val="0"/>
          <w:numId w:val="85"/>
        </w:numPr>
        <w:rPr>
          <w:rFonts w:ascii="Times New Roman" w:cs="Times New Roman" w:eastAsia="Times New Roman" w:hAnsi="Times New Roman"/>
          <w:sz w:val="13"/>
          <w:szCs w:val="13"/>
          <w:u w:val="single" w:color="auto"/>
          <w:color w:val="0000EE"/>
        </w:rPr>
      </w:pPr>
      <w:r>
        <w:rPr>
          <w:rFonts w:ascii="Times New Roman" w:cs="Times New Roman" w:eastAsia="Times New Roman" w:hAnsi="Times New Roman"/>
          <w:sz w:val="12"/>
          <w:szCs w:val="12"/>
          <w:color w:val="auto"/>
        </w:rPr>
        <w:t>10.20</w:t>
      </w:r>
      <w:hyperlink r:id="rId276">
        <w:r>
          <w:rPr>
            <w:rFonts w:ascii="Times New Roman" w:cs="Times New Roman" w:eastAsia="Times New Roman" w:hAnsi="Times New Roman"/>
            <w:sz w:val="13"/>
            <w:szCs w:val="13"/>
            <w:u w:val="single" w:color="auto"/>
            <w:color w:val="0000EE"/>
          </w:rPr>
          <w:t>Offer Letter, dated as of July 4, 2018, by and between ThinCI, Inc. and Santiago Fernandez-Gomez.</w:t>
        </w:r>
      </w:hyperlink>
    </w:p>
    <w:p>
      <w:pPr>
        <w:spacing w:after="0" w:line="102" w:lineRule="exact"/>
        <w:rPr>
          <w:rFonts w:ascii="Times New Roman" w:cs="Times New Roman" w:eastAsia="Times New Roman" w:hAnsi="Times New Roman"/>
          <w:sz w:val="13"/>
          <w:szCs w:val="13"/>
          <w:u w:val="single" w:color="auto"/>
          <w:color w:val="0000EE"/>
        </w:rPr>
      </w:pPr>
    </w:p>
    <w:p>
      <w:pPr>
        <w:ind w:left="1420" w:hanging="65"/>
        <w:spacing w:after="0"/>
        <w:tabs>
          <w:tab w:leader="none" w:pos="1420"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2"/>
          <w:szCs w:val="12"/>
          <w:color w:val="auto"/>
        </w:rPr>
        <w:t>10.21</w:t>
      </w:r>
      <w:hyperlink r:id="rId277">
        <w:r>
          <w:rPr>
            <w:rFonts w:ascii="Times New Roman" w:cs="Times New Roman" w:eastAsia="Times New Roman" w:hAnsi="Times New Roman"/>
            <w:sz w:val="14"/>
            <w:szCs w:val="14"/>
            <w:u w:val="single" w:color="auto"/>
            <w:color w:val="0000EE"/>
          </w:rPr>
          <w:t>Blaize Holdings, Inc. Non-Employee Director Compensation Program.</w:t>
        </w:r>
      </w:hyperlink>
    </w:p>
    <w:p>
      <w:pPr>
        <w:spacing w:after="0" w:line="91" w:lineRule="exact"/>
        <w:rPr>
          <w:rFonts w:ascii="Times New Roman" w:cs="Times New Roman" w:eastAsia="Times New Roman" w:hAnsi="Times New Roman"/>
          <w:sz w:val="14"/>
          <w:szCs w:val="14"/>
          <w:u w:val="single" w:color="auto"/>
          <w:color w:val="0000EE"/>
        </w:rPr>
      </w:pPr>
    </w:p>
    <w:p>
      <w:pPr>
        <w:ind w:left="2160" w:right="22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10.22</w:t>
      </w:r>
      <w:hyperlink r:id="rId278">
        <w:r>
          <w:rPr>
            <w:rFonts w:ascii="Times New Roman" w:cs="Times New Roman" w:eastAsia="Times New Roman" w:hAnsi="Times New Roman"/>
            <w:sz w:val="14"/>
            <w:szCs w:val="14"/>
            <w:u w:val="single" w:color="auto"/>
            <w:color w:val="0000EE"/>
          </w:rPr>
          <w:t>Form of Stock Option Grant Agreement (Contingent Exercise) and Grant Notice under the Blaize,</w:t>
        </w:r>
      </w:hyperlink>
      <w:r>
        <w:rPr>
          <w:rFonts w:ascii="Times New Roman" w:cs="Times New Roman" w:eastAsia="Times New Roman" w:hAnsi="Times New Roman"/>
          <w:sz w:val="14"/>
          <w:szCs w:val="14"/>
          <w:u w:val="single" w:color="auto"/>
          <w:color w:val="0000EE"/>
        </w:rPr>
        <w:t xml:space="preserve"> </w:t>
      </w:r>
      <w:hyperlink r:id="rId278">
        <w:r>
          <w:rPr>
            <w:rFonts w:ascii="Times New Roman" w:cs="Times New Roman" w:eastAsia="Times New Roman" w:hAnsi="Times New Roman"/>
            <w:sz w:val="14"/>
            <w:szCs w:val="14"/>
            <w:u w:val="single" w:color="auto"/>
            <w:color w:val="0000EE"/>
          </w:rPr>
          <w:t>Inc. Amended and Restated 2011 Stock Plan.</w:t>
        </w:r>
      </w:hyperlink>
    </w:p>
    <w:p>
      <w:pPr>
        <w:spacing w:after="0" w:line="40" w:lineRule="exact"/>
        <w:rPr>
          <w:rFonts w:ascii="Times New Roman" w:cs="Times New Roman" w:eastAsia="Times New Roman" w:hAnsi="Times New Roman"/>
          <w:sz w:val="14"/>
          <w:szCs w:val="14"/>
          <w:u w:val="single" w:color="auto"/>
          <w:color w:val="0000EE"/>
        </w:rPr>
      </w:pPr>
    </w:p>
    <w:p>
      <w:pPr>
        <w:ind w:left="2160" w:right="380" w:hanging="805"/>
        <w:spacing w:after="0" w:line="283" w:lineRule="auto"/>
        <w:tabs>
          <w:tab w:leader="none" w:pos="1431" w:val="left"/>
        </w:tabs>
        <w:numPr>
          <w:ilvl w:val="0"/>
          <w:numId w:val="85"/>
        </w:numPr>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hyperlink r:id="rId279">
        <w:r>
          <w:rPr>
            <w:rFonts w:ascii="Times New Roman" w:cs="Times New Roman" w:eastAsia="Times New Roman" w:hAnsi="Times New Roman"/>
            <w:sz w:val="14"/>
            <w:szCs w:val="14"/>
            <w:u w:val="single" w:color="auto"/>
            <w:color w:val="0000EE"/>
          </w:rPr>
          <w:t>Sales Partner Referral Agreement, dated as of June 30, 2025, by and between the Company and</w:t>
        </w:r>
      </w:hyperlink>
      <w:r>
        <w:rPr>
          <w:rFonts w:ascii="Times New Roman" w:cs="Times New Roman" w:eastAsia="Times New Roman" w:hAnsi="Times New Roman"/>
          <w:sz w:val="14"/>
          <w:szCs w:val="14"/>
          <w:u w:val="single" w:color="auto"/>
          <w:color w:val="0000EE"/>
        </w:rPr>
        <w:t xml:space="preserve"> </w:t>
      </w:r>
      <w:hyperlink r:id="rId279">
        <w:r>
          <w:rPr>
            <w:rFonts w:ascii="Times New Roman" w:cs="Times New Roman" w:eastAsia="Times New Roman" w:hAnsi="Times New Roman"/>
            <w:sz w:val="14"/>
            <w:szCs w:val="14"/>
            <w:u w:val="single" w:color="auto"/>
            <w:color w:val="0000EE"/>
          </w:rPr>
          <w:t>Burkhan LLC.</w:t>
        </w:r>
      </w:hyperlink>
    </w:p>
    <w:p>
      <w:pPr>
        <w:spacing w:after="0" w:line="72" w:lineRule="exact"/>
        <w:rPr>
          <w:rFonts w:ascii="Times New Roman" w:cs="Times New Roman" w:eastAsia="Times New Roman" w:hAnsi="Times New Roman"/>
          <w:sz w:val="14"/>
          <w:szCs w:val="14"/>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br w:type="column"/>
      </w:r>
    </w:p>
    <w:p>
      <w:pPr>
        <w:spacing w:after="0" w:line="387" w:lineRule="exact"/>
        <w:rPr>
          <w:rFonts w:ascii="Times New Roman" w:cs="Times New Roman" w:eastAsia="Times New Roman" w:hAnsi="Times New Roman"/>
          <w:sz w:val="14"/>
          <w:szCs w:val="14"/>
          <w:color w:val="auto"/>
        </w:rPr>
      </w:pPr>
    </w:p>
    <w:p>
      <w:pPr>
        <w:jc w:val="center"/>
        <w:ind w:right="219"/>
        <w:spacing w:after="0"/>
        <w:rPr>
          <w:sz w:val="20"/>
          <w:szCs w:val="20"/>
          <w:color w:val="auto"/>
        </w:rPr>
      </w:pPr>
      <w:r>
        <w:rPr>
          <w:rFonts w:ascii="Times New Roman" w:cs="Times New Roman" w:eastAsia="Times New Roman" w:hAnsi="Times New Roman"/>
          <w:sz w:val="11"/>
          <w:szCs w:val="11"/>
          <w:b w:val="1"/>
          <w:bCs w:val="1"/>
          <w:color w:val="auto"/>
        </w:rPr>
        <w:t>Incorporated by Reference</w:t>
      </w:r>
    </w:p>
    <w:p>
      <w:pPr>
        <w:spacing w:after="0" w:line="8"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48"/>
        </w:trPr>
        <w:tc>
          <w:tcPr>
            <w:tcW w:w="4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6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Filing Date</w:t>
            </w:r>
          </w:p>
        </w:tc>
      </w:tr>
      <w:tr>
        <w:trPr>
          <w:trHeight w:val="211"/>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12/31/2024</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1/8/2025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10.14</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10.15</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10.16</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10.17</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10.18</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10.20</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10.21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252"/>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10.22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1/17/2025</w:t>
            </w:r>
          </w:p>
        </w:tc>
      </w:tr>
      <w:tr>
        <w:trPr>
          <w:trHeight w:val="420"/>
        </w:trPr>
        <w:tc>
          <w:tcPr>
            <w:tcW w:w="42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1/30/2025</w:t>
            </w:r>
          </w:p>
        </w:tc>
      </w:tr>
    </w:tbl>
    <w:p>
      <w:pPr>
        <w:sectPr>
          <w:pgSz w:w="11900" w:h="16838" w:orient="portrait"/>
          <w:cols w:equalWidth="0" w:num="2">
            <w:col w:w="7880" w:space="180"/>
            <w:col w:w="2099"/>
          </w:cols>
          <w:pgMar w:left="300" w:top="407"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57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201535" cy="45720"/>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138"/>
        </w:trPr>
        <w:tc>
          <w:tcPr>
            <w:tcW w:w="70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10.24</w:t>
            </w:r>
          </w:p>
        </w:tc>
        <w:tc>
          <w:tcPr>
            <w:tcW w:w="57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281">
              <w:r>
                <w:rPr>
                  <w:rFonts w:ascii="Times New Roman" w:cs="Times New Roman" w:eastAsia="Times New Roman" w:hAnsi="Times New Roman"/>
                  <w:sz w:val="14"/>
                  <w:szCs w:val="14"/>
                  <w:color w:val="0000EE"/>
                </w:rPr>
                <w:t>Common Stock Purchase Agreement, dated as of July 14, 2025, by and between the Company and B.</w:t>
              </w:r>
            </w:hyperlink>
          </w:p>
        </w:tc>
        <w:tc>
          <w:tcPr>
            <w:tcW w:w="300" w:type="dxa"/>
            <w:vAlign w:val="bottom"/>
          </w:tcPr>
          <w:p>
            <w:pPr>
              <w:spacing w:after="0"/>
              <w:rPr>
                <w:sz w:val="16"/>
                <w:szCs w:val="16"/>
                <w:color w:val="auto"/>
              </w:rPr>
            </w:pPr>
          </w:p>
        </w:tc>
        <w:tc>
          <w:tcPr>
            <w:tcW w:w="44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7/15/2025</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800" w:type="dxa"/>
            <w:vAlign w:val="bottom"/>
            <w:tcBorders>
              <w:bottom w:val="single" w:sz="8" w:color="0000EE"/>
            </w:tcBorders>
            <w:gridSpan w:val="2"/>
          </w:tcPr>
          <w:p>
            <w:pPr>
              <w:spacing w:after="0" w:line="148" w:lineRule="exact"/>
              <w:rPr>
                <w:rFonts w:ascii="Times New Roman" w:cs="Times New Roman" w:eastAsia="Times New Roman" w:hAnsi="Times New Roman"/>
                <w:sz w:val="14"/>
                <w:szCs w:val="14"/>
                <w:color w:val="0000EE"/>
                <w:w w:val="99"/>
              </w:rPr>
            </w:pPr>
            <w:hyperlink r:id="rId281">
              <w:r>
                <w:rPr>
                  <w:rFonts w:ascii="Times New Roman" w:cs="Times New Roman" w:eastAsia="Times New Roman" w:hAnsi="Times New Roman"/>
                  <w:sz w:val="14"/>
                  <w:szCs w:val="14"/>
                  <w:color w:val="0000EE"/>
                  <w:w w:val="99"/>
                </w:rPr>
                <w:t>Riley Principal Capital II, LLC.</w:t>
              </w:r>
            </w:hyperlink>
          </w:p>
        </w:tc>
        <w:tc>
          <w:tcPr>
            <w:tcW w:w="4200" w:type="dxa"/>
            <w:vAlign w:val="bottom"/>
            <w:gridSpan w:val="7"/>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10.25</w:t>
            </w:r>
          </w:p>
        </w:tc>
        <w:tc>
          <w:tcPr>
            <w:tcW w:w="570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w w:val="99"/>
              </w:rPr>
            </w:pPr>
            <w:hyperlink r:id="rId282">
              <w:r>
                <w:rPr>
                  <w:rFonts w:ascii="Times New Roman" w:cs="Times New Roman" w:eastAsia="Times New Roman" w:hAnsi="Times New Roman"/>
                  <w:sz w:val="14"/>
                  <w:szCs w:val="14"/>
                  <w:color w:val="0000EE"/>
                  <w:w w:val="99"/>
                </w:rPr>
                <w:t>Registration Rights Agreement, dated as of July 14, 2025, by and between the Company and B. Riley</w:t>
              </w:r>
            </w:hyperlink>
          </w:p>
        </w:tc>
        <w:tc>
          <w:tcPr>
            <w:tcW w:w="300" w:type="dxa"/>
            <w:vAlign w:val="bottom"/>
          </w:tcPr>
          <w:p>
            <w:pPr>
              <w:spacing w:after="0"/>
              <w:rPr>
                <w:sz w:val="20"/>
                <w:szCs w:val="20"/>
                <w:color w:val="auto"/>
              </w:rPr>
            </w:pPr>
          </w:p>
        </w:tc>
        <w:tc>
          <w:tcPr>
            <w:tcW w:w="44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7/15/2025</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460" w:type="dxa"/>
            <w:vAlign w:val="bottom"/>
            <w:tcBorders>
              <w:bottom w:val="single" w:sz="8" w:color="0000EE"/>
            </w:tcBorders>
          </w:tcPr>
          <w:p>
            <w:pPr>
              <w:spacing w:after="0" w:line="148" w:lineRule="exact"/>
              <w:rPr>
                <w:rFonts w:ascii="Times New Roman" w:cs="Times New Roman" w:eastAsia="Times New Roman" w:hAnsi="Times New Roman"/>
                <w:sz w:val="14"/>
                <w:szCs w:val="14"/>
                <w:color w:val="0000EE"/>
                <w:w w:val="99"/>
              </w:rPr>
            </w:pPr>
            <w:hyperlink r:id="rId282">
              <w:r>
                <w:rPr>
                  <w:rFonts w:ascii="Times New Roman" w:cs="Times New Roman" w:eastAsia="Times New Roman" w:hAnsi="Times New Roman"/>
                  <w:sz w:val="14"/>
                  <w:szCs w:val="14"/>
                  <w:color w:val="0000EE"/>
                  <w:w w:val="99"/>
                </w:rPr>
                <w:t>Principal Capital II, LLC.</w:t>
              </w:r>
            </w:hyperlink>
          </w:p>
        </w:tc>
        <w:tc>
          <w:tcPr>
            <w:tcW w:w="4540" w:type="dxa"/>
            <w:vAlign w:val="bottom"/>
            <w:gridSpan w:val="8"/>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10.26</w:t>
            </w:r>
          </w:p>
        </w:tc>
        <w:tc>
          <w:tcPr>
            <w:tcW w:w="560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9"/>
              </w:rPr>
            </w:pPr>
            <w:hyperlink r:id="rId283">
              <w:r>
                <w:rPr>
                  <w:rFonts w:ascii="Times New Roman" w:cs="Times New Roman" w:eastAsia="Times New Roman" w:hAnsi="Times New Roman"/>
                  <w:sz w:val="14"/>
                  <w:szCs w:val="14"/>
                  <w:color w:val="0000EE"/>
                  <w:w w:val="99"/>
                </w:rPr>
                <w:t>Securities Purchase Agreement, dated as of November 10, 2025, by and among the Company, Polar</w:t>
              </w:r>
            </w:hyperlink>
          </w:p>
        </w:tc>
        <w:tc>
          <w:tcPr>
            <w:tcW w:w="400" w:type="dxa"/>
            <w:vAlign w:val="bottom"/>
            <w:gridSpan w:val="2"/>
          </w:tcPr>
          <w:p>
            <w:pPr>
              <w:spacing w:after="0"/>
              <w:rPr>
                <w:sz w:val="20"/>
                <w:szCs w:val="20"/>
                <w:color w:val="auto"/>
              </w:rPr>
            </w:pPr>
          </w:p>
        </w:tc>
        <w:tc>
          <w:tcPr>
            <w:tcW w:w="440" w:type="dxa"/>
            <w:vAlign w:val="bottom"/>
          </w:tcPr>
          <w:p>
            <w:pPr>
              <w:jc w:val="center"/>
              <w:ind w:right="14"/>
              <w:spacing w:after="0"/>
              <w:rPr>
                <w:sz w:val="20"/>
                <w:szCs w:val="20"/>
                <w:color w:val="auto"/>
              </w:rPr>
            </w:pPr>
            <w:r>
              <w:rPr>
                <w:rFonts w:ascii="Times New Roman" w:cs="Times New Roman" w:eastAsia="Times New Roman" w:hAnsi="Times New Roman"/>
                <w:sz w:val="14"/>
                <w:szCs w:val="14"/>
                <w:color w:val="auto"/>
                <w:w w:val="97"/>
              </w:rPr>
              <w:t>10-Q</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11/13/2025</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620" w:type="dxa"/>
            <w:vAlign w:val="bottom"/>
            <w:tcBorders>
              <w:bottom w:val="single" w:sz="8" w:color="0000EE"/>
            </w:tcBorders>
            <w:gridSpan w:val="5"/>
          </w:tcPr>
          <w:p>
            <w:pPr>
              <w:spacing w:after="0" w:line="148" w:lineRule="exact"/>
              <w:rPr>
                <w:rFonts w:ascii="Times New Roman" w:cs="Times New Roman" w:eastAsia="Times New Roman" w:hAnsi="Times New Roman"/>
                <w:sz w:val="14"/>
                <w:szCs w:val="14"/>
                <w:color w:val="0000EE"/>
              </w:rPr>
            </w:pPr>
            <w:hyperlink r:id="rId283">
              <w:r>
                <w:rPr>
                  <w:rFonts w:ascii="Times New Roman" w:cs="Times New Roman" w:eastAsia="Times New Roman" w:hAnsi="Times New Roman"/>
                  <w:sz w:val="14"/>
                  <w:szCs w:val="14"/>
                  <w:color w:val="0000EE"/>
                </w:rPr>
                <w:t>Long/Short Master Fund and Polar Multi-Strategy Master Fund.</w:t>
              </w:r>
            </w:hyperlink>
          </w:p>
        </w:tc>
        <w:tc>
          <w:tcPr>
            <w:tcW w:w="2380" w:type="dxa"/>
            <w:vAlign w:val="bottom"/>
            <w:gridSpan w:val="4"/>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10.27</w:t>
            </w:r>
          </w:p>
        </w:tc>
        <w:tc>
          <w:tcPr>
            <w:tcW w:w="6000" w:type="dxa"/>
            <w:vAlign w:val="bottom"/>
            <w:gridSpan w:val="9"/>
          </w:tcPr>
          <w:p>
            <w:pPr>
              <w:spacing w:after="0"/>
              <w:rPr>
                <w:rFonts w:ascii="Times New Roman" w:cs="Times New Roman" w:eastAsia="Times New Roman" w:hAnsi="Times New Roman"/>
                <w:sz w:val="14"/>
                <w:szCs w:val="14"/>
                <w:color w:val="0000EE"/>
              </w:rPr>
            </w:pPr>
            <w:hyperlink r:id="rId284">
              <w:r>
                <w:rPr>
                  <w:rFonts w:ascii="Times New Roman" w:cs="Times New Roman" w:eastAsia="Times New Roman" w:hAnsi="Times New Roman"/>
                  <w:sz w:val="14"/>
                  <w:szCs w:val="14"/>
                  <w:color w:val="0000EE"/>
                </w:rPr>
                <w:t>Registration Rights Agreement, dated as of November 10, 2025, by and among the Company, Polar</w:t>
              </w:r>
            </w:hyperlink>
          </w:p>
        </w:tc>
        <w:tc>
          <w:tcPr>
            <w:tcW w:w="440" w:type="dxa"/>
            <w:vAlign w:val="bottom"/>
          </w:tcPr>
          <w:p>
            <w:pPr>
              <w:jc w:val="center"/>
              <w:ind w:right="14"/>
              <w:spacing w:after="0"/>
              <w:rPr>
                <w:sz w:val="20"/>
                <w:szCs w:val="20"/>
                <w:color w:val="auto"/>
              </w:rPr>
            </w:pPr>
            <w:r>
              <w:rPr>
                <w:rFonts w:ascii="Times New Roman" w:cs="Times New Roman" w:eastAsia="Times New Roman" w:hAnsi="Times New Roman"/>
                <w:sz w:val="14"/>
                <w:szCs w:val="14"/>
                <w:color w:val="auto"/>
                <w:w w:val="97"/>
              </w:rPr>
              <w:t>10-Q</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11/13/2025</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580" w:type="dxa"/>
            <w:vAlign w:val="bottom"/>
            <w:tcBorders>
              <w:top w:val="single" w:sz="8" w:color="0000EE"/>
            </w:tcBorders>
            <w:gridSpan w:val="6"/>
          </w:tcPr>
          <w:p>
            <w:pPr>
              <w:spacing w:after="0" w:line="148" w:lineRule="exact"/>
              <w:rPr>
                <w:rFonts w:ascii="Times New Roman" w:cs="Times New Roman" w:eastAsia="Times New Roman" w:hAnsi="Times New Roman"/>
                <w:sz w:val="14"/>
                <w:szCs w:val="14"/>
                <w:color w:val="0000EE"/>
              </w:rPr>
            </w:pPr>
            <w:hyperlink r:id="rId284">
              <w:r>
                <w:rPr>
                  <w:rFonts w:ascii="Times New Roman" w:cs="Times New Roman" w:eastAsia="Times New Roman" w:hAnsi="Times New Roman"/>
                  <w:sz w:val="14"/>
                  <w:szCs w:val="14"/>
                  <w:color w:val="0000EE"/>
                </w:rPr>
                <w:t>Long/Short Master Fund and Polar Multi-Strategy Master Fund.</w:t>
              </w:r>
            </w:hyperlink>
          </w:p>
        </w:tc>
        <w:tc>
          <w:tcPr>
            <w:tcW w:w="420" w:type="dxa"/>
            <w:vAlign w:val="bottom"/>
            <w:gridSpan w:val="3"/>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  21.1</w:t>
            </w:r>
          </w:p>
        </w:tc>
        <w:tc>
          <w:tcPr>
            <w:tcW w:w="20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4"/>
                <w:szCs w:val="14"/>
                <w:color w:val="0000EE"/>
                <w:w w:val="99"/>
              </w:rPr>
            </w:pPr>
            <w:hyperlink r:id="rId285">
              <w:r>
                <w:rPr>
                  <w:rFonts w:ascii="Times New Roman" w:cs="Times New Roman" w:eastAsia="Times New Roman" w:hAnsi="Times New Roman"/>
                  <w:sz w:val="14"/>
                  <w:szCs w:val="14"/>
                  <w:color w:val="0000EE"/>
                  <w:w w:val="99"/>
                </w:rPr>
                <w:t>Subsidiaries of Blaize Holdings, Inc.</w:t>
              </w:r>
            </w:hyperlink>
          </w:p>
        </w:tc>
        <w:tc>
          <w:tcPr>
            <w:tcW w:w="1520" w:type="dxa"/>
            <w:vAlign w:val="bottom"/>
            <w:tcBorders>
              <w:top w:val="single" w:sz="8" w:color="0000EE"/>
            </w:tcBorders>
          </w:tcPr>
          <w:p>
            <w:pPr>
              <w:spacing w:after="0"/>
              <w:rPr>
                <w:sz w:val="20"/>
                <w:szCs w:val="20"/>
                <w:color w:val="auto"/>
              </w:rPr>
            </w:pPr>
          </w:p>
        </w:tc>
        <w:tc>
          <w:tcPr>
            <w:tcW w:w="2400" w:type="dxa"/>
            <w:vAlign w:val="bottom"/>
            <w:gridSpan w:val="5"/>
          </w:tcPr>
          <w:p>
            <w:pPr>
              <w:spacing w:after="0"/>
              <w:rPr>
                <w:sz w:val="20"/>
                <w:szCs w:val="20"/>
                <w:color w:val="auto"/>
              </w:rPr>
            </w:pPr>
          </w:p>
        </w:tc>
        <w:tc>
          <w:tcPr>
            <w:tcW w:w="44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8-K</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1/17/2025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20" w:hanging="65"/>
        <w:spacing w:after="0"/>
        <w:tabs>
          <w:tab w:leader="none" w:pos="1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23.1**</w:t>
      </w:r>
      <w:r>
        <w:rPr>
          <w:rFonts w:ascii="Times New Roman" w:cs="Times New Roman" w:eastAsia="Times New Roman" w:hAnsi="Times New Roman"/>
          <w:sz w:val="13"/>
          <w:szCs w:val="13"/>
          <w:u w:val="single" w:color="auto"/>
          <w:color w:val="0000EE"/>
        </w:rPr>
        <w:t>Consent of UHY LLP.</w:t>
      </w:r>
    </w:p>
    <w:p>
      <w:pPr>
        <w:spacing w:after="0" w:line="102" w:lineRule="exact"/>
        <w:rPr>
          <w:rFonts w:ascii="Times New Roman" w:cs="Times New Roman" w:eastAsia="Times New Roman" w:hAnsi="Times New Roman"/>
          <w:sz w:val="12"/>
          <w:szCs w:val="12"/>
          <w:color w:val="auto"/>
        </w:rPr>
      </w:pPr>
    </w:p>
    <w:p>
      <w:pPr>
        <w:ind w:left="1420" w:hanging="65"/>
        <w:spacing w:after="0"/>
        <w:tabs>
          <w:tab w:leader="none" w:pos="1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23.2**</w:t>
      </w:r>
      <w:r>
        <w:rPr>
          <w:rFonts w:ascii="Times New Roman" w:cs="Times New Roman" w:eastAsia="Times New Roman" w:hAnsi="Times New Roman"/>
          <w:sz w:val="14"/>
          <w:szCs w:val="14"/>
          <w:u w:val="single" w:color="auto"/>
          <w:color w:val="0000EE"/>
        </w:rPr>
        <w:t>Consent of Faegre Drinker Biddle &amp; Reath LLP (included in Exhibit 5.1).</w:t>
      </w:r>
    </w:p>
    <w:p>
      <w:pPr>
        <w:spacing w:after="0" w:line="91" w:lineRule="exact"/>
        <w:rPr>
          <w:rFonts w:ascii="Times New Roman" w:cs="Times New Roman" w:eastAsia="Times New Roman" w:hAnsi="Times New Roman"/>
          <w:sz w:val="12"/>
          <w:szCs w:val="12"/>
          <w:color w:val="auto"/>
        </w:rPr>
      </w:pPr>
    </w:p>
    <w:p>
      <w:pPr>
        <w:ind w:left="1420" w:hanging="65"/>
        <w:spacing w:after="0"/>
        <w:tabs>
          <w:tab w:leader="none" w:pos="142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24.1</w:t>
      </w:r>
      <w:r>
        <w:rPr>
          <w:rFonts w:ascii="Times New Roman" w:cs="Times New Roman" w:eastAsia="Times New Roman" w:hAnsi="Times New Roman"/>
          <w:sz w:val="14"/>
          <w:szCs w:val="14"/>
          <w:u w:val="single" w:color="auto"/>
          <w:color w:val="0000EE"/>
        </w:rPr>
        <w:t>Power of Attorney (included on signature page of the initial filing of this Registration Statement).</w:t>
      </w:r>
    </w:p>
    <w:p>
      <w:pPr>
        <w:spacing w:after="0" w:line="91" w:lineRule="exact"/>
        <w:rPr>
          <w:rFonts w:ascii="Times New Roman" w:cs="Times New Roman" w:eastAsia="Times New Roman" w:hAnsi="Times New Roman"/>
          <w:sz w:val="12"/>
          <w:szCs w:val="12"/>
          <w:color w:val="auto"/>
        </w:rPr>
      </w:pPr>
    </w:p>
    <w:p>
      <w:pPr>
        <w:ind w:left="13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13"/>
          <w:szCs w:val="13"/>
          <w:u w:val="single" w:color="auto"/>
          <w:color w:val="0000EE"/>
        </w:rPr>
        <w:t>Filing Fee Table.</w:t>
      </w:r>
    </w:p>
    <w:p>
      <w:pPr>
        <w:spacing w:after="0" w:line="196" w:lineRule="exact"/>
        <w:rPr>
          <w:sz w:val="20"/>
          <w:szCs w:val="20"/>
          <w:color w:val="auto"/>
        </w:rPr>
      </w:pPr>
    </w:p>
    <w:p>
      <w:pPr>
        <w:ind w:left="1700" w:right="259" w:hanging="345"/>
        <w:spacing w:after="0" w:line="261" w:lineRule="auto"/>
        <w:tabs>
          <w:tab w:leader="none" w:pos="17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 w:lineRule="exact"/>
        <w:rPr>
          <w:sz w:val="20"/>
          <w:szCs w:val="20"/>
          <w:color w:val="auto"/>
        </w:rPr>
      </w:pPr>
    </w:p>
    <w:p>
      <w:pPr>
        <w:ind w:left="1700" w:hanging="345"/>
        <w:spacing w:after="0"/>
        <w:tabs>
          <w:tab w:leader="none" w:pos="17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4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(b) Financial Statement Schedules.</w:t>
      </w:r>
    </w:p>
    <w:p>
      <w:pPr>
        <w:spacing w:after="0" w:line="93"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Schedules not listed above have been omitted because the information required to be set forth therein is not applicable or is shown in the financial statements or notes thereto.</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5" w:lineRule="exact"/>
        <w:rPr>
          <w:sz w:val="20"/>
          <w:szCs w:val="20"/>
          <w:color w:val="auto"/>
        </w:rPr>
      </w:pPr>
    </w:p>
    <w:p>
      <w:pPr>
        <w:ind w:left="1360" w:right="279" w:firstLine="338"/>
        <w:spacing w:after="0" w:line="253" w:lineRule="auto"/>
        <w:tabs>
          <w:tab w:leader="none" w:pos="1901"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w:t>
      </w:r>
    </w:p>
    <w:p>
      <w:pPr>
        <w:spacing w:after="0" w:line="1" w:lineRule="exact"/>
        <w:rPr>
          <w:rFonts w:ascii="Times New Roman" w:cs="Times New Roman" w:eastAsia="Times New Roman" w:hAnsi="Times New Roman"/>
          <w:sz w:val="14"/>
          <w:szCs w:val="14"/>
          <w:color w:val="auto"/>
        </w:rPr>
      </w:pPr>
    </w:p>
    <w:p>
      <w:pPr>
        <w:ind w:left="1360" w:right="399" w:hanging="5"/>
        <w:spacing w:after="0" w:line="256" w:lineRule="auto"/>
        <w:tabs>
          <w:tab w:leader="none" w:pos="160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407"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51" w:lineRule="exact"/>
        <w:rPr>
          <w:sz w:val="20"/>
          <w:szCs w:val="20"/>
          <w:color w:val="auto"/>
        </w:rPr>
      </w:pPr>
    </w:p>
    <w:p>
      <w:pPr>
        <w:ind w:left="1360" w:right="679"/>
        <w:spacing w:after="0" w:line="283" w:lineRule="auto"/>
        <w:rPr>
          <w:sz w:val="20"/>
          <w:szCs w:val="20"/>
          <w:color w:val="auto"/>
        </w:rPr>
      </w:pPr>
      <w:r>
        <w:rPr>
          <w:rFonts w:ascii="Times New Roman" w:cs="Times New Roman" w:eastAsia="Times New Roman" w:hAnsi="Times New Roman"/>
          <w:sz w:val="14"/>
          <w:szCs w:val="14"/>
          <w:color w:val="auto"/>
        </w:rPr>
        <w:t>are incorporated by reference in the registration statement, or is contained in a form of prospectus filed pursuant to Rule 424(b) that is part of the registration statement;</w:t>
      </w:r>
    </w:p>
    <w:p>
      <w:pPr>
        <w:spacing w:after="0" w:line="125" w:lineRule="exact"/>
        <w:rPr>
          <w:sz w:val="20"/>
          <w:szCs w:val="20"/>
          <w:color w:val="auto"/>
        </w:rPr>
      </w:pPr>
    </w:p>
    <w:p>
      <w:pPr>
        <w:ind w:left="1360" w:right="339" w:firstLine="338"/>
        <w:spacing w:after="0" w:line="267" w:lineRule="auto"/>
        <w:tabs>
          <w:tab w:leader="none" w:pos="1901"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1360" w:right="759" w:firstLine="338"/>
        <w:spacing w:after="0" w:line="283" w:lineRule="auto"/>
        <w:tabs>
          <w:tab w:leader="none" w:pos="1901"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4" w:lineRule="exact"/>
        <w:rPr>
          <w:rFonts w:ascii="Times New Roman" w:cs="Times New Roman" w:eastAsia="Times New Roman" w:hAnsi="Times New Roman"/>
          <w:sz w:val="14"/>
          <w:szCs w:val="14"/>
          <w:color w:val="auto"/>
        </w:rPr>
      </w:pPr>
    </w:p>
    <w:p>
      <w:pPr>
        <w:ind w:left="1900" w:hanging="202"/>
        <w:spacing w:after="0"/>
        <w:tabs>
          <w:tab w:leader="none" w:pos="19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75"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44" w:lineRule="exact"/>
        <w:rPr>
          <w:sz w:val="20"/>
          <w:szCs w:val="20"/>
          <w:color w:val="auto"/>
        </w:rPr>
      </w:pPr>
    </w:p>
    <w:p>
      <w:pPr>
        <w:ind w:left="1360" w:right="419" w:firstLine="338"/>
        <w:spacing w:after="0" w:line="258" w:lineRule="auto"/>
        <w:tabs>
          <w:tab w:leader="none" w:pos="1901"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9" w:lineRule="exact"/>
        <w:rPr>
          <w:rFonts w:ascii="Times New Roman" w:cs="Times New Roman" w:eastAsia="Times New Roman" w:hAnsi="Times New Roman"/>
          <w:sz w:val="14"/>
          <w:szCs w:val="14"/>
          <w:color w:val="auto"/>
        </w:rPr>
      </w:pPr>
    </w:p>
    <w:p>
      <w:pPr>
        <w:ind w:left="2220" w:hanging="193"/>
        <w:spacing w:after="0"/>
        <w:tabs>
          <w:tab w:leader="none" w:pos="2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91" w:lineRule="exact"/>
        <w:rPr>
          <w:rFonts w:ascii="Times New Roman" w:cs="Times New Roman" w:eastAsia="Times New Roman" w:hAnsi="Times New Roman"/>
          <w:sz w:val="14"/>
          <w:szCs w:val="14"/>
          <w:color w:val="auto"/>
        </w:rPr>
      </w:pPr>
    </w:p>
    <w:p>
      <w:pPr>
        <w:ind w:left="1700" w:right="459" w:firstLine="327"/>
        <w:spacing w:after="0" w:line="283" w:lineRule="auto"/>
        <w:tabs>
          <w:tab w:leader="none" w:pos="2228"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0" w:lineRule="exact"/>
        <w:rPr>
          <w:rFonts w:ascii="Times New Roman" w:cs="Times New Roman" w:eastAsia="Times New Roman" w:hAnsi="Times New Roman"/>
          <w:sz w:val="14"/>
          <w:szCs w:val="14"/>
          <w:color w:val="auto"/>
        </w:rPr>
      </w:pPr>
    </w:p>
    <w:p>
      <w:pPr>
        <w:ind w:left="1700" w:right="339" w:firstLine="327"/>
        <w:spacing w:after="0" w:line="283" w:lineRule="auto"/>
        <w:tabs>
          <w:tab w:leader="none" w:pos="2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an undersigned registrant; and</w:t>
      </w:r>
    </w:p>
    <w:p>
      <w:pPr>
        <w:spacing w:after="0" w:line="40" w:lineRule="exact"/>
        <w:rPr>
          <w:rFonts w:ascii="Times New Roman" w:cs="Times New Roman" w:eastAsia="Times New Roman" w:hAnsi="Times New Roman"/>
          <w:sz w:val="14"/>
          <w:szCs w:val="14"/>
          <w:color w:val="auto"/>
        </w:rPr>
      </w:pPr>
    </w:p>
    <w:p>
      <w:pPr>
        <w:ind w:left="2220" w:hanging="193"/>
        <w:spacing w:after="0"/>
        <w:tabs>
          <w:tab w:leader="none" w:pos="2220" w:val="left"/>
        </w:tabs>
        <w:numPr>
          <w:ilvl w:val="1"/>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5" w:lineRule="exact"/>
        <w:rPr>
          <w:sz w:val="20"/>
          <w:szCs w:val="20"/>
          <w:color w:val="auto"/>
        </w:rPr>
      </w:pPr>
    </w:p>
    <w:p>
      <w:pPr>
        <w:ind w:left="1360" w:right="419" w:firstLine="343"/>
        <w:spacing w:after="0" w:line="255"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407"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3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7201535" cy="4635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Registration Statement to be signed on its behalf by the undersigned hereunto duly authorized, on this 28th day of November, 2025</w:t>
      </w:r>
    </w:p>
    <w:p>
      <w:pPr>
        <w:spacing w:after="0" w:line="14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75" w:lineRule="exact"/>
        <w:rPr>
          <w:sz w:val="20"/>
          <w:szCs w:val="20"/>
          <w:color w:val="auto"/>
        </w:rPr>
      </w:pPr>
    </w:p>
    <w:tbl>
      <w:tblPr>
        <w:tblLayout w:type="fixed"/>
        <w:tblInd w:w="6500" w:type="dxa"/>
        <w:tblCellMar>
          <w:top w:w="0" w:type="dxa"/>
          <w:left w:w="0" w:type="dxa"/>
          <w:bottom w:w="0" w:type="dxa"/>
          <w:right w:w="0" w:type="dxa"/>
        </w:tblCellMar>
      </w:tblP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Dinakar Munagala</w:t>
            </w:r>
          </w:p>
        </w:tc>
      </w:tr>
      <w:tr>
        <w:trPr>
          <w:trHeight w:val="155"/>
        </w:trPr>
        <w:tc>
          <w:tcPr>
            <w:tcW w:w="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Dinakar Munagala</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Director</w:t>
            </w:r>
          </w:p>
        </w:tc>
      </w:tr>
    </w:tbl>
    <w:p>
      <w:pPr>
        <w:spacing w:after="0" w:line="154"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each of Dinakar Munagala and Harminder Sehmi,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49"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held on the dates indicated.</w:t>
      </w:r>
    </w:p>
    <w:p>
      <w:pPr>
        <w:spacing w:after="0" w:line="141" w:lineRule="exact"/>
        <w:rPr>
          <w:sz w:val="20"/>
          <w:szCs w:val="20"/>
          <w:color w:val="auto"/>
        </w:rPr>
      </w:pPr>
    </w:p>
    <w:tbl>
      <w:tblPr>
        <w:tblLayout w:type="fixed"/>
        <w:tblInd w:w="1360" w:type="dxa"/>
        <w:tblCellMar>
          <w:top w:w="0" w:type="dxa"/>
          <w:left w:w="0" w:type="dxa"/>
          <w:bottom w:w="0" w:type="dxa"/>
          <w:right w:w="0" w:type="dxa"/>
        </w:tblCellMar>
      </w:tblPr>
      <w:tr>
        <w:trPr>
          <w:trHeight w:val="135"/>
        </w:trPr>
        <w:tc>
          <w:tcPr>
            <w:tcW w:w="3380" w:type="dxa"/>
            <w:vAlign w:val="bottom"/>
            <w:gridSpan w:val="3"/>
          </w:tcPr>
          <w:p>
            <w:pPr>
              <w:ind w:left="144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720" w:type="dxa"/>
            <w:vAlign w:val="bottom"/>
          </w:tcPr>
          <w:p>
            <w:pPr>
              <w:spacing w:after="0"/>
              <w:rPr>
                <w:sz w:val="11"/>
                <w:szCs w:val="11"/>
                <w:color w:val="auto"/>
              </w:rPr>
            </w:pPr>
          </w:p>
        </w:tc>
        <w:tc>
          <w:tcPr>
            <w:tcW w:w="66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20"/>
        </w:trPr>
        <w:tc>
          <w:tcPr>
            <w:tcW w:w="1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27"/>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Dinakar Munagala</w:t>
            </w: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Dinakar Munagala</w:t>
            </w:r>
          </w:p>
        </w:tc>
        <w:tc>
          <w:tcPr>
            <w:tcW w:w="358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Harminder Sehmi</w:t>
            </w:r>
          </w:p>
        </w:tc>
        <w:tc>
          <w:tcPr>
            <w:tcW w:w="3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Chief Financial Officer (Principal Financial Officer and</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Harminder Sehmi</w:t>
            </w:r>
          </w:p>
        </w:tc>
        <w:tc>
          <w:tcPr>
            <w:tcW w:w="358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color w:val="auto"/>
                <w:w w:val="99"/>
              </w:rPr>
              <w:t>Principal Accounting Officer)</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Edward Frank</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Edward Frank</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Lane Bess</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Lane Bess</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Juergen Hambrecht</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Juergen Hambrecht</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Tony Cannestra</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Tony Cannestra</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George de Urioste</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George de Urioste</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32"/>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Yoshiaki Fujimori</w:t>
            </w:r>
          </w:p>
        </w:tc>
        <w:tc>
          <w:tcPr>
            <w:tcW w:w="3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w w:val="98"/>
              </w:rPr>
              <w:t>Director</w:t>
            </w: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4"/>
                <w:szCs w:val="14"/>
                <w:color w:val="auto"/>
                <w:w w:val="98"/>
              </w:rPr>
              <w:t>November 28, 2025</w:t>
            </w:r>
          </w:p>
        </w:tc>
      </w:tr>
      <w:tr>
        <w:trPr>
          <w:trHeight w:val="173"/>
        </w:trPr>
        <w:tc>
          <w:tcPr>
            <w:tcW w:w="3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Yoshiaki Fujimori</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80"/>
        </w:trPr>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8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II-8</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159"/>
          </w:cols>
          <w:pgMar w:left="300" w:top="407" w:right="1440" w:bottom="1440" w:gutter="0" w:footer="0" w:header="0"/>
        </w:sectPr>
      </w:pPr>
    </w:p>
    <w:bookmarkStart w:id="210" w:name="page211"/>
    <w:bookmarkEnd w:id="210"/>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34925</wp:posOffset>
            </wp:positionV>
            <wp:extent cx="5560695" cy="6007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5560695" cy="60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Faegre Drinker Biddle &amp; Reath LLP</w:t>
      </w:r>
    </w:p>
    <w:p>
      <w:pPr>
        <w:jc w:val="right"/>
        <w:ind w:right="219"/>
        <w:spacing w:after="0" w:line="192" w:lineRule="auto"/>
        <w:rPr>
          <w:sz w:val="20"/>
          <w:szCs w:val="20"/>
          <w:color w:val="auto"/>
        </w:rPr>
      </w:pPr>
      <w:r>
        <w:rPr>
          <w:rFonts w:ascii="Times New Roman" w:cs="Times New Roman" w:eastAsia="Times New Roman" w:hAnsi="Times New Roman"/>
          <w:sz w:val="14"/>
          <w:szCs w:val="14"/>
          <w:color w:val="auto"/>
        </w:rPr>
        <w:t>2200 Wells Fargo Center 90 S. 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Street</w:t>
      </w:r>
    </w:p>
    <w:p>
      <w:pPr>
        <w:jc w:val="right"/>
        <w:ind w:right="219"/>
        <w:spacing w:after="0"/>
        <w:rPr>
          <w:sz w:val="20"/>
          <w:szCs w:val="20"/>
          <w:color w:val="auto"/>
        </w:rPr>
      </w:pPr>
      <w:r>
        <w:rPr>
          <w:rFonts w:ascii="Times New Roman" w:cs="Times New Roman" w:eastAsia="Times New Roman" w:hAnsi="Times New Roman"/>
          <w:sz w:val="14"/>
          <w:szCs w:val="14"/>
          <w:color w:val="auto"/>
        </w:rPr>
        <w:t>Minneapolis, Minnesota 55402</w:t>
      </w:r>
    </w:p>
    <w:p>
      <w:pPr>
        <w:spacing w:after="0" w:line="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+1 612 766 7000 main</w:t>
      </w:r>
    </w:p>
    <w:p>
      <w:pPr>
        <w:spacing w:after="0" w:line="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+1 612 766 1600 fax</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November 28, 2025</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4659 Golden Foothill Parkway, Suite 206</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El Dorado Hills, CA 95762</w:t>
      </w:r>
    </w:p>
    <w:p>
      <w:pPr>
        <w:spacing w:after="0" w:line="182" w:lineRule="exact"/>
        <w:rPr>
          <w:sz w:val="20"/>
          <w:szCs w:val="20"/>
          <w:color w:val="auto"/>
        </w:rPr>
      </w:pPr>
    </w:p>
    <w:p>
      <w:pPr>
        <w:ind w:left="560"/>
        <w:spacing w:after="0"/>
        <w:tabs>
          <w:tab w:leader="none" w:pos="9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Registration Statement on Form S-1</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1" w:lineRule="exact"/>
        <w:rPr>
          <w:sz w:val="20"/>
          <w:szCs w:val="20"/>
          <w:color w:val="auto"/>
        </w:rPr>
      </w:pPr>
    </w:p>
    <w:p>
      <w:pPr>
        <w:ind w:left="220" w:right="239"/>
        <w:spacing w:after="0" w:line="267" w:lineRule="auto"/>
        <w:rPr>
          <w:sz w:val="20"/>
          <w:szCs w:val="20"/>
          <w:color w:val="auto"/>
        </w:rPr>
      </w:pPr>
      <w:r>
        <w:rPr>
          <w:rFonts w:ascii="Times New Roman" w:cs="Times New Roman" w:eastAsia="Times New Roman" w:hAnsi="Times New Roman"/>
          <w:sz w:val="14"/>
          <w:szCs w:val="14"/>
          <w:color w:val="auto"/>
        </w:rPr>
        <w:t>We have acted as counsel to Blaize Holdings, Inc., a Delaware corporation (the “Company”), in connection with the Registration Statement on Form S-1 (the “Registration Statement”) being filed by the Company with the U.S. Securities and Exchange Commission (the “Commission”) on the date hereof under the Securities Act of 1933, as amended (the “Securities Act”).</w:t>
      </w:r>
    </w:p>
    <w:p>
      <w:pPr>
        <w:spacing w:after="0" w:line="136" w:lineRule="exact"/>
        <w:rPr>
          <w:sz w:val="20"/>
          <w:szCs w:val="20"/>
          <w:color w:val="auto"/>
        </w:rPr>
      </w:pPr>
    </w:p>
    <w:p>
      <w:pPr>
        <w:ind w:left="220" w:right="259"/>
        <w:spacing w:after="0" w:line="257" w:lineRule="auto"/>
        <w:rPr>
          <w:sz w:val="20"/>
          <w:szCs w:val="20"/>
          <w:color w:val="auto"/>
        </w:rPr>
      </w:pPr>
      <w:r>
        <w:rPr>
          <w:rFonts w:ascii="Times New Roman" w:cs="Times New Roman" w:eastAsia="Times New Roman" w:hAnsi="Times New Roman"/>
          <w:sz w:val="14"/>
          <w:szCs w:val="14"/>
          <w:color w:val="auto"/>
        </w:rPr>
        <w:t>The Registration Statement relates to the registration of the resale from time to time by certain selling stockholders named therein (the “Selling Stockholders”), of up to an aggregate of 18,750,000 shares of the Company’s common stock, par value $0.0001 per share (the “Common Stock”), including (i) 9,375,000 shares of Common Stock currently outstanding (the “Shares”) and (ii) and 9,375,000 shares of Common tock issuable upon the exercise of Warrants (the “Warrants” and such shares of Common Stock underlying the Warrants, the “Warrant Shares”). The Shares and the Warrants were issued to the Selling Stockholders pursuant to that certain securities purchase agreement, dated November 10, 2025, between the Company and the Selling Stockholders (the “Purchase Agreement”).</w:t>
      </w:r>
    </w:p>
    <w:p>
      <w:pPr>
        <w:spacing w:after="0" w:line="1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This opinion letter is being delivered in accordance with the requirements of Item 601(b)(5) of Regulation S-K.</w:t>
      </w:r>
    </w:p>
    <w:p>
      <w:pPr>
        <w:spacing w:after="0" w:line="175" w:lineRule="exact"/>
        <w:rPr>
          <w:sz w:val="20"/>
          <w:szCs w:val="20"/>
          <w:color w:val="auto"/>
        </w:rPr>
      </w:pPr>
    </w:p>
    <w:p>
      <w:pPr>
        <w:ind w:left="220" w:right="239"/>
        <w:spacing w:after="0" w:line="256" w:lineRule="auto"/>
        <w:rPr>
          <w:sz w:val="20"/>
          <w:szCs w:val="20"/>
          <w:color w:val="auto"/>
        </w:rPr>
      </w:pPr>
      <w:r>
        <w:rPr>
          <w:rFonts w:ascii="Times New Roman" w:cs="Times New Roman" w:eastAsia="Times New Roman" w:hAnsi="Times New Roman"/>
          <w:sz w:val="14"/>
          <w:szCs w:val="14"/>
          <w:color w:val="auto"/>
        </w:rPr>
        <w:t>For purposes of this opinion letter, we have examined the Registration Statement, the Company’s Third Restated Certificate of Incorporation, as amended and currently in effect, the Company’s Amended and Restated Bylaws, as currently in effect, an executed copy of the Purchase Agreement and the resolutions of the Company’s Board of Directors authorizing the Purchase Agreement and the issuance of the Shares, the Warrants and the Warrant Shares. We have also examined a certificate of the Secretary of the Company dated the date hereof (the “Certificate”) and originals, or copies certified or otherwise authenticated to our satisfaction, of such corporate and other records, agreements, instruments, certificates of public officials and documents as we have deemed necessary as a basis for the opinion hereinafter expressed and have made such examination of statutes and decisions and reviewed such questions of law as we have deemed relevant and necessary in connection with the opinion hereinafter expressed.</w:t>
      </w:r>
    </w:p>
    <w:p>
      <w:pPr>
        <w:spacing w:after="0" w:line="144" w:lineRule="exact"/>
        <w:rPr>
          <w:sz w:val="20"/>
          <w:szCs w:val="20"/>
          <w:color w:val="auto"/>
        </w:rPr>
      </w:pPr>
    </w:p>
    <w:p>
      <w:pPr>
        <w:ind w:left="220" w:right="359"/>
        <w:spacing w:after="0" w:line="257" w:lineRule="auto"/>
        <w:rPr>
          <w:sz w:val="20"/>
          <w:szCs w:val="20"/>
          <w:color w:val="auto"/>
        </w:rPr>
      </w:pPr>
      <w:r>
        <w:rPr>
          <w:rFonts w:ascii="Times New Roman" w:cs="Times New Roman" w:eastAsia="Times New Roman" w:hAnsi="Times New Roman"/>
          <w:sz w:val="14"/>
          <w:szCs w:val="14"/>
          <w:color w:val="auto"/>
        </w:rPr>
        <w:t>As to facts material to this opinion letter, we have relied upon certificates, statements or representations of public officials, of officers and representatives of the Company (including the Certificate) and of others, without any independent verification thereof. We have assumed, without investigation, the following: (a) the genuineness of signatures, including electronic signatures, appearing upon agreements, instruments, certifications, documents, and proceedings, (b) that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w:t>
      </w:r>
    </w:p>
    <w:p>
      <w:pPr>
        <w:sectPr>
          <w:pgSz w:w="11900" w:h="16838" w:orient="portrait"/>
          <w:cols w:equalWidth="0" w:num="1">
            <w:col w:w="9019"/>
          </w:cols>
          <w:pgMar w:left="1440" w:top="123" w:right="1440" w:bottom="1440" w:gutter="0" w:footer="0" w:header="0"/>
        </w:sectPr>
      </w:pPr>
    </w:p>
    <w:bookmarkStart w:id="211" w:name="page212"/>
    <w:bookmarkEnd w:id="211"/>
    <w:p>
      <w:pPr>
        <w:jc w:val="both"/>
        <w:ind w:left="4520"/>
        <w:spacing w:after="0"/>
        <w:tabs>
          <w:tab w:leader="none" w:pos="76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2</w:t>
      </w:r>
      <w:r>
        <w:rPr>
          <w:sz w:val="20"/>
          <w:szCs w:val="20"/>
          <w:color w:val="auto"/>
        </w:rPr>
        <w:tab/>
      </w:r>
      <w:r>
        <w:rPr>
          <w:rFonts w:ascii="Times New Roman" w:cs="Times New Roman" w:eastAsia="Times New Roman" w:hAnsi="Times New Roman"/>
          <w:sz w:val="14"/>
          <w:szCs w:val="14"/>
          <w:color w:val="auto"/>
        </w:rPr>
        <w:t>November 28, 2025</w:t>
      </w:r>
    </w:p>
    <w:p>
      <w:pPr>
        <w:spacing w:after="0" w:line="123" w:lineRule="exact"/>
        <w:rPr>
          <w:sz w:val="20"/>
          <w:szCs w:val="20"/>
          <w:color w:val="auto"/>
        </w:rPr>
      </w:pPr>
    </w:p>
    <w:p>
      <w:pPr>
        <w:ind w:left="220" w:right="299"/>
        <w:spacing w:after="0" w:line="261" w:lineRule="auto"/>
        <w:rPr>
          <w:sz w:val="20"/>
          <w:szCs w:val="20"/>
          <w:color w:val="auto"/>
        </w:rPr>
      </w:pPr>
      <w:r>
        <w:rPr>
          <w:rFonts w:ascii="Times New Roman" w:cs="Times New Roman" w:eastAsia="Times New Roman" w:hAnsi="Times New Roman"/>
          <w:sz w:val="14"/>
          <w:szCs w:val="14"/>
          <w:color w:val="auto"/>
        </w:rPr>
        <w:t>the transactions contemplated thereby, (d) the truth, accuracy and completeness of the information, representations and warranties contained in the documents, instruments, certificates and records we have reviewed, (e) the absence of any undisclosed modifications to the agreements and instruments reviewed by us, and (f) the Company will comply with all applicable notice requirements regarding uncertificated shares provided in the General Corporation Law of the State of Delaware.</w:t>
      </w:r>
    </w:p>
    <w:p>
      <w:pPr>
        <w:spacing w:after="0" w:line="141" w:lineRule="exact"/>
        <w:rPr>
          <w:sz w:val="20"/>
          <w:szCs w:val="20"/>
          <w:color w:val="auto"/>
        </w:rPr>
      </w:pPr>
    </w:p>
    <w:p>
      <w:pPr>
        <w:ind w:left="220" w:right="499"/>
        <w:spacing w:after="0" w:line="283" w:lineRule="auto"/>
        <w:rPr>
          <w:sz w:val="20"/>
          <w:szCs w:val="20"/>
          <w:color w:val="auto"/>
        </w:rPr>
      </w:pPr>
      <w:r>
        <w:rPr>
          <w:rFonts w:ascii="Times New Roman" w:cs="Times New Roman" w:eastAsia="Times New Roman" w:hAnsi="Times New Roman"/>
          <w:sz w:val="14"/>
          <w:szCs w:val="14"/>
          <w:color w:val="auto"/>
        </w:rPr>
        <w:t>Based upon and subject to the foregoing qualifications, assumptions and limitations and the further limitations set forth below, we are of the opinion that:</w:t>
      </w:r>
    </w:p>
    <w:p>
      <w:pPr>
        <w:spacing w:after="0" w:line="51" w:lineRule="exact"/>
        <w:rPr>
          <w:sz w:val="20"/>
          <w:szCs w:val="20"/>
          <w:color w:val="auto"/>
        </w:rPr>
      </w:pPr>
    </w:p>
    <w:p>
      <w:pPr>
        <w:ind w:left="980" w:right="399" w:hanging="429"/>
        <w:spacing w:after="0" w:line="283" w:lineRule="auto"/>
        <w:tabs>
          <w:tab w:leader="none" w:pos="9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necessary corporate action on the part of the Company has been taken to authorize the issuance of the Shares, and that the Shares are validly issued, fully paid and nonassessable.</w:t>
      </w:r>
    </w:p>
    <w:p>
      <w:pPr>
        <w:spacing w:after="0" w:line="51" w:lineRule="exact"/>
        <w:rPr>
          <w:rFonts w:ascii="Times New Roman" w:cs="Times New Roman" w:eastAsia="Times New Roman" w:hAnsi="Times New Roman"/>
          <w:sz w:val="14"/>
          <w:szCs w:val="14"/>
          <w:color w:val="auto"/>
        </w:rPr>
      </w:pPr>
    </w:p>
    <w:p>
      <w:pPr>
        <w:ind w:left="980" w:right="239" w:hanging="429"/>
        <w:spacing w:after="0" w:line="258" w:lineRule="auto"/>
        <w:tabs>
          <w:tab w:leader="none" w:pos="9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necessary corporate action on the part of the Company has been taken to authorize the issuance of the Warrant Shares, and if, when and to the extent any Warrant Shares are issued in accordance with the terms of the Warrants, including the due and proper exercise of such Warrants by the applicable Selling Stockholder, payment in full by such Selling Stockholder to the Company of the exercise price as required thereunder, and the due registration of issuance and constructive delivery through book entry of such Warrant Shares, then, upon the happening of such events, such Warrant Shares will be validly issued, fully paid and nonassessable.</w:t>
      </w:r>
    </w:p>
    <w:p>
      <w:pPr>
        <w:spacing w:after="0" w:line="144" w:lineRule="exact"/>
        <w:rPr>
          <w:sz w:val="20"/>
          <w:szCs w:val="20"/>
          <w:color w:val="auto"/>
        </w:rPr>
      </w:pPr>
    </w:p>
    <w:p>
      <w:pPr>
        <w:ind w:left="220" w:right="519"/>
        <w:spacing w:after="0" w:line="283" w:lineRule="auto"/>
        <w:rPr>
          <w:sz w:val="20"/>
          <w:szCs w:val="20"/>
          <w:color w:val="auto"/>
        </w:rPr>
      </w:pPr>
      <w:r>
        <w:rPr>
          <w:rFonts w:ascii="Times New Roman" w:cs="Times New Roman" w:eastAsia="Times New Roman" w:hAnsi="Times New Roman"/>
          <w:sz w:val="14"/>
          <w:szCs w:val="14"/>
          <w:color w:val="auto"/>
        </w:rPr>
        <w:t>Our opinions set forth herein are limited to the General Corporation Law of the State of Delaware, and we express no opinion as to the effect of any other laws.</w:t>
      </w:r>
    </w:p>
    <w:p>
      <w:pPr>
        <w:spacing w:after="0" w:line="125" w:lineRule="exact"/>
        <w:rPr>
          <w:sz w:val="20"/>
          <w:szCs w:val="20"/>
          <w:color w:val="auto"/>
        </w:rPr>
      </w:pPr>
    </w:p>
    <w:p>
      <w:pPr>
        <w:ind w:left="220" w:right="299"/>
        <w:spacing w:after="0" w:line="258" w:lineRule="auto"/>
        <w:rPr>
          <w:sz w:val="20"/>
          <w:szCs w:val="20"/>
          <w:color w:val="auto"/>
        </w:rPr>
      </w:pPr>
      <w:r>
        <w:rPr>
          <w:rFonts w:ascii="Times New Roman" w:cs="Times New Roman" w:eastAsia="Times New Roman" w:hAnsi="Times New Roman"/>
          <w:sz w:val="14"/>
          <w:szCs w:val="14"/>
          <w:color w:val="auto"/>
        </w:rPr>
        <w:t>With respect to our opinion regarding the Warrant Shares, we express no opinion to the extent that, notwithstanding the Company’s current reservation of the maximum number of Warrant Shares as of the date hereof, future issuances of securities of the Company, including the Warrant Shares, and/or antidilution adjustments to outstanding securities of the Company, including the Warrants, may cause the Warrants to be exercisable for more shares of Common Stock than the number that then remain authorized but unissued. Further, we have assumed that the exercise price (as defined in the Warrants) will not be adjusted to an amount below the par value per share of the Warrant Shares.</w:t>
      </w:r>
    </w:p>
    <w:p>
      <w:pPr>
        <w:spacing w:after="0" w:line="144" w:lineRule="exact"/>
        <w:rPr>
          <w:sz w:val="20"/>
          <w:szCs w:val="20"/>
          <w:color w:val="auto"/>
        </w:rPr>
      </w:pPr>
    </w:p>
    <w:p>
      <w:pPr>
        <w:jc w:val="both"/>
        <w:ind w:left="220" w:right="319"/>
        <w:spacing w:after="0" w:line="261" w:lineRule="auto"/>
        <w:rPr>
          <w:sz w:val="20"/>
          <w:szCs w:val="20"/>
          <w:color w:val="auto"/>
        </w:rPr>
      </w:pPr>
      <w:r>
        <w:rPr>
          <w:rFonts w:ascii="Times New Roman" w:cs="Times New Roman" w:eastAsia="Times New Roman" w:hAnsi="Times New Roman"/>
          <w:sz w:val="14"/>
          <w:szCs w:val="14"/>
          <w:color w:val="auto"/>
        </w:rPr>
        <w:t>This opinion letter is rendered as of the date first written above, and we assume no responsibility for updating this opinion letter or the opinion set forth herein to take into account any event, action, interpretation or change in law occurring subsequent to the date hereof that may affect the validity of such opinion. This opinion letter is expressly limited to the matters set forth above, and we render no opinion, whether by implication or otherwise, as to any other matters relating to the Company, the Shares or the Warrant Shares.</w:t>
      </w:r>
    </w:p>
    <w:p>
      <w:pPr>
        <w:sectPr>
          <w:pgSz w:w="11900" w:h="16838" w:orient="portrait"/>
          <w:cols w:equalWidth="0" w:num="1">
            <w:col w:w="9019"/>
          </w:cols>
          <w:pgMar w:left="1440" w:top="240" w:right="1440" w:bottom="1440" w:gutter="0" w:footer="0" w:header="0"/>
        </w:sectPr>
      </w:pPr>
    </w:p>
    <w:bookmarkStart w:id="212" w:name="page213"/>
    <w:bookmarkEnd w:id="212"/>
    <w:p>
      <w:pPr>
        <w:jc w:val="both"/>
        <w:ind w:left="4520"/>
        <w:spacing w:after="0"/>
        <w:tabs>
          <w:tab w:leader="none" w:pos="766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3</w:t>
      </w:r>
      <w:r>
        <w:rPr>
          <w:sz w:val="20"/>
          <w:szCs w:val="20"/>
          <w:color w:val="auto"/>
        </w:rPr>
        <w:tab/>
      </w:r>
      <w:r>
        <w:rPr>
          <w:rFonts w:ascii="Times New Roman" w:cs="Times New Roman" w:eastAsia="Times New Roman" w:hAnsi="Times New Roman"/>
          <w:sz w:val="14"/>
          <w:szCs w:val="14"/>
          <w:color w:val="auto"/>
        </w:rPr>
        <w:t>November 28, 2025</w:t>
      </w:r>
    </w:p>
    <w:p>
      <w:pPr>
        <w:spacing w:after="0" w:line="123" w:lineRule="exact"/>
        <w:rPr>
          <w:sz w:val="20"/>
          <w:szCs w:val="20"/>
          <w:color w:val="auto"/>
        </w:rPr>
      </w:pPr>
    </w:p>
    <w:p>
      <w:pPr>
        <w:ind w:left="220" w:right="319"/>
        <w:spacing w:after="0" w:line="261"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being named in the Registration Statement under the caption “Legal Matters” with respect to the matters stated therein without implying or admitting that we are “experts” within the meaning of the Securities Act or the rules and regulations of the Commission issued thereunder with respect to any part of the Registration Statement, including this exhibit.</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Faegre Drinker Biddle &amp; Reath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13970</wp:posOffset>
            </wp:positionV>
            <wp:extent cx="217614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2176145" cy="6985"/>
                    </a:xfrm>
                    <a:prstGeom prst="rect">
                      <a:avLst/>
                    </a:prstGeom>
                    <a:noFill/>
                  </pic:spPr>
                </pic:pic>
              </a:graphicData>
            </a:graphic>
          </wp:anchor>
        </w:drawing>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FAEGRE DRINKER BIDDLE &amp; REATH LLP</w:t>
      </w:r>
    </w:p>
    <w:p>
      <w:pPr>
        <w:sectPr>
          <w:pgSz w:w="11900" w:h="16838" w:orient="portrait"/>
          <w:cols w:equalWidth="0" w:num="1">
            <w:col w:w="9019"/>
          </w:cols>
          <w:pgMar w:left="1440" w:top="241" w:right="1440" w:bottom="1440" w:gutter="0" w:footer="0" w:header="0"/>
        </w:sectPr>
      </w:pPr>
    </w:p>
    <w:bookmarkStart w:id="213" w:name="page214"/>
    <w:bookmarkEnd w:id="213"/>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135255</wp:posOffset>
            </wp:positionV>
            <wp:extent cx="1268095" cy="3536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1268095" cy="35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FIRM’S CONSENT</w:t>
      </w:r>
    </w:p>
    <w:p>
      <w:pPr>
        <w:spacing w:after="0" w:line="177" w:lineRule="exact"/>
        <w:rPr>
          <w:sz w:val="20"/>
          <w:szCs w:val="20"/>
          <w:color w:val="auto"/>
        </w:rPr>
      </w:pPr>
    </w:p>
    <w:p>
      <w:pPr>
        <w:ind w:left="220" w:right="399"/>
        <w:spacing w:after="0" w:line="261" w:lineRule="auto"/>
        <w:rPr>
          <w:sz w:val="20"/>
          <w:szCs w:val="20"/>
          <w:color w:val="auto"/>
        </w:rPr>
      </w:pPr>
      <w:r>
        <w:rPr>
          <w:rFonts w:ascii="Times New Roman" w:cs="Times New Roman" w:eastAsia="Times New Roman" w:hAnsi="Times New Roman"/>
          <w:sz w:val="14"/>
          <w:szCs w:val="14"/>
          <w:color w:val="auto"/>
        </w:rPr>
        <w:t>We consent to the inclusion in this Registration Statement of Blaize Holdings, Inc. (the “Company”) on Form S-1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 We also consent to the reference to our Firm under the heading “Experts”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111760</wp:posOffset>
            </wp:positionV>
            <wp:extent cx="887730" cy="3606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887730" cy="36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Melville, NY</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November 28, 2025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 Independent Member of Urbach Hacker Young International</w:t>
      </w:r>
    </w:p>
    <w:p>
      <w:pPr>
        <w:sectPr>
          <w:pgSz w:w="11900" w:h="16838" w:orient="portrait"/>
          <w:cols w:equalWidth="0" w:num="1">
            <w:col w:w="9019"/>
          </w:cols>
          <w:pgMar w:left="1440" w:top="123" w:right="1440" w:bottom="1440" w:gutter="0" w:footer="0" w:header="0"/>
        </w:sectPr>
      </w:pPr>
    </w:p>
    <w:bookmarkStart w:id="214" w:name="page215"/>
    <w:bookmarkEnd w:id="214"/>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Blaize Holdings, Inc.</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16"/>
              <w:spacing w:after="0" w:line="189"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6"/>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5"/>
          </w:tcPr>
          <w:p>
            <w:pPr>
              <w:ind w:left="1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9,375,000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$ 2.24</w:t>
            </w:r>
          </w:p>
        </w:tc>
        <w:tc>
          <w:tcPr>
            <w:tcW w:w="20" w:type="dxa"/>
            <w:vAlign w:val="bottom"/>
          </w:tcPr>
          <w:p>
            <w:pPr>
              <w:spacing w:after="0"/>
              <w:rPr>
                <w:sz w:val="8"/>
                <w:szCs w:val="8"/>
                <w:color w:val="auto"/>
              </w:rPr>
            </w:pPr>
          </w:p>
        </w:tc>
        <w:tc>
          <w:tcPr>
            <w:tcW w:w="1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$ 2,900.10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21,000,000.00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Arial" w:cs="Arial" w:eastAsia="Arial" w:hAnsi="Arial"/>
                <w:sz w:val="17"/>
                <w:szCs w:val="17"/>
                <w:color w:val="auto"/>
              </w:rPr>
              <w:t>Common</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ind w:left="20"/>
              <w:spacing w:after="0" w:line="189"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ind w:left="20"/>
              <w:spacing w:after="0" w:line="189"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2 Equity</w:t>
            </w:r>
          </w:p>
        </w:tc>
        <w:tc>
          <w:tcPr>
            <w:tcW w:w="820" w:type="dxa"/>
            <w:vAlign w:val="bottom"/>
            <w:gridSpan w:val="2"/>
            <w:vMerge w:val="restart"/>
          </w:tcPr>
          <w:p>
            <w:pPr>
              <w:ind w:left="40"/>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7"/>
              </w:rPr>
              <w:t>457(a)</w:t>
            </w:r>
          </w:p>
        </w:tc>
        <w:tc>
          <w:tcPr>
            <w:tcW w:w="920" w:type="dxa"/>
            <w:vAlign w:val="bottom"/>
            <w:gridSpan w:val="2"/>
            <w:vMerge w:val="restart"/>
          </w:tcPr>
          <w:p>
            <w:pPr>
              <w:jc w:val="right"/>
              <w:spacing w:after="0"/>
              <w:rPr>
                <w:sz w:val="20"/>
                <w:szCs w:val="20"/>
                <w:color w:val="auto"/>
              </w:rPr>
            </w:pPr>
            <w:r>
              <w:rPr>
                <w:rFonts w:ascii="Arial" w:cs="Arial" w:eastAsia="Arial" w:hAnsi="Arial"/>
                <w:sz w:val="17"/>
                <w:szCs w:val="17"/>
                <w:color w:val="auto"/>
              </w:rPr>
              <w:t>9,375,000</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$ 2.24</w:t>
            </w:r>
          </w:p>
        </w:tc>
        <w:tc>
          <w:tcPr>
            <w:tcW w:w="1120" w:type="dxa"/>
            <w:vAlign w:val="bottom"/>
            <w:gridSpan w:val="2"/>
            <w:vMerge w:val="continue"/>
          </w:tcPr>
          <w:p>
            <w:pPr>
              <w:spacing w:after="0"/>
              <w:rPr>
                <w:sz w:val="8"/>
                <w:szCs w:val="8"/>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0.0001381</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$ 2,900.10</w:t>
            </w: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20" w:type="dxa"/>
            <w:vAlign w:val="bottom"/>
            <w:gridSpan w:val="2"/>
          </w:tcPr>
          <w:p>
            <w:pPr>
              <w:jc w:val="right"/>
              <w:spacing w:after="0" w:line="168" w:lineRule="exact"/>
              <w:rPr>
                <w:sz w:val="20"/>
                <w:szCs w:val="20"/>
                <w:color w:val="auto"/>
              </w:rPr>
            </w:pPr>
            <w:r>
              <w:rPr>
                <w:rFonts w:ascii="Arial" w:cs="Arial" w:eastAsia="Arial" w:hAnsi="Arial"/>
                <w:sz w:val="17"/>
                <w:szCs w:val="17"/>
                <w:color w:val="auto"/>
              </w:rPr>
              <w:t>21,000,000.00</w:t>
            </w:r>
          </w:p>
        </w:tc>
        <w:tc>
          <w:tcPr>
            <w:tcW w:w="8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20"/>
              <w:spacing w:after="0" w:line="132" w:lineRule="exact"/>
              <w:rPr>
                <w:sz w:val="20"/>
                <w:szCs w:val="20"/>
                <w:color w:val="auto"/>
              </w:rPr>
            </w:pPr>
            <w:r>
              <w:rPr>
                <w:rFonts w:ascii="Arial" w:cs="Arial" w:eastAsia="Arial" w:hAnsi="Arial"/>
                <w:sz w:val="15"/>
                <w:szCs w:val="15"/>
                <w:color w:val="auto"/>
              </w:rPr>
              <w:t>per share</w:t>
            </w: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-2629535</wp:posOffset>
            </wp:positionV>
            <wp:extent cx="7214235" cy="45319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7214235" cy="45319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underlying</w:t>
      </w:r>
    </w:p>
    <w:p>
      <w:pPr>
        <w:spacing w:after="0" w:line="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warrants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ind w:left="28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0"/>
        </w:trPr>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r>
      <w:tr>
        <w:trPr>
          <w:trHeight w:val="189"/>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r>
      <w:tr>
        <w:trPr>
          <w:trHeight w:val="221"/>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r>
      <w:tr>
        <w:trPr>
          <w:trHeight w:val="200"/>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$ 5,800.20</w:t>
            </w:r>
          </w:p>
        </w:tc>
      </w:tr>
      <w:tr>
        <w:trPr>
          <w:trHeight w:val="222"/>
        </w:trPr>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7"/>
                <w:szCs w:val="17"/>
                <w:color w:val="auto"/>
              </w:rPr>
              <w:t>42,000,000.00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Net Fee Due: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$ 5,800.20</w:t>
            </w:r>
          </w:p>
        </w:tc>
      </w:tr>
    </w:tbl>
    <w:p>
      <w:pPr>
        <w:spacing w:after="0" w:line="2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160" w:hanging="184"/>
        <w:spacing w:after="0" w:line="230" w:lineRule="auto"/>
        <w:tabs>
          <w:tab w:leader="none" w:pos="220" w:val="left"/>
        </w:tabs>
        <w:numPr>
          <w:ilvl w:val="0"/>
          <w:numId w:val="94"/>
        </w:numPr>
        <w:rPr>
          <w:rFonts w:ascii="Arial" w:cs="Arial" w:eastAsia="Arial" w:hAnsi="Arial"/>
          <w:sz w:val="21"/>
          <w:szCs w:val="21"/>
          <w:color w:val="auto"/>
          <w:vertAlign w:val="superscript"/>
        </w:rPr>
      </w:pPr>
      <w:r>
        <w:rPr>
          <w:rFonts w:ascii="Arial" w:cs="Arial" w:eastAsia="Arial" w:hAnsi="Arial"/>
          <w:sz w:val="17"/>
          <w:szCs w:val="17"/>
          <w:color w:val="auto"/>
        </w:rPr>
        <w:t>(1) Pursuant to Rule 416(a) under the Securities Act of 1933, as amended (the "Securities Act"), this registration statement also covers an indeterminate number of additional shares of common stock as may be issuable with respect to the shares being issued hereunder as a result of a stock split, stock dividend, capitalization or similar event. (2) Estimated pursuant to Rule 457(c) under the Securities Act solely for purposes of calculating the amount of the registration fee, based on the average of the high and low prices of the registrant's common stock as reported on the Nasdaq Capital Market as of November 21, 2025 (such date being within five business days of the date that this registration statement was first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4819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21" w:lineRule="exact"/>
        <w:rPr>
          <w:sz w:val="20"/>
          <w:szCs w:val="20"/>
          <w:color w:val="auto"/>
        </w:rPr>
      </w:pPr>
    </w:p>
    <w:p>
      <w:pPr>
        <w:ind w:left="220" w:right="160" w:hanging="184"/>
        <w:spacing w:after="0" w:line="230" w:lineRule="auto"/>
        <w:tabs>
          <w:tab w:leader="none" w:pos="220" w:val="left"/>
        </w:tabs>
        <w:numPr>
          <w:ilvl w:val="0"/>
          <w:numId w:val="95"/>
        </w:numPr>
        <w:rPr>
          <w:rFonts w:ascii="Arial" w:cs="Arial" w:eastAsia="Arial" w:hAnsi="Arial"/>
          <w:sz w:val="21"/>
          <w:szCs w:val="21"/>
          <w:color w:val="auto"/>
          <w:vertAlign w:val="superscript"/>
        </w:rPr>
      </w:pPr>
      <w:r>
        <w:rPr>
          <w:rFonts w:ascii="Arial" w:cs="Arial" w:eastAsia="Arial" w:hAnsi="Arial"/>
          <w:sz w:val="17"/>
          <w:szCs w:val="17"/>
          <w:color w:val="auto"/>
        </w:rPr>
        <w:t>(1) Pursuant to Rule 416(a) under the Securities Act of 1933, as amended (the "Securities Act"), this registration statement also covers an indeterminate number of additional shares of common stock as may be issuable with respect to the shares being issued hereunder as a result of a stock split, stock dividend, capitalization or similar event. (2) Estimated pursuant to Rule 457(c) under the Securities Act solely for purposes of calculating the amount of the registration fee, based on the average of the high and low prices of the registrant's common stock as reported on the Nasdaq Capital Market as of November 21, 2025 (such date being within five business days of the date that this registration statement was first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59690</wp:posOffset>
            </wp:positionV>
            <wp:extent cx="714819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6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right"/>
              <w:ind w:right="16"/>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shd w:val="clear" w:color="auto" w:fill="9ADAF6"/>
          </w:tcPr>
          <w:p>
            <w:pPr>
              <w:ind w:left="540"/>
              <w:spacing w:after="0" w:line="168"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40" w:type="dxa"/>
            <w:vAlign w:val="bottom"/>
          </w:tcPr>
          <w:p>
            <w:pPr>
              <w:spacing w:after="0"/>
              <w:rPr>
                <w:sz w:val="14"/>
                <w:szCs w:val="14"/>
                <w:color w:val="auto"/>
              </w:rPr>
            </w:pPr>
          </w:p>
        </w:tc>
        <w:tc>
          <w:tcPr>
            <w:tcW w:w="6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4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7"/>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gridSpan w:val="5"/>
          </w:tcPr>
          <w:p>
            <w:pPr>
              <w:jc w:val="right"/>
              <w:ind w:right="556"/>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5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4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4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2" w:right="239" w:bottom="0" w:gutter="0" w:footer="0" w:header="0"/>
        </w:sectPr>
      </w:pPr>
    </w:p>
    <w:bookmarkStart w:id="215" w:name="page216"/>
    <w:bookmarkEnd w:id="2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88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800" w:type="dxa"/>
            <w:vAlign w:val="bottom"/>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File Number</w:t>
            </w: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0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94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lowerRoman"/>
      <w:start w:val="2"/>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1)"/>
      <w:numFmt w:val="decimal"/>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decimal"/>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1."/>
      <w:numFmt w:val="decimal"/>
      <w:start w:val="1"/>
    </w:lvl>
  </w:abstractNum>
  <w:abstractNum w:abstractNumId="30">
    <w:nsid w:val="77AE35EB"/>
    <w:multiLevelType w:val="hybridMultilevel"/>
    <w:lvl w:ilvl="0">
      <w:lvlJc w:val="left"/>
      <w:lvlText w:val="%1."/>
      <w:numFmt w:val="decimal"/>
      <w:start w:val="1"/>
    </w:lvl>
    <w:lvl w:ilvl="1">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decimal"/>
      <w:start w:val="1"/>
    </w:lvl>
  </w:abstractNum>
  <w:abstractNum w:abstractNumId="40">
    <w:nsid w:val="5DB70AE5"/>
    <w:multiLevelType w:val="hybridMultilevel"/>
    <w:lvl w:ilvl="0">
      <w:lvlJc w:val="left"/>
      <w:lvlText w:val="•"/>
      <w:numFmt w:val="bullet"/>
      <w:start w:val="1"/>
    </w:lvl>
  </w:abstractNum>
  <w:abstractNum w:abstractNumId="41">
    <w:nsid w:val="100F8FCA"/>
    <w:multiLevelType w:val="hybridMultilevel"/>
    <w:lvl w:ilvl="0">
      <w:lvlJc w:val="left"/>
      <w:lvlText w:val="(%1)"/>
      <w:numFmt w:val="decimal"/>
      <w:start w:val="1"/>
    </w:lvl>
  </w:abstractNum>
  <w:abstractNum w:abstractNumId="42">
    <w:nsid w:val="6590700B"/>
    <w:multiLevelType w:val="hybridMultilevel"/>
    <w:lvl w:ilvl="0">
      <w:lvlJc w:val="left"/>
      <w:lvlText w:val="(%1)"/>
      <w:numFmt w:val="decimal"/>
      <w:start w:val="1"/>
    </w:lvl>
  </w:abstractNum>
  <w:abstractNum w:abstractNumId="43">
    <w:nsid w:val="15014ACB"/>
    <w:multiLevelType w:val="hybridMultilevel"/>
    <w:lvl w:ilvl="0">
      <w:lvlJc w:val="left"/>
      <w:lvlText w:val="•"/>
      <w:numFmt w:val="bullet"/>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1)"/>
      <w:numFmt w:val="lowerRoman"/>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1)"/>
      <w:numFmt w:val="decimal"/>
      <w:start w:val="1"/>
    </w:lvl>
  </w:abstractNum>
  <w:abstractNum w:abstractNumId="50">
    <w:nsid w:val="1EBA5D23"/>
    <w:multiLevelType w:val="hybridMultilevel"/>
    <w:lvl w:ilvl="0">
      <w:lvlJc w:val="left"/>
      <w:lvlText w:val="(%1)"/>
      <w:numFmt w:val="decimal"/>
      <w:start w:val="2"/>
    </w:lvl>
  </w:abstractNum>
  <w:abstractNum w:abstractNumId="51">
    <w:nsid w:val="661E3F1E"/>
    <w:multiLevelType w:val="hybridMultilevel"/>
    <w:lvl w:ilvl="0">
      <w:lvlJc w:val="left"/>
      <w:lvlText w:val="(%1)"/>
      <w:numFmt w:val="decimal"/>
      <w:start w:val="7"/>
    </w:lvl>
  </w:abstractNum>
  <w:abstractNum w:abstractNumId="52">
    <w:nsid w:val="5DC79EA8"/>
    <w:multiLevelType w:val="hybridMultilevel"/>
    <w:lvl w:ilvl="0">
      <w:lvlJc w:val="left"/>
      <w:lvlText w:val="(%1)"/>
      <w:numFmt w:val="lowerRoman"/>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lowerRoman"/>
      <w:start w:val="7"/>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lowerRoman"/>
      <w:start w:val="2"/>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lowerRoman"/>
      <w:start w:val="2"/>
    </w:lvl>
  </w:abstractNum>
  <w:abstractNum w:abstractNumId="64">
    <w:nsid w:val="68EB2F63"/>
    <w:multiLevelType w:val="hybridMultilevel"/>
    <w:lvl w:ilvl="0">
      <w:lvlJc w:val="left"/>
      <w:lvlText w:val="(%1)"/>
      <w:numFmt w:val="decimal"/>
      <w:start w:val="1"/>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
    </w:lvl>
  </w:abstractNum>
  <w:abstractNum w:abstractNumId="67">
    <w:nsid w:val="6A5EE64"/>
    <w:multiLevelType w:val="hybridMultilevel"/>
    <w:lvl w:ilvl="0">
      <w:lvlJc w:val="left"/>
      <w:lvlText w:val="(%1)"/>
      <w:numFmt w:val="decimal"/>
      <w:start w:val="1"/>
    </w:lvl>
  </w:abstractNum>
  <w:abstractNum w:abstractNumId="68">
    <w:nsid w:val="14330624"/>
    <w:multiLevelType w:val="hybridMultilevel"/>
    <w:lvl w:ilvl="0">
      <w:lvlJc w:val="left"/>
      <w:lvlText w:val="(%1)"/>
      <w:numFmt w:val="lowerRoman"/>
      <w:start w:val="2"/>
    </w:lvl>
  </w:abstractNum>
  <w:abstractNum w:abstractNumId="69">
    <w:nsid w:val="7FFFCA11"/>
    <w:multiLevelType w:val="hybridMultilevel"/>
    <w:lvl w:ilvl="0">
      <w:lvlJc w:val="left"/>
      <w:lvlText w:val="•"/>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lowerRoman"/>
      <w:start w:val="2"/>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
      <w:numFmt w:val="bullet"/>
      <w:start w:val="1"/>
    </w:lvl>
  </w:abstractNum>
  <w:abstractNum w:abstractNumId="74">
    <w:nsid w:val="6EB5BD4"/>
    <w:multiLevelType w:val="hybridMultilevel"/>
    <w:lvl w:ilvl="0">
      <w:lvlJc w:val="left"/>
      <w:lvlText w:val="•"/>
      <w:numFmt w:val="bullet"/>
      <w:start w:val="1"/>
    </w:lvl>
  </w:abstractNum>
  <w:abstractNum w:abstractNumId="75">
    <w:nsid w:val="6F6DD9AC"/>
    <w:multiLevelType w:val="hybridMultilevel"/>
    <w:lvl w:ilvl="0">
      <w:lvlJc w:val="left"/>
      <w:lvlText w:val="•"/>
      <w:numFmt w:val="bullet"/>
      <w:start w:val="1"/>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
      <w:numFmt w:val="bullet"/>
      <w:start w:val="1"/>
    </w:lvl>
  </w:abstractNum>
  <w:abstractNum w:abstractNumId="79">
    <w:nsid w:val="4C04A8AF"/>
    <w:multiLevelType w:val="hybridMultilevel"/>
    <w:lvl w:ilvl="0">
      <w:lvlJc w:val="left"/>
      <w:lvlText w:val="(%1)"/>
      <w:numFmt w:val="lowerLetter"/>
      <w:start w:val="1"/>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
      <w:numFmt w:val="bullet"/>
      <w:start w:val="1"/>
    </w:lvl>
  </w:abstractNum>
  <w:abstractNum w:abstractNumId="82">
    <w:nsid w:val="3222E7CD"/>
    <w:multiLevelType w:val="hybridMultilevel"/>
    <w:lvl w:ilvl="0">
      <w:lvlJc w:val="left"/>
      <w:lvlText w:val="*"/>
      <w:numFmt w:val="bullet"/>
      <w:start w:val="1"/>
    </w:lvl>
  </w:abstractNum>
  <w:abstractNum w:abstractNumId="83">
    <w:nsid w:val="74DE0EE3"/>
    <w:multiLevelType w:val="hybridMultilevel"/>
    <w:lvl w:ilvl="0">
      <w:lvlJc w:val="left"/>
      <w:lvlText w:val=" "/>
      <w:numFmt w:val="bullet"/>
      <w:start w:val="1"/>
    </w:lvl>
  </w:abstractNum>
  <w:abstractNum w:abstractNumId="84">
    <w:nsid w:val="68EBC550"/>
    <w:multiLevelType w:val="hybridMultilevel"/>
    <w:lvl w:ilvl="0">
      <w:lvlJc w:val="left"/>
      <w:lvlText w:val=" "/>
      <w:numFmt w:val="bullet"/>
      <w:start w:val="1"/>
    </w:lvl>
  </w:abstractNum>
  <w:abstractNum w:abstractNumId="85">
    <w:nsid w:val="2DF6D648"/>
    <w:multiLevelType w:val="hybridMultilevel"/>
    <w:lvl w:ilvl="0">
      <w:lvlJc w:val="left"/>
      <w:lvlText w:val=" "/>
      <w:numFmt w:val="bullet"/>
      <w:start w:val="1"/>
    </w:lvl>
  </w:abstractNum>
  <w:abstractNum w:abstractNumId="86">
    <w:nsid w:val="46B7D447"/>
    <w:multiLevelType w:val="hybridMultilevel"/>
    <w:lvl w:ilvl="0">
      <w:lvlJc w:val="left"/>
      <w:lvlText w:val="*"/>
      <w:numFmt w:val="bullet"/>
      <w:start w:val="1"/>
    </w:lvl>
  </w:abstractNum>
  <w:abstractNum w:abstractNumId="87">
    <w:nsid w:val="4A2AC315"/>
    <w:multiLevelType w:val="hybridMultilevel"/>
    <w:lvl w:ilvl="0">
      <w:lvlJc w:val="left"/>
      <w:lvlText w:val="**"/>
      <w:numFmt w:val="bullet"/>
      <w:start w:val="1"/>
    </w:lvl>
  </w:abstractNum>
  <w:abstractNum w:abstractNumId="88">
    <w:nsid w:val="39EE015C"/>
    <w:multiLevelType w:val="hybridMultilevel"/>
    <w:lvl w:ilvl="0">
      <w:lvlJc w:val="left"/>
      <w:lvlText w:val="%1"/>
      <w:numFmt w:val="lowerRoman"/>
      <w:start w:val="1"/>
    </w:lvl>
    <w:lvl w:ilvl="1">
      <w:lvlJc w:val="left"/>
      <w:lvlText w:val="(%2)"/>
      <w:numFmt w:val="decimal"/>
      <w:start w:val="1"/>
    </w:lvl>
  </w:abstractNum>
  <w:abstractNum w:abstractNumId="89">
    <w:nsid w:val="57FC4FBB"/>
    <w:multiLevelType w:val="hybridMultilevel"/>
    <w:lvl w:ilvl="0">
      <w:lvlJc w:val="left"/>
      <w:lvlText w:val="(%1)"/>
      <w:numFmt w:val="lowerRoman"/>
      <w:start w:val="3"/>
    </w:lvl>
    <w:lvl w:ilvl="1">
      <w:lvlJc w:val="left"/>
      <w:lvlText w:val="%2"/>
      <w:numFmt w:val="decimal"/>
      <w:start w:val="1"/>
    </w:lvl>
  </w:abstractNum>
  <w:abstractNum w:abstractNumId="90">
    <w:nsid w:val="CC1016F"/>
    <w:multiLevelType w:val="hybridMultilevel"/>
    <w:lvl w:ilvl="0">
      <w:lvlJc w:val="left"/>
      <w:lvlText w:val="(%1)"/>
      <w:numFmt w:val="decimal"/>
      <w:start w:val="2"/>
    </w:lvl>
  </w:abstractNum>
  <w:abstractNum w:abstractNumId="91">
    <w:nsid w:val="43F18422"/>
    <w:multiLevelType w:val="hybridMultilevel"/>
    <w:lvl w:ilvl="0">
      <w:lvlJc w:val="left"/>
      <w:lvlText w:val="(%1)"/>
      <w:numFmt w:val="decimal"/>
      <w:start w:val="5"/>
    </w:lvl>
    <w:lvl w:ilvl="1">
      <w:lvlJc w:val="left"/>
      <w:lvlText w:val="(%2)"/>
      <w:numFmt w:val="lowerLetter"/>
      <w:start w:val="1"/>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bullet"/>
      <w:start w:val="1"/>
    </w:lvl>
  </w:abstractNum>
  <w:abstractNum w:abstractNumId="94">
    <w:nsid w:val="7F01579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58" Type="http://schemas.openxmlformats.org/officeDocument/2006/relationships/image" Target="media/image239.png"/><Relationship Id="rId280"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jpe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jpeg"/><Relationship Id="rId293" Type="http://schemas.openxmlformats.org/officeDocument/2006/relationships/image" Target="media/image248.jpe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46" Type="http://schemas.openxmlformats.org/officeDocument/2006/relationships/hyperlink" Target="http://www.sec.gov/ix?doc=/Archives/edgar/data/1871638/000110465924080933/brkh-20240331xs4.htm#AnnexA1_147733" TargetMode="External"/><Relationship Id="rId247" Type="http://schemas.openxmlformats.org/officeDocument/2006/relationships/hyperlink" Target="http://www.sec.gov/ix?doc=/Archives/edgar/data/1871638/000110465924080933/brkh-20240331xs4.htm#AnnexA2_936998" TargetMode="External"/><Relationship Id="rId248" Type="http://schemas.openxmlformats.org/officeDocument/2006/relationships/hyperlink" Target="http://www.sec.gov/Archives/edgar/data/1871638/000110465924112666/tm2418197-13_s4a.htm#tANNEXA3" TargetMode="External"/><Relationship Id="rId249" Type="http://schemas.openxmlformats.org/officeDocument/2006/relationships/hyperlink" Target="http://www.sec.gov/Archives/edgar/data/1871638/000110465924122026/tm2418197-20_s4a.htm#tANNEXA4" TargetMode="External"/><Relationship Id="rId250" Type="http://schemas.openxmlformats.org/officeDocument/2006/relationships/hyperlink" Target="http://www.sec.gov/Archives/edgar/data/1871638/000119312525008517/d903961dex31.htm" TargetMode="External"/><Relationship Id="rId251" Type="http://schemas.openxmlformats.org/officeDocument/2006/relationships/hyperlink" Target="http://www.sec.gov/Archives/edgar/data/1871638/000119312525008517/d903961dex32.htm" TargetMode="External"/><Relationship Id="rId252" Type="http://schemas.openxmlformats.org/officeDocument/2006/relationships/hyperlink" Target="http://www.sec.gov/Archives/edgar/data/1871638/000110465921141949/tm2124406d5_ex4-2.htm" TargetMode="External"/><Relationship Id="rId253" Type="http://schemas.openxmlformats.org/officeDocument/2006/relationships/hyperlink" Target="http://www.sec.gov/Archives/edgar/data/1871638/000110465921141949/tm2124406d5_ex4-3.htm" TargetMode="External"/><Relationship Id="rId254" Type="http://schemas.openxmlformats.org/officeDocument/2006/relationships/hyperlink" Target="http://www.sec.gov/Archives/edgar/data/1871638/000110465921150569/tm2135631d1_ex4-1.htm" TargetMode="External"/><Relationship Id="rId255" Type="http://schemas.openxmlformats.org/officeDocument/2006/relationships/hyperlink" Target="http://www.sec.gov/Archives/edgar/data/0001871638/000119312525280252/bzai-ex10_5.htm" TargetMode="External"/><Relationship Id="rId256" Type="http://schemas.openxmlformats.org/officeDocument/2006/relationships/hyperlink" Target="http://www.sec.gov/Archives/edgar/data/0001871638/000119312525008517/d903961dex101.htm" TargetMode="External"/><Relationship Id="rId257" Type="http://schemas.openxmlformats.org/officeDocument/2006/relationships/hyperlink" Target="http://www.sec.gov/Archives/edgar/data/1871638/000110465921150569/tm2135631d1_ex10-2.htm" TargetMode="External"/><Relationship Id="rId259" Type="http://schemas.openxmlformats.org/officeDocument/2006/relationships/hyperlink" Target="http://www.sec.gov/Archives/edgar/data/0001871638/000119312525008517/d903961dex103.htm" TargetMode="External"/><Relationship Id="rId260" Type="http://schemas.openxmlformats.org/officeDocument/2006/relationships/hyperlink" Target="http://www.sec.gov/Archives/edgar/data/0001871638/000119312525008517/d903961dex104.htm" TargetMode="External"/><Relationship Id="rId261" Type="http://schemas.openxmlformats.org/officeDocument/2006/relationships/hyperlink" Target="http://www.sec.gov/Archives/edgar/data/0001871638/000119312525008517/d903961dex105.htm" TargetMode="External"/><Relationship Id="rId262" Type="http://schemas.openxmlformats.org/officeDocument/2006/relationships/hyperlink" Target="http://www.sec.gov/Archives/edgar/data/0001871638/000119312525008517/d903961dex106.htm" TargetMode="External"/><Relationship Id="rId263" Type="http://schemas.openxmlformats.org/officeDocument/2006/relationships/hyperlink" Target="http://www.sec.gov/Archives/edgar/data/0001871638/000119312525008517/d903961dex107.htm" TargetMode="External"/><Relationship Id="rId264" Type="http://schemas.openxmlformats.org/officeDocument/2006/relationships/hyperlink" Target="http://www.sec.gov/Archives/edgar/data/0001871638/000119312525008517/d903961dex108.htm" TargetMode="External"/><Relationship Id="rId265" Type="http://schemas.openxmlformats.org/officeDocument/2006/relationships/hyperlink" Target="http://www.sec.gov/Archives/edgar/data/1871638/000110465924132802/tm2431152d1_ex10-1.htm" TargetMode="External"/><Relationship Id="rId266" Type="http://schemas.openxmlformats.org/officeDocument/2006/relationships/hyperlink" Target="http://www.sec.gov/Archives/edgar/data/1871638/000110465925001763/tm252173d1_ex10-1.htm" TargetMode="External"/><Relationship Id="rId267" Type="http://schemas.openxmlformats.org/officeDocument/2006/relationships/hyperlink" Target="http://www.sec.gov/Archives/edgar/data/0001871638/000119312525008517/d903961dex1011.htm" TargetMode="External"/><Relationship Id="rId268" Type="http://schemas.openxmlformats.org/officeDocument/2006/relationships/hyperlink" Target="http://www.sec.gov/Archives/edgar/data/0001871638/000119312525008517/d903961dex1012.htm" TargetMode="External"/><Relationship Id="rId269" Type="http://schemas.openxmlformats.org/officeDocument/2006/relationships/hyperlink" Target="http://www.sec.gov/Archives/edgar/data/0001871638/000119312525008517/d903961dex1013.htm" TargetMode="External"/><Relationship Id="rId270" Type="http://schemas.openxmlformats.org/officeDocument/2006/relationships/hyperlink" Target="http://www.sec.gov/Archives/edgar/data/0001871638/000119312525008517/d903961dex1014.htm" TargetMode="External"/><Relationship Id="rId271" Type="http://schemas.openxmlformats.org/officeDocument/2006/relationships/hyperlink" Target="http://www.sec.gov/Archives/edgar/data/0001871638/000119312525008517/d903961dex1015.htm" TargetMode="External"/><Relationship Id="rId272" Type="http://schemas.openxmlformats.org/officeDocument/2006/relationships/hyperlink" Target="http://www.sec.gov/Archives/edgar/data/0001871638/000119312525008517/d903961dex1016.htm" TargetMode="External"/><Relationship Id="rId273" Type="http://schemas.openxmlformats.org/officeDocument/2006/relationships/hyperlink" Target="http://www.sec.gov/Archives/edgar/data/0001871638/000119312525008517/d903961dex1017.htm" TargetMode="External"/><Relationship Id="rId274" Type="http://schemas.openxmlformats.org/officeDocument/2006/relationships/hyperlink" Target="http://www.sec.gov/Archives/edgar/data/0001871638/000119312525008517/d903961dex1018.htm" TargetMode="External"/><Relationship Id="rId275" Type="http://schemas.openxmlformats.org/officeDocument/2006/relationships/hyperlink" Target="http://www.sec.gov/Archives/edgar/data/0001871638/000119312525008517/d903961dex1019.htm" TargetMode="External"/><Relationship Id="rId276" Type="http://schemas.openxmlformats.org/officeDocument/2006/relationships/hyperlink" Target="http://www.sec.gov/Archives/edgar/data/0001871638/000119312525008517/d903961dex1020.htm" TargetMode="External"/><Relationship Id="rId277" Type="http://schemas.openxmlformats.org/officeDocument/2006/relationships/hyperlink" Target="http://www.sec.gov/Archives/edgar/data/0001871638/000119312525008517/d903961dex1021.htm" TargetMode="External"/><Relationship Id="rId278" Type="http://schemas.openxmlformats.org/officeDocument/2006/relationships/hyperlink" Target="http://www.sec.gov/Archives/edgar/data/0001871638/000119312525008517/d903961dex1022.htm" TargetMode="External"/><Relationship Id="rId279" Type="http://schemas.openxmlformats.org/officeDocument/2006/relationships/hyperlink" Target="http://www.sec.gov/Archives/edgar/data/1871638/000119312525152119/d868639dex101.htm" TargetMode="External"/><Relationship Id="rId281" Type="http://schemas.openxmlformats.org/officeDocument/2006/relationships/hyperlink" Target="http://www.sec.gov/Archives/edgar/data/1871638/000119312525158997/d13627dex101.htm" TargetMode="External"/><Relationship Id="rId282" Type="http://schemas.openxmlformats.org/officeDocument/2006/relationships/hyperlink" Target="http://www.sec.gov/Archives/edgar/data/1871638/000119312525158997/d13627dex102.htm" TargetMode="External"/><Relationship Id="rId283" Type="http://schemas.openxmlformats.org/officeDocument/2006/relationships/hyperlink" Target="http://www.sec.gov/Archives/edgar/data/0001871638/000119312525280252/bzai-ex10_4.htm" TargetMode="External"/><Relationship Id="rId284" Type="http://schemas.openxmlformats.org/officeDocument/2006/relationships/hyperlink" Target="http://www.sec.gov/Archives/edgar/data/0001871638/000119312525280252/bzai-ex10_6.htm" TargetMode="External"/><Relationship Id="rId285" Type="http://schemas.openxmlformats.org/officeDocument/2006/relationships/hyperlink" Target="http://www.sec.gov/Archives/edgar/data/0001871638/000119312525008517/d90396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2025-11-28T16:05:00Z</dcterms:created>
  <dcterms:modified xsi:type="dcterms:W3CDTF">2025-11-28T16:05:00Z</dcterms:modified>
</cp:coreProperties>
</file>