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Golden Leon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740" w:type="dxa"/>
            <w:vAlign w:val="bottom"/>
            <w:vMerge w:val="restart"/>
          </w:tcPr>
          <w:p>
            <w:pPr>
              <w:ind w:left="320"/>
              <w:spacing w:after="0"/>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directly or indirectly, a member of our sponsor or has direct or indirect economic interests in our sponsor, and may be deemed to have beneficial ownership of the securities held directly by the Sponsor, and disclaims any beneficial ownership of the reported securities other than to the extent of any pecuniary interest he may have therein, directly or indirectly.</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Leon Golden</w:t>
            </w:r>
          </w:p>
        </w:tc>
        <w:tc>
          <w:tcPr>
            <w:tcW w:w="9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7868"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2021-12-10T21:09:20Z</dcterms:created>
  <dcterms:modified xsi:type="dcterms:W3CDTF">2021-12-10T21:09:20Z</dcterms:modified>
</cp:coreProperties>
</file>