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14, 2025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001-41139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86-2708752</w:t>
      </w:r>
    </w:p>
    <w:p>
      <w:pPr>
        <w:spacing w:after="0" w:line="24" w:lineRule="exact"/>
        <w:rPr>
          <w:sz w:val="24"/>
          <w:szCs w:val="24"/>
          <w:color w:val="auto"/>
        </w:rPr>
      </w:pPr>
    </w:p>
    <w:p>
      <w:pPr>
        <w:sectPr>
          <w:pgSz w:w="11900" w:h="16838" w:orient="portrait"/>
          <w:cols w:equalWidth="0" w:num="3">
            <w:col w:w="4524" w:space="720"/>
            <w:col w:w="286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4659 Golden Foothill Parkway, Suite 206</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El Dorado Hills,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95762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Amendment No. 2 to the Current Report on Form 8-K/A is being filed with the Securities and Exchange Commission (“SEC”) to amend the Current Report filed by Blaize Holdings, Inc. (the “Company”) on January 17, 2025 (as amended on February 7, 2025, the “Existing 8-K”).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filing this Amendment No. 2 to the Existing 8-K to include:</w:t>
      </w:r>
    </w:p>
    <w:p>
      <w:pPr>
        <w:spacing w:after="0" w:line="131" w:lineRule="exact"/>
        <w:rPr>
          <w:sz w:val="20"/>
          <w:szCs w:val="20"/>
          <w:color w:val="auto"/>
        </w:rPr>
      </w:pPr>
    </w:p>
    <w:p>
      <w:pPr>
        <w:ind w:left="960" w:right="3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Blaize, Inc. (“Blaize”), as of and for the years ended December 31, 2024 and 2023 as Exhibit 99.1;</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of the Company and Blaize as of and for the year ended December 31, 2024 as Exhibit 99.2; and</w:t>
      </w:r>
    </w:p>
    <w:p>
      <w:pPr>
        <w:spacing w:after="0" w:line="67"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Management’s Discussion and Analysis of Financial Conditions and Results of Operations of Blaize as of and for the years ended December 31, 2024 and 2023 as Exhibit 99.3.</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Amendment No. 2 does not amend any other item of the Existing 8-K or purport to provide an update or a discussion of any developments at the Company or its subsidiaries subsequent to the filing date of the Existing 8-K. The Existing 8-K remains unchanged.</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Blaize as of and for the years ended December 31, 2024 and 2023, and the related notes thereto, are attached as Exhibit 99.1 hereto and are incorporated herein by reference.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of Blaize as of and for the years ended December 31, 2024 and 2023 is attached hereto as Exhibit 99.3 and incorporated herein by reference.</w:t>
      </w:r>
    </w:p>
    <w:p>
      <w:pPr>
        <w:spacing w:after="0" w:line="310"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11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of the Company and Blaize as of and for the year ended December 31, 2024 is attached hereto as Exhibit 99.2 and incorporated herein by reference.</w:t>
      </w:r>
    </w:p>
    <w:p>
      <w:pPr>
        <w:spacing w:after="0" w:line="310"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18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Audited consolidated financial statements of Blaize, Inc., as of and for the years ended December 31, 2024 and 2023.</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8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 of Blaize Holdings, Inc. and Blaize, Inc. as of and for the year ended</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2024.</w:t>
            </w:r>
          </w:p>
        </w:tc>
        <w:tc>
          <w:tcPr>
            <w:tcW w:w="8340" w:type="dxa"/>
            <w:vAlign w:val="bottom"/>
            <w:gridSpan w:val="6"/>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40" w:type="dxa"/>
            <w:vAlign w:val="bottom"/>
          </w:tcPr>
          <w:p>
            <w:pPr>
              <w:spacing w:after="0"/>
              <w:rPr>
                <w:sz w:val="24"/>
                <w:szCs w:val="24"/>
                <w:color w:val="auto"/>
              </w:rPr>
            </w:pPr>
          </w:p>
        </w:tc>
        <w:tc>
          <w:tcPr>
            <w:tcW w:w="9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Conditions and Results of Operations of Blaize, Inc. as of and for the years ended</w:t>
            </w:r>
          </w:p>
        </w:tc>
        <w:tc>
          <w:tcPr>
            <w:tcW w:w="1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December 31, 2024 and 2023.</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40"/>
          </w:cols>
          <w:pgMar w:left="440"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For the Years Ended December 31, 2024 and 2023</w:t>
      </w:r>
    </w:p>
    <w:p>
      <w:pPr>
        <w:sectPr>
          <w:pgSz w:w="11900" w:h="16838" w:orient="portrait"/>
          <w:cols w:equalWidth="0" w:num="1">
            <w:col w:w="10020"/>
          </w:cols>
          <w:pgMar w:left="1440" w:top="117" w:right="4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0"/>
        </w:trPr>
        <w:tc>
          <w:tcPr>
            <w:tcW w:w="10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00" w:type="dxa"/>
            <w:vAlign w:val="bottom"/>
          </w:tcPr>
          <w:p>
            <w:pPr>
              <w:spacing w:after="0"/>
              <w:rPr>
                <w:sz w:val="19"/>
                <w:szCs w:val="19"/>
                <w:color w:val="auto"/>
              </w:rPr>
            </w:pP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Redeemable Convertible Preferred Stock and Stockholders’ Deficit for the Years Ended December 31, 2024 and</w:t>
            </w:r>
          </w:p>
        </w:tc>
        <w:tc>
          <w:tcPr>
            <w:tcW w:w="600" w:type="dxa"/>
            <w:vAlign w:val="bottom"/>
          </w:tcPr>
          <w:p>
            <w:pPr>
              <w:spacing w:after="0"/>
              <w:rPr>
                <w:sz w:val="18"/>
                <w:szCs w:val="18"/>
                <w:color w:val="auto"/>
              </w:rPr>
            </w:pPr>
          </w:p>
        </w:tc>
      </w:tr>
      <w:tr>
        <w:trPr>
          <w:trHeight w:val="216"/>
        </w:trPr>
        <w:tc>
          <w:tcPr>
            <w:tcW w:w="10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364"/>
        </w:trPr>
        <w:tc>
          <w:tcPr>
            <w:tcW w:w="10360" w:type="dxa"/>
            <w:vAlign w:val="bottom"/>
          </w:tcPr>
          <w:p>
            <w:pPr>
              <w:ind w:left="5460"/>
              <w:spacing w:after="0"/>
              <w:rPr>
                <w:sz w:val="20"/>
                <w:szCs w:val="20"/>
                <w:color w:val="auto"/>
              </w:rPr>
            </w:pPr>
            <w:r>
              <w:rPr>
                <w:rFonts w:ascii="Times New Roman" w:cs="Times New Roman" w:eastAsia="Times New Roman" w:hAnsi="Times New Roman"/>
                <w:sz w:val="18"/>
                <w:szCs w:val="18"/>
                <w:b w:val="1"/>
                <w:bCs w:val="1"/>
                <w:color w:val="auto"/>
              </w:rPr>
              <w:t>2</w:t>
            </w:r>
          </w:p>
        </w:tc>
        <w:tc>
          <w:tcPr>
            <w:tcW w:w="6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5" w:name="page6"/>
    <w:bookmarkEnd w:id="5"/>
    <w:p>
      <w:pPr>
        <w:ind w:left="2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Inc. and Subsidiaries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p>
      <w:pPr>
        <w:sectPr>
          <w:pgSz w:w="11900" w:h="16838" w:orient="portrait"/>
          <w:cols w:equalWidth="0" w:num="1">
            <w:col w:w="10980"/>
          </w:cols>
          <w:pgMar w:left="440" w:top="266" w:right="47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w:t>
      </w:r>
    </w:p>
    <w:p>
      <w:pPr>
        <w:sectPr>
          <w:pgSz w:w="11900" w:h="16838" w:orient="portrait"/>
          <w:cols w:equalWidth="0" w:num="1">
            <w:col w:w="10880"/>
          </w:cols>
          <w:pgMar w:left="440" w:top="270" w:right="579" w:bottom="1440" w:gutter="0" w:footer="0" w:header="0"/>
        </w:sectPr>
      </w:pPr>
    </w:p>
    <w:bookmarkStart w:id="7" w:name="page8"/>
    <w:bookmarkEnd w:id="7"/>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50,237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8,561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6,522</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2,836</w:t>
            </w:r>
          </w:p>
        </w:tc>
      </w:tr>
      <w:tr>
        <w:trPr>
          <w:trHeight w:val="223"/>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Demand notes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4,750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14,925</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7,464</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 portion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14,711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14,641</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47,876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3,730</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8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18,064</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December 31, 2024 and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 44,494,703 shares issued and outstanding at December 31, 2024 and 2023, respectively; liquidation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of $173,347 as of December 31, 2024 and 2023, respectively</w:t>
            </w:r>
          </w:p>
        </w:tc>
        <w:tc>
          <w:tcPr>
            <w:tcW w:w="8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173,347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173,347</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2024 and 2023, respectively;</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17,519,999 and 17,454,353 shares issued and outstanding as of December 31, 2024 and 2023, respectively</w:t>
            </w:r>
          </w:p>
        </w:tc>
        <w:tc>
          <w:tcPr>
            <w:tcW w:w="8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124,225 shares at December 31, 2024 and 2023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141,496</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(429,251)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(368,056)</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(283,810</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(226,560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0"/>
        </w:trPr>
        <w:tc>
          <w:tcPr>
            <w:tcW w:w="9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w:t>
      </w:r>
    </w:p>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6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Pr>
          <w:p>
            <w:pPr>
              <w:spacing w:after="0"/>
              <w:rPr>
                <w:sz w:val="18"/>
                <w:szCs w:val="18"/>
                <w:color w:val="auto"/>
              </w:rPr>
            </w:pP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17,303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0" w:type="dxa"/>
            <w:vAlign w:val="bottom"/>
          </w:tcPr>
          <w:p>
            <w:pPr>
              <w:spacing w:after="0"/>
              <w:rPr>
                <w:sz w:val="1"/>
                <w:szCs w:val="1"/>
                <w:color w:val="auto"/>
              </w:rPr>
            </w:pPr>
          </w:p>
        </w:tc>
      </w:tr>
      <w:tr>
        <w:trPr>
          <w:trHeight w:val="223"/>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(88,187)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 diluted</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17,476,105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4,213,244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w:t>
      </w:r>
    </w:p>
    <w:p>
      <w:pPr>
        <w:sectPr>
          <w:pgSz w:w="11900" w:h="16838" w:orient="portrait"/>
          <w:cols w:equalWidth="0" w:num="1">
            <w:col w:w="11020"/>
          </w:cols>
          <w:pgMar w:left="440" w:top="266" w:right="439" w:bottom="1440" w:gutter="0" w:footer="0" w:header="0"/>
        </w:sectPr>
      </w:pPr>
    </w:p>
    <w:bookmarkStart w:id="9" w:name="page10"/>
    <w:bookmarkEnd w:id="9"/>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640" w:type="dxa"/>
            <w:vAlign w:val="bottom"/>
          </w:tcPr>
          <w:p>
            <w:pPr>
              <w:spacing w:after="0"/>
              <w:rPr>
                <w:sz w:val="3"/>
                <w:szCs w:val="3"/>
                <w:color w:val="auto"/>
              </w:rPr>
            </w:pPr>
          </w:p>
        </w:tc>
        <w:tc>
          <w:tcPr>
            <w:tcW w:w="178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3"/>
                <w:szCs w:val="3"/>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64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1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2"/>
                <w:szCs w:val="12"/>
                <w:color w:val="auto"/>
              </w:rPr>
            </w:pP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7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9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80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16,498,279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6,143,294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209,928</w:t>
            </w:r>
          </w:p>
        </w:tc>
        <w:tc>
          <w:tcPr>
            <w:tcW w:w="2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(280,467)</w:t>
            </w:r>
          </w:p>
        </w:tc>
        <w:tc>
          <w:tcPr>
            <w:tcW w:w="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(70,539)</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 Shadow Preferred in</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Pay-to-Play Pull</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Through Exchange at redemption</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27,996,424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109,327</w:t>
            </w:r>
          </w:p>
        </w:tc>
        <w:tc>
          <w:tcPr>
            <w:tcW w:w="18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(2,799,634)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(109,327)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(109,327)</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 common stock in</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rights offering</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8,109,693</w:t>
            </w:r>
          </w:p>
        </w:tc>
        <w:tc>
          <w:tcPr>
            <w:tcW w:w="22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6,000,000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35,771</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Debt financing charge on</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44,494,703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17,454,353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124,225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141,496</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(368,056)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65,646</w:t>
            </w: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(61,195)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44,494,703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17,519,999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124,225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145,441</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(429,251)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(283,810)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w:t>
      </w:r>
    </w:p>
    <w:p>
      <w:pPr>
        <w:sectPr>
          <w:pgSz w:w="11900" w:h="16838" w:orient="portrait"/>
          <w:cols w:equalWidth="0" w:num="1">
            <w:col w:w="11020"/>
          </w:cols>
          <w:pgMar w:left="440" w:top="266" w:right="439" w:bottom="1440" w:gutter="0" w:footer="0" w:header="0"/>
        </w:sectPr>
      </w:pPr>
    </w:p>
    <w:bookmarkStart w:id="10" w:name="page11"/>
    <w:bookmarkEnd w:id="10"/>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(61,195)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Credit loss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Noncash loss on lease termination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(27,955)</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92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Pay-to-Play convertible notes and Common Rights Offering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110,718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 term demand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short term demand notes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92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101,709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50,488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Reissuance of Shadow Preferred in Pay-to-Play Pull Through Exchange at redemption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109,327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acquired in accounts payable &amp;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of gain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deferred offering costs included in accounting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ectPr>
          <w:pgSz w:w="11900" w:h="16838" w:orient="portrait"/>
          <w:cols w:equalWidth="0" w:num="1">
            <w:col w:w="11020"/>
          </w:cols>
          <w:pgMar w:left="440" w:top="266" w:right="439" w:bottom="1440" w:gutter="0" w:footer="0" w:header="0"/>
        </w:sectPr>
      </w:pP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w:t>
      </w:r>
    </w:p>
    <w:p>
      <w:pPr>
        <w:sectPr>
          <w:pgSz w:w="11900" w:h="16838" w:orient="portrait"/>
          <w:cols w:equalWidth="0" w:num="1">
            <w:col w:w="11020"/>
          </w:cols>
          <w:pgMar w:left="440" w:top="266" w:right="43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As of December 31, 2024, there has not been an operating agreement executed between the Company and the holder of the 65% interest that would make the Company the primary beneficiary of this new legal entity. The newly established entity has incurred insignificant expenses since its incorporation.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(“Blaize Holdings”). Beginning on January 14, 2025, Blaize Holdings’ common stock and warrants trade on NASDAQ under the ticker symbols “BZAI” and “BZAIW”, respectively.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of BurTech (the “Sponsor”) and with the close of the Merger either BurTech LP LLC or its affiliated entities, has remained a significant shareholder in Blaize Holdings.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exchange and other financing-related matters associated with the Merger are summarized as follows: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w:t>
      </w:r>
    </w:p>
    <w:p>
      <w:pPr>
        <w:sectPr>
          <w:pgSz w:w="11900" w:h="16838" w:orient="portrait"/>
          <w:cols w:equalWidth="0" w:num="1">
            <w:col w:w="10980"/>
          </w:cols>
          <w:pgMar w:left="440" w:top="266" w:right="479" w:bottom="1440" w:gutter="0" w:footer="0" w:header="0"/>
        </w:sectPr>
      </w:pPr>
    </w:p>
    <w:bookmarkStart w:id="12" w:name="page13"/>
    <w:bookmarkEnd w:id="12"/>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Promissory Notes and Equity</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Immediately before the closing of the Merger, the convertible notes outstanding plus all accrued and unpaid interest, each of the issued and outstanding shares of redeemable convertible preferred stock, and all outstanding warrants, net exercised, were automatically converted into shares of the Company’s common stock. Upon the consummation of the Merger, each share of the Company’s common stock issued and outstanding were canceled and converted into the right to receive shares of Blaize Holdings Class A common stock and each share of Merger Sub Capital Stock was converted into one share of Blaize Holdings Class A common stock, par value $0.0001.</w:t>
      </w:r>
    </w:p>
    <w:p>
      <w:pPr>
        <w:spacing w:after="0" w:line="183" w:lineRule="exact"/>
        <w:rPr>
          <w:sz w:val="20"/>
          <w:szCs w:val="20"/>
          <w:color w:val="auto"/>
        </w:rPr>
      </w:pPr>
    </w:p>
    <w:p>
      <w:pPr>
        <w:ind w:left="4" w:right="20"/>
        <w:spacing w:after="0" w:line="276" w:lineRule="auto"/>
        <w:rPr>
          <w:sz w:val="20"/>
          <w:szCs w:val="20"/>
          <w:color w:val="auto"/>
        </w:rPr>
      </w:pPr>
      <w:r>
        <w:rPr>
          <w:rFonts w:ascii="Times New Roman" w:cs="Times New Roman" w:eastAsia="Times New Roman" w:hAnsi="Times New Roman"/>
          <w:sz w:val="17"/>
          <w:szCs w:val="17"/>
          <w:color w:val="auto"/>
        </w:rPr>
        <w:t>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w:t>
      </w:r>
    </w:p>
    <w:p>
      <w:pPr>
        <w:spacing w:after="0" w:line="1" w:lineRule="exact"/>
        <w:rPr>
          <w:sz w:val="20"/>
          <w:szCs w:val="20"/>
          <w:color w:val="auto"/>
        </w:rPr>
      </w:pPr>
    </w:p>
    <w:p>
      <w:pPr>
        <w:ind w:left="4" w:right="460" w:hanging="4"/>
        <w:spacing w:after="0" w:line="290" w:lineRule="auto"/>
        <w:tabs>
          <w:tab w:leader="none" w:pos="26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Concurrent with the Closing Date, holders of the Company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81" w:lineRule="exact"/>
        <w:rPr>
          <w:sz w:val="20"/>
          <w:szCs w:val="20"/>
          <w:color w:val="auto"/>
        </w:rPr>
      </w:pPr>
    </w:p>
    <w:p>
      <w:pPr>
        <w:ind w:left="964"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w:t>
      </w:r>
    </w:p>
    <w:p>
      <w:pPr>
        <w:ind w:left="1324" w:hanging="352"/>
        <w:spacing w:after="0"/>
        <w:tabs>
          <w:tab w:leader="none" w:pos="13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w:t>
      </w:r>
    </w:p>
    <w:p>
      <w:pPr>
        <w:ind w:left="1324" w:hanging="352"/>
        <w:spacing w:after="0"/>
        <w:tabs>
          <w:tab w:leader="none" w:pos="13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w:t>
      </w:r>
    </w:p>
    <w:p>
      <w:pPr>
        <w:ind w:left="1324" w:hanging="352"/>
        <w:spacing w:after="0"/>
        <w:tabs>
          <w:tab w:leader="none" w:pos="13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w:t>
      </w:r>
    </w:p>
    <w:p>
      <w:pPr>
        <w:ind w:left="1324" w:hanging="352"/>
        <w:spacing w:after="0"/>
        <w:tabs>
          <w:tab w:leader="none" w:pos="13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207"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10</w:t>
      </w:r>
    </w:p>
    <w:p>
      <w:pPr>
        <w:sectPr>
          <w:pgSz w:w="11900" w:h="16838" w:orient="portrait"/>
          <w:cols w:equalWidth="0" w:num="1">
            <w:col w:w="10984"/>
          </w:cols>
          <w:pgMar w:left="436" w:top="266" w:right="4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Merger: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Blaize Warrants</w:t>
      </w:r>
    </w:p>
    <w:p>
      <w:pPr>
        <w:spacing w:after="0" w:line="121" w:lineRule="exact"/>
        <w:rPr>
          <w:sz w:val="20"/>
          <w:szCs w:val="20"/>
          <w:color w:val="auto"/>
        </w:rPr>
      </w:pPr>
    </w:p>
    <w:p>
      <w:pPr>
        <w:ind w:left="440" w:right="840"/>
        <w:spacing w:after="0" w:line="282" w:lineRule="auto"/>
        <w:rPr>
          <w:sz w:val="20"/>
          <w:szCs w:val="20"/>
          <w:color w:val="auto"/>
        </w:rPr>
      </w:pPr>
      <w:r>
        <w:rPr>
          <w:rFonts w:ascii="Times New Roman" w:cs="Times New Roman" w:eastAsia="Times New Roman" w:hAnsi="Times New Roman"/>
          <w:sz w:val="18"/>
          <w:szCs w:val="18"/>
          <w:color w:val="auto"/>
        </w:rPr>
        <w:t>On January 13, 2025, upon closing of the Merger, 28,750,000 of public warrants and 898,250 of private warrants of BurTech that were outstanding immediately before to the Merger became warrants of Blaize Holdings.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121"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Sponsor Note</w:t>
      </w:r>
    </w:p>
    <w:p>
      <w:pPr>
        <w:spacing w:after="0" w:line="121"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w:t>
      </w:r>
    </w:p>
    <w:p>
      <w:pPr>
        <w:sectPr>
          <w:pgSz w:w="11900" w:h="16838" w:orient="portrait"/>
          <w:cols w:equalWidth="0" w:num="1">
            <w:col w:w="10980"/>
          </w:cols>
          <w:pgMar w:left="440" w:top="266" w:right="479" w:bottom="1440" w:gutter="0" w:footer="0" w:header="0"/>
        </w:sectPr>
      </w:pPr>
    </w:p>
    <w:bookmarkStart w:id="14" w:name="page15"/>
    <w:bookmarkEnd w:id="14"/>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71120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and around December 31, 2024, BurTech entered into an agreement (“Non-Redemption Agreement”) with one or more unaffiliated stockholders of BurTech (each, an “Investor”) who agreed not to redeem (or validly rescind any redemption requests on) their shares of BurTech Class A common stock, par value $0.0001 per share of BurTech (“Non-Redeemed Shares”). In exchange for the foregoing commitments not to redeem the Non-Redeemed Shares, Blaize and BurTech LP LLC have agreed to guarantee that each Investor receives a return of $1.50 per Non-Redeemed Share whether an Investor (i) sells the Non-Redeemed Shares in the open market or (ii) exercises its option to require Blaize Holdings to repurchase the Non-Redeemed Shares in accordance with the Non-Redemption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Closing Date, Blaize Holdings entered into lock-up agreements (the “Lock-up 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Lock-up 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30-trading day period commencing at least 150 days after the Closing Date and (y) the liquidation of Blaize Holdings.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w:t>
      </w:r>
    </w:p>
    <w:p>
      <w:pPr>
        <w:spacing w:after="0" w:line="81" w:lineRule="exact"/>
        <w:rPr>
          <w:sz w:val="20"/>
          <w:szCs w:val="20"/>
          <w:color w:val="auto"/>
        </w:rPr>
      </w:pPr>
    </w:p>
    <w:p>
      <w:pPr>
        <w:ind w:left="980" w:right="140" w:hanging="331"/>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its operations represent the ongoing operations of the combined entity.</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greatest voting interest in the combined entity.</w:t>
      </w:r>
    </w:p>
    <w:p>
      <w:pPr>
        <w:spacing w:after="0" w:line="130" w:lineRule="exact"/>
        <w:rPr>
          <w:rFonts w:ascii="Times New Roman" w:cs="Times New Roman" w:eastAsia="Times New Roman" w:hAnsi="Times New Roman"/>
          <w:sz w:val="18"/>
          <w:szCs w:val="18"/>
          <w:color w:val="auto"/>
        </w:rPr>
      </w:pPr>
    </w:p>
    <w:p>
      <w:pPr>
        <w:ind w:left="980" w:right="60" w:hanging="331"/>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ability to control decisions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5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12</w:t>
      </w:r>
    </w:p>
    <w:p>
      <w:pPr>
        <w:sectPr>
          <w:pgSz w:w="11900" w:h="16838" w:orient="portrait"/>
          <w:cols w:equalWidth="0" w:num="1">
            <w:col w:w="10520"/>
          </w:cols>
          <w:pgMar w:left="880" w:top="266" w:right="4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1420" w:hanging="331"/>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named Blaize Holdings, Inc., i.e. the combined entity has assumed Blaize’s name.</w:t>
      </w:r>
    </w:p>
    <w:p>
      <w:pPr>
        <w:spacing w:after="0" w:line="117"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December 31, 2024, the Company has funded its operations primarily with cash flows from contributions from founders or other investors and other financing activities. The Company has incurred recurring losses and negative cash flows since its inception, including a net loss of $61.2 million and $87.6 million for the years ended December 31, 2024 and 2023, respectively. As of December 31, 2024, the Company had cash and cash equivalents of approximately $50.2 million, a net working capital deficit of $114.5 million, and an accumulated deficit of $429.3 million.</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going concern through a year from the date these consolidated financial statements are available to be issued.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w:t>
      </w:r>
    </w:p>
    <w:p>
      <w:pPr>
        <w:sectPr>
          <w:pgSz w:w="11900" w:h="16838" w:orient="portrait"/>
          <w:cols w:equalWidth="0" w:num="1">
            <w:col w:w="11020"/>
          </w:cols>
          <w:pgMar w:left="440" w:top="266" w:right="4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cash and cash equivalents balances in excess of domestic and international insurance limits of approximately $49.3 million and $2.2 million, respectively.</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held $30.6 million in U.S. Government treasury securities, $9.2 million in a U.S. Government money market fund, and $5.1 million in mutual funds (see Note 4). As of December 31, 2023, the Company had no cash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December 31, 2024, restricted cash of $0.3 million was included within other assets on the consolidated balance sheets. As of December 31, 2023, the Company had no restricted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14</w:t>
      </w:r>
    </w:p>
    <w:p>
      <w:pPr>
        <w:sectPr>
          <w:pgSz w:w="11900" w:h="16838" w:orient="portrait"/>
          <w:cols w:equalWidth="0" w:num="1">
            <w:col w:w="10960"/>
          </w:cols>
          <w:pgMar w:left="440" w:top="266" w:right="4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As of December 31, 2024 and 2023, the Company’s accounts receivable included zero and approximately $0.5 million, respectively, of unbilled accounts receivable (See Note 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following estimated useful lives: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related lease term or useful life</w:t>
            </w:r>
          </w:p>
        </w:tc>
      </w:tr>
    </w:tbl>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2024 and 2023, the Company had no finance leases.</w:t>
      </w:r>
    </w:p>
    <w:p>
      <w:pPr>
        <w:spacing w:after="0" w:line="18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w:t>
      </w:r>
    </w:p>
    <w:p>
      <w:pPr>
        <w:sectPr>
          <w:pgSz w:w="11900" w:h="16838" w:orient="portrait"/>
          <w:cols w:equalWidth="0" w:num="1">
            <w:col w:w="11020"/>
          </w:cols>
          <w:pgMar w:left="440" w:top="266" w:right="4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feature-by-feature basis and the estimated economic life of a feature is one year. To date, the impact of capitalizing qualifying software development costs has been immaterial.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$11.1 million and $1.5 million, respectively, capitalized deferred offering costs included in prepaid expenses and other current assets on the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not recognize any impairment expense related to its long-lived assets.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w:t>
      </w:r>
    </w:p>
    <w:p>
      <w:pPr>
        <w:sectPr>
          <w:pgSz w:w="11900" w:h="16838" w:orient="portrait"/>
          <w:cols w:equalWidth="0" w:num="1">
            <w:col w:w="11000"/>
          </w:cols>
          <w:pgMar w:left="440" w:top="266" w:right="4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2020-06 </w:t>
      </w:r>
      <w:r>
        <w:rPr>
          <w:rFonts w:ascii="Times New Roman" w:cs="Times New Roman" w:eastAsia="Times New Roman" w:hAnsi="Times New Roman"/>
          <w:sz w:val="18"/>
          <w:szCs w:val="18"/>
          <w:i w:val="1"/>
          <w:iCs w:val="1"/>
          <w:color w:val="auto"/>
        </w:rPr>
        <w:t>Debt—Debt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 xml:space="preserve">(ASU 2020-06). The Company has elected to account for its convertible notes at fair value at each period end pursuant to ASC 825,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wherein changes in the fair value are recorded as change in fair value of convertible notes in the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w:t>
      </w:r>
    </w:p>
    <w:p>
      <w:pPr>
        <w:sectPr>
          <w:pgSz w:w="11900" w:h="16838" w:orient="portrait"/>
          <w:cols w:equalWidth="0" w:num="1">
            <w:col w:w="10980"/>
          </w:cols>
          <w:pgMar w:left="440" w:top="266" w:right="4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w:t>
      </w:r>
    </w:p>
    <w:p>
      <w:pPr>
        <w:sectPr>
          <w:pgSz w:w="11900" w:h="16838" w:orient="portrait"/>
          <w:cols w:equalWidth="0" w:num="1">
            <w:col w:w="11000"/>
          </w:cols>
          <w:pgMar w:left="440" w:top="266" w:right="4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2024 and 2023 (in thousands):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7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$ 1,830</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(1,100)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$ 1,100</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were immaterial for the years ended December 31, 2024 and 2023,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w:t>
      </w:r>
    </w:p>
    <w:p>
      <w:pPr>
        <w:sectPr>
          <w:pgSz w:w="11900" w:h="16838" w:orient="portrait"/>
          <w:cols w:equalWidth="0" w:num="1">
            <w:col w:w="10980"/>
          </w:cols>
          <w:pgMar w:left="440" w:top="266" w:right="4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 xml:space="preserve">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requires fair value measurements be classified and disclosed in one of the following pricing categories:</w:t>
      </w:r>
    </w:p>
    <w:p>
      <w:pPr>
        <w:spacing w:after="0" w:line="16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58"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or for which all significant inputs are observable or can be corroborated by observable market data, either directly or indirectly, for substantially the full term of the asset or liability.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w:t>
      </w:r>
    </w:p>
    <w:p>
      <w:pPr>
        <w:sectPr>
          <w:pgSz w:w="11900" w:h="16838" w:orient="portrait"/>
          <w:cols w:equalWidth="0" w:num="1">
            <w:col w:w="11000"/>
          </w:cols>
          <w:pgMar w:left="440" w:top="266" w:right="45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 allowing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consolidated statements of operations. During the year ended December 31, 2024, foreign currency transaction losses of $0.2 million was included in other income (expense), net in the consolidated statements of operations. During the year ended December 31, 2023, foreign currency transaction gain was immaterial.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 institution may at times exceed the Federal Depository Insurance coverage of $250,000. Investments in money markets are not insured or guaranteed by the FDIC or any other government agency.</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its customers’ financial conditions.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the Company’s accounts receivable. As of December 31, 2023, one customer, a related party, accounted for approximately 98% of the Company’s accounts receivable (see Note 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two customers, both related parties, accounted for approximately 77% and 21% of the Company’s revenue.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one customer, a related party, accounted for nearly 100% of the Company’s revenue (see Note 13).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w:t>
      </w:r>
    </w:p>
    <w:p>
      <w:pPr>
        <w:sectPr>
          <w:pgSz w:w="11900" w:h="16838" w:orient="portrait"/>
          <w:cols w:equalWidth="0" w:num="1">
            <w:col w:w="10960"/>
          </w:cols>
          <w:pgMar w:left="440" w:top="266" w:right="499" w:bottom="1440" w:gutter="0" w:footer="0" w:header="0"/>
        </w:sectPr>
      </w:pPr>
    </w:p>
    <w:bookmarkStart w:id="24" w:name="page25"/>
    <w:bookmarkEnd w:id="2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4" w:right="260"/>
        <w:spacing w:after="0" w:line="272"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w:t>
      </w:r>
    </w:p>
    <w:p>
      <w:pPr>
        <w:spacing w:after="0" w:line="2" w:lineRule="exact"/>
        <w:rPr>
          <w:sz w:val="20"/>
          <w:szCs w:val="20"/>
          <w:color w:val="auto"/>
        </w:rPr>
      </w:pPr>
    </w:p>
    <w:p>
      <w:pPr>
        <w:ind w:left="4"/>
        <w:spacing w:after="0" w:line="260" w:lineRule="auto"/>
        <w:rPr>
          <w:sz w:val="20"/>
          <w:szCs w:val="20"/>
          <w:color w:val="auto"/>
        </w:rPr>
      </w:pPr>
      <w:r>
        <w:rPr>
          <w:rFonts w:ascii="Times New Roman" w:cs="Times New Roman" w:eastAsia="Times New Roman" w:hAnsi="Times New Roman"/>
          <w:sz w:val="18"/>
          <w:szCs w:val="18"/>
          <w:color w:val="auto"/>
        </w:rPr>
        <w:t>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4" w:right="100"/>
        <w:spacing w:after="0" w:line="269" w:lineRule="auto"/>
        <w:rPr>
          <w:sz w:val="20"/>
          <w:szCs w:val="20"/>
          <w:color w:val="auto"/>
        </w:rPr>
      </w:pPr>
      <w:r>
        <w:rPr>
          <w:rFonts w:ascii="Times New Roman" w:cs="Times New Roman" w:eastAsia="Times New Roman" w:hAnsi="Times New Roman"/>
          <w:sz w:val="17"/>
          <w:szCs w:val="17"/>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3" w:lineRule="exact"/>
        <w:rPr>
          <w:sz w:val="20"/>
          <w:szCs w:val="20"/>
          <w:color w:val="auto"/>
        </w:rPr>
      </w:pPr>
    </w:p>
    <w:p>
      <w:pPr>
        <w:ind w:left="4" w:right="20" w:hanging="4"/>
        <w:spacing w:after="0" w:line="260"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w:t>
      </w:r>
    </w:p>
    <w:p>
      <w:pPr>
        <w:spacing w:after="0" w:line="180" w:lineRule="exact"/>
        <w:rPr>
          <w:sz w:val="20"/>
          <w:szCs w:val="20"/>
          <w:color w:val="auto"/>
        </w:rPr>
      </w:pPr>
    </w:p>
    <w:p>
      <w:pPr>
        <w:ind w:left="4" w:right="160"/>
        <w:spacing w:after="0" w:line="281"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w:t>
      </w:r>
      <w:r>
        <w:rPr>
          <w:rFonts w:ascii="Times New Roman" w:cs="Times New Roman" w:eastAsia="Times New Roman" w:hAnsi="Times New Roman"/>
          <w:sz w:val="17"/>
          <w:szCs w:val="17"/>
          <w:color w:val="auto"/>
        </w:rPr>
        <w:t>. The FASB issued authoritative guidance that clarifies that an acquirer of a business should recognize and measure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w:t>
      </w:r>
    </w:p>
    <w:p>
      <w:pPr>
        <w:spacing w:after="0" w:line="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22</w:t>
      </w:r>
    </w:p>
    <w:p>
      <w:pPr>
        <w:sectPr>
          <w:pgSz w:w="11900" w:h="16838" w:orient="portrait"/>
          <w:cols w:equalWidth="0" w:num="1">
            <w:col w:w="10984"/>
          </w:cols>
          <w:pgMar w:left="436" w:top="266" w:right="4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8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This guidance is effective for the Company beginning on January 1, 2025. The Company does not expect the adoption to have a material impact on the Company’s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years ended December 31, 2024 and 2023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4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4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1,554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220" w:type="dxa"/>
            <w:vAlign w:val="bottom"/>
            <w:vMerge w:val="restart"/>
          </w:tcPr>
          <w:p>
            <w:pPr>
              <w:jc w:val="right"/>
              <w:ind w:right="2575"/>
              <w:spacing w:after="0"/>
              <w:rPr>
                <w:sz w:val="20"/>
                <w:szCs w:val="20"/>
                <w:color w:val="auto"/>
              </w:rPr>
            </w:pPr>
            <w:r>
              <w:rPr>
                <w:rFonts w:ascii="Times New Roman" w:cs="Times New Roman" w:eastAsia="Times New Roman" w:hAnsi="Times New Roman"/>
                <w:sz w:val="18"/>
                <w:szCs w:val="18"/>
                <w:b w:val="1"/>
                <w:bCs w:val="1"/>
                <w:color w:val="auto"/>
              </w:rPr>
              <w:t>23</w:t>
            </w: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years ended December 31, 2024 and 2023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1,193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3,840</w:t>
            </w:r>
          </w:p>
        </w:tc>
        <w:tc>
          <w:tcPr>
            <w:tcW w:w="4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1,554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3,856</w:t>
            </w: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December 31, 2024 and 2023, was as follows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70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9"/>
                <w:szCs w:val="19"/>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0"/>
        </w:trPr>
        <w:tc>
          <w:tcPr>
            <w:tcW w:w="7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1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30,580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9,247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44,894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132,687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163,340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1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December 31, 2023</w:t>
            </w:r>
          </w:p>
        </w:tc>
        <w:tc>
          <w:tcPr>
            <w:tcW w:w="100" w:type="dxa"/>
            <w:vAlign w:val="bottom"/>
          </w:tcPr>
          <w:p>
            <w:pPr>
              <w:spacing w:after="0"/>
              <w:rPr>
                <w:sz w:val="24"/>
                <w:szCs w:val="24"/>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24</w:t>
      </w:r>
    </w:p>
    <w:p>
      <w:pPr>
        <w:sectPr>
          <w:pgSz w:w="11900" w:h="16838" w:orient="portrait"/>
          <w:cols w:equalWidth="0" w:num="1">
            <w:col w:w="10980"/>
          </w:cols>
          <w:pgMar w:left="440" w:top="266" w:right="479" w:bottom="1440" w:gutter="0" w:footer="0" w:header="0"/>
        </w:sectPr>
      </w:pPr>
    </w:p>
    <w:bookmarkStart w:id="27" w:name="page28"/>
    <w:bookmarkEnd w:id="2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fair value of the Level 3 liabilities during the years ended December 31, 2024 and 2023 was as follows (in thousands):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Pay-to-Play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2023</w:t>
            </w:r>
          </w:p>
        </w:tc>
        <w:tc>
          <w:tcPr>
            <w:tcW w:w="340" w:type="dxa"/>
            <w:vAlign w:val="bottom"/>
          </w:tcPr>
          <w:p>
            <w:pPr>
              <w:spacing w:after="0"/>
              <w:rPr>
                <w:sz w:val="13"/>
                <w:szCs w:val="13"/>
                <w:color w:val="auto"/>
              </w:rPr>
            </w:pPr>
          </w:p>
        </w:tc>
        <w:tc>
          <w:tcPr>
            <w:tcW w:w="9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Warrant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w w:val="99"/>
              </w:rPr>
              <w:t>Convertible</w:t>
            </w:r>
          </w:p>
        </w:tc>
        <w:tc>
          <w:tcPr>
            <w:tcW w:w="3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notes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notes</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rights offering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105,902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110,718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15,723</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132,687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14,711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with the Merger on January 13, 2025, all outstanding convertible notes and outstanding warrant liabilities were converted (see Note 1).</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25</w:t>
      </w:r>
    </w:p>
    <w:p>
      <w:pPr>
        <w:sectPr>
          <w:pgSz w:w="11900" w:h="16838" w:orient="portrait"/>
          <w:cols w:equalWidth="0" w:num="1">
            <w:col w:w="10840"/>
          </w:cols>
          <w:pgMar w:left="440" w:top="266" w:right="619" w:bottom="1440" w:gutter="0" w:footer="0" w:header="0"/>
        </w:sectPr>
      </w:pPr>
    </w:p>
    <w:bookmarkStart w:id="28" w:name="page29"/>
    <w:bookmarkEnd w:id="28"/>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consists of the following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1,064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1,542</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7,410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4,964</w:t>
            </w:r>
          </w:p>
        </w:tc>
      </w:tr>
      <w:tr>
        <w:trPr>
          <w:trHeight w:val="223"/>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8,561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6,522</w:t>
            </w: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as of December 31, 2024 and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843</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2024 and 2023 (in thousands):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$ 13,108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(14,751)</w:t>
            </w: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2,081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1,555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depreciation and amortization expense of property and equipment was $0.9 million and $2.0 million, respectively.</w:t>
      </w:r>
    </w:p>
    <w:p>
      <w:pPr>
        <w:spacing w:after="0" w:line="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26</w:t>
      </w:r>
    </w:p>
    <w:p>
      <w:pPr>
        <w:sectPr>
          <w:pgSz w:w="11900" w:h="16838" w:orient="portrait"/>
          <w:cols w:equalWidth="0" w:num="1">
            <w:col w:w="10220"/>
          </w:cols>
          <w:pgMar w:left="440" w:top="266" w:right="1239" w:bottom="1440" w:gutter="0" w:footer="0" w:header="0"/>
        </w:sectPr>
      </w:pPr>
    </w:p>
    <w:bookmarkStart w:id="29" w:name="page30"/>
    <w:bookmarkEnd w:id="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2,104</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11,996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7,464</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accrued loss on purchase commitments were $0.6 million and $3.6 million, respectively (see Note 12).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consists of the following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liabilities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1,613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1,938</w:t>
            </w: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represents the domestic and foreign components of loss from operations before income taxes for the years ended December 31, 2024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39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$(64,690)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3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(62,147)</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(88,187)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60" w:type="dxa"/>
            <w:vAlign w:val="bottom"/>
            <w:vMerge w:val="restart"/>
          </w:tcPr>
          <w:p>
            <w:pPr>
              <w:jc w:val="right"/>
              <w:ind w:right="2219"/>
              <w:spacing w:after="0"/>
              <w:rPr>
                <w:sz w:val="20"/>
                <w:szCs w:val="20"/>
                <w:color w:val="auto"/>
              </w:rPr>
            </w:pPr>
            <w:r>
              <w:rPr>
                <w:rFonts w:ascii="Times New Roman" w:cs="Times New Roman" w:eastAsia="Times New Roman" w:hAnsi="Times New Roman"/>
                <w:sz w:val="18"/>
                <w:szCs w:val="18"/>
                <w:b w:val="1"/>
                <w:bCs w:val="1"/>
                <w:color w:val="auto"/>
              </w:rPr>
              <w:t>27</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66" w:right="5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components of the benefit from income taxes consists of the following for the years ended December 31, 2024 and 2023 (in thousands):</w:t>
      </w:r>
    </w:p>
    <w:p>
      <w:pPr>
        <w:spacing w:after="0" w:line="25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56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(256)</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4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(1,124)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(1,124)</w:t>
            </w:r>
          </w:p>
        </w:tc>
        <w:tc>
          <w:tcPr>
            <w:tcW w:w="4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(598)</w:t>
            </w: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of income tax determined by applying the U.S. federal statutory income tax rate of 21% to pretax loss as a result of the following differences for the years ended December 31, 2024 and 2023 ($ in thousands):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gridSpan w:val="3"/>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80" w:type="dxa"/>
            <w:vAlign w:val="bottom"/>
          </w:tcPr>
          <w:p>
            <w:pPr>
              <w:spacing w:after="0"/>
              <w:rPr>
                <w:sz w:val="12"/>
                <w:szCs w:val="12"/>
                <w:color w:val="auto"/>
              </w:rPr>
            </w:pPr>
          </w:p>
        </w:tc>
        <w:tc>
          <w:tcPr>
            <w:tcW w:w="104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(62,147)</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(88,187)</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(13,049)</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(18,522)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Gain on remeasurement of warrant liability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3,302</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equity financing charge (permanent difference)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7,525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802</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3,620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195</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410</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10,290</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7,936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(796)</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(952)</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7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55,739</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45,600</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R&amp;D Sec 174</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9,533</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(75,826)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(60,937)</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management does not believe it is more likely than not that the net deferred tax assets will be realized. Accordingly, a full valuation allowance has been established in the U.S. and the Philippines. As of December 31, 2024 and 2023, the valuation allowance was $75.8 million and $60.9 million, respectively. The increase of $14.9 million in the Company’s valuation allowance as of December 31, 2024 compared to the prior year was primarily due to an increase in deferred tax assets arising from capitalized research and experimental expenditures and net operating losses.</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At December 31, 2024, the Company had U.S. federal net operating loss (“NOL”) carryforwards of $215.5 million and U.S. state NOL carryforwards of $149.9 million. The U.S. federal NOL carryforwards will begin to expire in the year 2030 and the state NOL carryforwards will also begin to expire in the year 2030. As of December 31, 2024, the Company had federal tax credit carryforwards of $5.7 million available to offset future U.S. federal income taxes payable, which will begin to expire in the year 2035. As of December 31, 2024, the Company had state tax credit carryforwards of $4.3 million available to offset future state income taxes payable and foreign tax credits of $97.2 million available to offset future India income taxes payable.</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w:t>
      </w:r>
    </w:p>
    <w:p>
      <w:pPr>
        <w:sectPr>
          <w:pgSz w:w="11900" w:h="16838" w:orient="portrait"/>
          <w:cols w:equalWidth="0" w:num="1">
            <w:col w:w="11000"/>
          </w:cols>
          <w:pgMar w:left="440" w:top="266" w:right="45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income tax expense. Management determined that no accrual for interest and penalties was required as of December 31, 2024 and 2023.</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the Company’s policy to indefinitely reinvest undistributed earnings of their foreign subsidiaries and hence, no deferred tax liability for withholding taxes on undistributed earnings is required.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applied FASB ASC 740-10-50, </w:t>
      </w:r>
      <w:r>
        <w:rPr>
          <w:rFonts w:ascii="Times New Roman" w:cs="Times New Roman" w:eastAsia="Times New Roman" w:hAnsi="Times New Roman"/>
          <w:sz w:val="18"/>
          <w:szCs w:val="18"/>
          <w:i w:val="1"/>
          <w:iCs w:val="1"/>
          <w:color w:val="auto"/>
        </w:rPr>
        <w:t>Accounting for Uncertainty in Income Tax</w:t>
      </w:r>
      <w:r>
        <w:rPr>
          <w:rFonts w:ascii="Times New Roman" w:cs="Times New Roman" w:eastAsia="Times New Roman" w:hAnsi="Times New Roman"/>
          <w:sz w:val="18"/>
          <w:szCs w:val="18"/>
          <w:color w:val="auto"/>
        </w:rPr>
        <w:t>, which prescribes a recognition threshold and measurement attribute for the financial statement recognition and measurement of a tax position taken or expected to be taken in a tax return.</w:t>
      </w:r>
    </w:p>
    <w:p>
      <w:pPr>
        <w:spacing w:after="0" w:line="1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$5.0 million and $4.3 million as of December 31, 2024 and 2023,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is as follows as of December 31, 2024 and 2023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$4,283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4,283</w:t>
            </w: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w:t>
      </w:r>
    </w:p>
    <w:p>
      <w:pPr>
        <w:sectPr>
          <w:pgSz w:w="11900" w:h="16838" w:orient="portrait"/>
          <w:cols w:equalWidth="0" w:num="1">
            <w:col w:w="10960"/>
          </w:cols>
          <w:pgMar w:left="440" w:top="266" w:right="4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960" w:hanging="424"/>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960" w:right="180" w:hanging="424"/>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85" w:lineRule="exact"/>
        <w:rPr>
          <w:rFonts w:ascii="Times New Roman" w:cs="Times New Roman" w:eastAsia="Times New Roman" w:hAnsi="Times New Roman"/>
          <w:sz w:val="18"/>
          <w:szCs w:val="18"/>
          <w:color w:val="auto"/>
        </w:rPr>
      </w:pPr>
    </w:p>
    <w:p>
      <w:pPr>
        <w:ind w:left="960" w:right="140" w:hanging="424"/>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85" w:lineRule="exact"/>
        <w:rPr>
          <w:rFonts w:ascii="Times New Roman" w:cs="Times New Roman" w:eastAsia="Times New Roman" w:hAnsi="Times New Roman"/>
          <w:sz w:val="18"/>
          <w:szCs w:val="18"/>
          <w:color w:val="auto"/>
        </w:rPr>
      </w:pPr>
    </w:p>
    <w:p>
      <w:pPr>
        <w:ind w:left="960" w:right="40" w:hanging="424"/>
        <w:spacing w:after="0" w:line="257"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w:t>
      </w:r>
    </w:p>
    <w:p>
      <w:pPr>
        <w:sectPr>
          <w:pgSz w:w="11900" w:h="16838" w:orient="portrait"/>
          <w:cols w:equalWidth="0" w:num="1">
            <w:col w:w="11000"/>
          </w:cols>
          <w:pgMar w:left="440" w:top="266"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value of the P2P Notes. For the years ended December 31, 2024 and 2023, the Company recognized a change in fair value from the P2P Notes of approximately $1.3 million and $2.6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9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$61,000, was recognized as a component of the Pay-to-Play financing charge for the year ended December 31, 2023.</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 During the year ended December 31, 2024, the Company did not enter into any Exchange Agreements with eligible common shareholders.</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P2P notes, the outstanding P2P Notes were converted, at the option of the holders, to common stock upon the execution of the Merger (see Note 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w:t>
      </w:r>
    </w:p>
    <w:p>
      <w:pPr>
        <w:sectPr>
          <w:pgSz w:w="11900" w:h="16838" w:orient="portrait"/>
          <w:cols w:equalWidth="0" w:num="1">
            <w:col w:w="11000"/>
          </w:cols>
          <w:pgMar w:left="440" w:top="266"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960" w:right="220" w:hanging="424"/>
        <w:spacing w:after="0" w:line="26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420" w:hanging="331"/>
        <w:spacing w:after="0" w:line="256"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w:t>
      </w:r>
    </w:p>
    <w:p>
      <w:pPr>
        <w:sectPr>
          <w:pgSz w:w="11900" w:h="16838" w:orient="portrait"/>
          <w:cols w:equalWidth="0" w:num="1">
            <w:col w:w="11000"/>
          </w:cols>
          <w:pgMar w:left="440" w:top="266" w:right="4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1420" w:right="60" w:hanging="331"/>
        <w:spacing w:after="0" w:line="266"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420" w:right="20" w:hanging="331"/>
        <w:spacing w:after="0" w:line="266"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92"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jc w:val="both"/>
        <w:ind w:left="1420" w:right="40" w:hanging="331"/>
        <w:spacing w:after="0" w:line="312" w:lineRule="auto"/>
        <w:tabs>
          <w:tab w:leader="none" w:pos="14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420" w:right="100" w:hanging="331"/>
        <w:spacing w:after="0" w:line="282"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420" w:right="80" w:hanging="331"/>
        <w:spacing w:after="0" w:line="282"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8 and 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34</w:t>
      </w:r>
    </w:p>
    <w:p>
      <w:pPr>
        <w:sectPr>
          <w:pgSz w:w="11900" w:h="16838" w:orient="portrait"/>
          <w:cols w:equalWidth="0" w:num="1">
            <w:col w:w="11000"/>
          </w:cols>
          <w:pgMar w:left="440" w:top="266" w:right="4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a change in fair value of approximately $8.7 million and $6.9 million,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13)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$2.6 million and accounted for as Debt Financing Charge on the 2023 Convertible Note. On December 22, 2023, the Company modified the RSU terms to immediately accelerate the vesting of the 6,000,000 awards outstanding and issue 6,000,000 shares of common stock (see Note 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December 31, 2024 is as follows (in thousands):</w:t>
      </w:r>
    </w:p>
    <w:p>
      <w:pPr>
        <w:spacing w:after="0" w:line="27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148,629</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(148,629)</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2023 Convertible Note Agreement, the outstanding 2023 Convertible Notes were converted, at the option of the holders, to common stock upon the execution of the Merger (see Note 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 13). In April 2024, the Company repaid the total outstanding principal and interest of $5.0 million.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35</w:t>
      </w:r>
    </w:p>
    <w:p>
      <w:pPr>
        <w:sectPr>
          <w:pgSz w:w="11900" w:h="16838" w:orient="portrait"/>
          <w:cols w:equalWidth="0" w:num="1">
            <w:col w:w="10980"/>
          </w:cols>
          <w:pgMar w:left="440" w:top="266" w:right="4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1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Closing Date (see Note 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w:t>
      </w:r>
    </w:p>
    <w:p>
      <w:pPr>
        <w:sectPr>
          <w:pgSz w:w="11900" w:h="16838" w:orient="portrait"/>
          <w:cols w:equalWidth="0" w:num="1">
            <w:col w:w="11020"/>
          </w:cols>
          <w:pgMar w:left="440" w:top="266" w:right="4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89"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2023 Convertible Notes, the notes remained outstanding and were converted, at the option of the holders, to common stock upon the Closing Date (see Note 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8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w:t>
      </w:r>
    </w:p>
    <w:p>
      <w:pPr>
        <w:sectPr>
          <w:pgSz w:w="11900" w:h="16838" w:orient="portrait"/>
          <w:cols w:equalWidth="0" w:num="1">
            <w:col w:w="11000"/>
          </w:cols>
          <w:pgMar w:left="440" w:top="266" w:right="459" w:bottom="1440" w:gutter="0" w:footer="0" w:header="0"/>
        </w:sectPr>
      </w:pPr>
    </w:p>
    <w:bookmarkStart w:id="40" w:name="page41"/>
    <w:bookmarkEnd w:id="4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25"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execution of the Merger (see Note 1).</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 warrant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fair</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8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7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 at 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4"/>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860" w:type="dxa"/>
            <w:vAlign w:val="bottom"/>
            <w:gridSpan w:val="3"/>
            <w:vMerge w:val="continue"/>
          </w:tcPr>
          <w:p>
            <w:pPr>
              <w:spacing w:after="0"/>
              <w:rPr>
                <w:sz w:val="9"/>
                <w:szCs w:val="9"/>
                <w:color w:val="auto"/>
              </w:rPr>
            </w:pPr>
          </w:p>
        </w:tc>
        <w:tc>
          <w:tcPr>
            <w:tcW w:w="6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 Warrants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(c)</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104.43</w:t>
            </w: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Pre-funded common stock warrants (d)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common stock warrants (e)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10,091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1,096,730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14,712</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00" w:hanging="424"/>
        <w:spacing w:after="0" w:line="255"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p>
      <w:pPr>
        <w:spacing w:after="0" w:line="2"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p>
      <w:pPr>
        <w:spacing w:after="0" w:line="1" w:lineRule="exact"/>
        <w:rPr>
          <w:rFonts w:ascii="Times New Roman" w:cs="Times New Roman" w:eastAsia="Times New Roman" w:hAnsi="Times New Roman"/>
          <w:sz w:val="18"/>
          <w:szCs w:val="18"/>
          <w:color w:val="auto"/>
        </w:rPr>
      </w:pPr>
    </w:p>
    <w:p>
      <w:pPr>
        <w:jc w:val="both"/>
        <w:ind w:left="424" w:right="60" w:hanging="424"/>
        <w:spacing w:after="0" w:line="25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p>
      <w:pPr>
        <w:spacing w:after="0" w:line="1" w:lineRule="exact"/>
        <w:rPr>
          <w:rFonts w:ascii="Times New Roman" w:cs="Times New Roman" w:eastAsia="Times New Roman" w:hAnsi="Times New Roman"/>
          <w:sz w:val="18"/>
          <w:szCs w:val="18"/>
          <w:color w:val="auto"/>
        </w:rPr>
      </w:pPr>
    </w:p>
    <w:p>
      <w:pPr>
        <w:ind w:left="424" w:right="340" w:hanging="424"/>
        <w:spacing w:after="0" w:line="26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$45,000. As of December 31, 2024, the number of warrant shares to be issued in the form of BurTech Class A Common stock is a fixed 4,500,000 shares.</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38</w:t>
      </w:r>
    </w:p>
    <w:p>
      <w:pPr>
        <w:sectPr>
          <w:pgSz w:w="11900" w:h="16838" w:orient="portrait"/>
          <w:cols w:equalWidth="0" w:num="1">
            <w:col w:w="11024"/>
          </w:cols>
          <w:pgMar w:left="436" w:top="266" w:right="4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8"/>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 Reinstatement</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gridSpan w:val="6"/>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Series D Shadow</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gridSpan w:val="6"/>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Warrants</w:t>
            </w:r>
          </w:p>
        </w:tc>
        <w:tc>
          <w:tcPr>
            <w:tcW w:w="720" w:type="dxa"/>
            <w:vAlign w:val="bottom"/>
          </w:tcPr>
          <w:p>
            <w:pPr>
              <w:spacing w:after="0"/>
              <w:rPr>
                <w:sz w:val="12"/>
                <w:szCs w:val="12"/>
                <w:color w:val="auto"/>
              </w:rPr>
            </w:pPr>
          </w:p>
        </w:tc>
        <w:tc>
          <w:tcPr>
            <w:tcW w:w="110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gridSpan w:val="6"/>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- 4.40%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0.04 - 0.72</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5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Warrants issued with P2P Convertible Notes</w:t>
            </w:r>
          </w:p>
        </w:tc>
      </w:tr>
      <w:tr>
        <w:trPr>
          <w:trHeight w:val="142"/>
        </w:trPr>
        <w:tc>
          <w:tcPr>
            <w:tcW w:w="3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40" w:type="dxa"/>
            <w:vAlign w:val="bottom"/>
            <w:tcBorders>
              <w:top w:val="single" w:sz="8" w:color="auto"/>
            </w:tcBorders>
            <w:gridSpan w:val="2"/>
          </w:tcPr>
          <w:p>
            <w:pPr>
              <w:jc w:val="center"/>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c>
          <w:tcPr>
            <w:tcW w:w="40" w:type="dxa"/>
            <w:vAlign w:val="bottom"/>
          </w:tcPr>
          <w:p>
            <w:pPr>
              <w:spacing w:after="0"/>
              <w:rPr>
                <w:sz w:val="12"/>
                <w:szCs w:val="12"/>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4.09% - 4.65%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760" w:type="dxa"/>
            <w:vAlign w:val="bottom"/>
          </w:tcPr>
          <w:p>
            <w:pPr>
              <w:spacing w:after="0"/>
              <w:rPr>
                <w:sz w:val="18"/>
                <w:szCs w:val="18"/>
                <w:color w:val="auto"/>
              </w:rPr>
            </w:pPr>
          </w:p>
        </w:tc>
        <w:tc>
          <w:tcPr>
            <w:tcW w:w="19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66.6% - 71.6%</w:t>
            </w:r>
          </w:p>
        </w:tc>
        <w:tc>
          <w:tcPr>
            <w:tcW w:w="4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tcPr>
          <w:p>
            <w:pPr>
              <w:spacing w:after="0"/>
              <w:rPr>
                <w:sz w:val="18"/>
                <w:szCs w:val="18"/>
                <w:color w:val="auto"/>
              </w:rPr>
            </w:pPr>
          </w:p>
        </w:tc>
        <w:tc>
          <w:tcPr>
            <w:tcW w:w="19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7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760" w:type="dxa"/>
            <w:vAlign w:val="bottom"/>
          </w:tcPr>
          <w:p>
            <w:pPr>
              <w:spacing w:after="0"/>
              <w:rPr>
                <w:sz w:val="20"/>
                <w:szCs w:val="20"/>
                <w:color w:val="auto"/>
              </w:rPr>
            </w:pPr>
          </w:p>
        </w:tc>
        <w:tc>
          <w:tcPr>
            <w:tcW w:w="19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346"/>
        </w:trPr>
        <w:tc>
          <w:tcPr>
            <w:tcW w:w="3080" w:type="dxa"/>
            <w:vAlign w:val="bottom"/>
          </w:tcPr>
          <w:p>
            <w:pPr>
              <w:spacing w:after="0"/>
              <w:rPr>
                <w:sz w:val="24"/>
                <w:szCs w:val="24"/>
                <w:color w:val="auto"/>
              </w:rPr>
            </w:pPr>
          </w:p>
        </w:tc>
        <w:tc>
          <w:tcPr>
            <w:tcW w:w="1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39</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0"/>
          </w:cols>
          <w:pgMar w:left="440" w:top="266" w:right="479" w:bottom="1440" w:gutter="0" w:footer="0" w:header="0"/>
        </w:sectPr>
      </w:pPr>
    </w:p>
    <w:bookmarkStart w:id="42" w:name="page43"/>
    <w:bookmarkEnd w:id="4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80" w:type="dxa"/>
            <w:vAlign w:val="bottom"/>
            <w:tcBorders>
              <w:top w:val="single" w:sz="8" w:color="auto"/>
            </w:tcBorders>
            <w:gridSpan w:val="3"/>
          </w:tcPr>
          <w:p>
            <w:pPr>
              <w:jc w:val="right"/>
              <w:ind w:right="9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-4.31%</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-4.79%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w w:val="98"/>
              </w:rPr>
              <w:t>0.04 -1.00 years</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1.0 - 1.44 years</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69.8% - 71.6%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 - 62.3%</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immaterial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13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10"/>
        </w:trPr>
        <w:tc>
          <w:tcPr>
            <w:tcW w:w="13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- 5.55%</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0.36 - 5.00 years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3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61.2% - 73.0%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13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4.16 - $4.43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13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0.74 - $0.81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41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13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80" w:type="dxa"/>
            <w:vAlign w:val="bottom"/>
            <w:tcBorders>
              <w:top w:val="single" w:sz="8" w:color="auto"/>
            </w:tcBorders>
            <w:gridSpan w:val="5"/>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-4.99%</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-5.26%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0.04 -1.00 years</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0.51 -9.51 years</w:t>
            </w:r>
          </w:p>
        </w:tc>
      </w:tr>
      <w:tr>
        <w:trPr>
          <w:trHeight w:val="216"/>
        </w:trPr>
        <w:tc>
          <w:tcPr>
            <w:tcW w:w="13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69.8% - 73.2%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 - 62.8%</w:t>
            </w:r>
          </w:p>
        </w:tc>
      </w:tr>
      <w:tr>
        <w:trPr>
          <w:trHeight w:val="216"/>
        </w:trPr>
        <w:tc>
          <w:tcPr>
            <w:tcW w:w="1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3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immaterial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13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1.94</w:t>
            </w:r>
          </w:p>
        </w:tc>
        <w:tc>
          <w:tcPr>
            <w:tcW w:w="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probability-weighted approach of scenarios, including the scenarios that the Merger will and will not be consummated.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no Company warrants have been exercised.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provided by the terms of the Merger, the outstanding warrants were converted, at the option of the holders, to common stock upon the Closing Date (see Note 1).</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40</w:t>
      </w:r>
    </w:p>
    <w:p>
      <w:pPr>
        <w:sectPr>
          <w:pgSz w:w="11900" w:h="16838" w:orient="portrait"/>
          <w:cols w:equalWidth="0" w:num="1">
            <w:col w:w="10860"/>
          </w:cols>
          <w:pgMar w:left="440" w:top="266" w:right="599" w:bottom="1440" w:gutter="0" w:footer="0" w:header="0"/>
        </w:sectPr>
      </w:pPr>
    </w:p>
    <w:bookmarkStart w:id="43" w:name="page44"/>
    <w:bookmarkEnd w:id="4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consolidated statements of operations were as follows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6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$ 843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w:t>
            </w:r>
          </w:p>
        </w:tc>
      </w:tr>
      <w:tr>
        <w:trPr>
          <w:trHeight w:val="20"/>
        </w:trPr>
        <w:tc>
          <w:tcPr>
            <w:tcW w:w="6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As of December 31, 2024, the Company’s operating leases had a weighted average remaining lease term of 3.2 years and a weighted average discount rate related to the Company’s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years ended December 31, 2024 and 2023 (in thousands):</w:t>
      </w:r>
    </w:p>
    <w:p>
      <w:pPr>
        <w:spacing w:after="0" w:line="36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70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1,008</w:t>
            </w:r>
          </w:p>
        </w:tc>
        <w:tc>
          <w:tcPr>
            <w:tcW w:w="4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1,673</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gain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Short-term variable lease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346"/>
        </w:trPr>
        <w:tc>
          <w:tcPr>
            <w:tcW w:w="708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440" w:top="266" w:right="51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the Company’s non-cancelable operating leases are as follows (in thousands):</w:t>
      </w:r>
    </w:p>
    <w:p>
      <w:pPr>
        <w:spacing w:after="0" w:line="30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173"/>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consolidated statements of operations.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December 31, 2024 and 2023 were as follows (dollars in thousands):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42</w:t>
      </w:r>
    </w:p>
    <w:p>
      <w:pPr>
        <w:sectPr>
          <w:pgSz w:w="11900" w:h="16838" w:orient="portrait"/>
          <w:cols w:equalWidth="0" w:num="1">
            <w:col w:w="10980"/>
          </w:cols>
          <w:pgMar w:left="440" w:top="266" w:right="47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r>
      <w:tr>
        <w:trPr>
          <w:trHeight w:val="173"/>
        </w:trPr>
        <w:tc>
          <w:tcPr>
            <w:tcW w:w="7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Value *</w:t>
            </w:r>
          </w:p>
        </w:tc>
        <w:tc>
          <w:tcPr>
            <w:tcW w:w="16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r>
      <w:tr>
        <w:trPr>
          <w:trHeight w:val="142"/>
        </w:trPr>
        <w:tc>
          <w:tcPr>
            <w:tcW w:w="7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5"/>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2,020,309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4,573,935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3,183</w:t>
            </w: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12,234,661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8,442</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10,211,548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48,661</w:t>
            </w: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3,990,707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41,673</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239,405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30,595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D-2</w:t>
            </w:r>
          </w:p>
        </w:tc>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7,561,820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37,595</w:t>
            </w: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4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contribution(In thousands)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holders of Series B Preferred Stock and Series C Preferred Stock are entitled to receive dividends prior and in preference to any dividends on the Series Seed Preferred Stock, Series A Preferred Stock and Common 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-768985</wp:posOffset>
            </wp:positionV>
            <wp:extent cx="285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43</w:t>
      </w:r>
    </w:p>
    <w:p>
      <w:pPr>
        <w:sectPr>
          <w:pgSz w:w="11900" w:h="16838" w:orient="portrait"/>
          <w:cols w:equalWidth="0" w:num="1">
            <w:col w:w="10940"/>
          </w:cols>
          <w:pgMar w:left="440" w:top="266" w:right="51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18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redemption request could not be made until after the fifth anniversary of the date upon which shares of the Series C Preferred Stock are first issued, or July 2023. Such request was not made as of such date (see Note 7).</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w:t>
      </w:r>
    </w:p>
    <w:p>
      <w:pPr>
        <w:sectPr>
          <w:pgSz w:w="11900" w:h="16838" w:orient="portrait"/>
          <w:cols w:equalWidth="0" w:num="1">
            <w:col w:w="10980"/>
          </w:cols>
          <w:pgMar w:left="440" w:top="266" w:right="479" w:bottom="1440" w:gutter="0" w:footer="0" w:header="0"/>
        </w:sectPr>
      </w:pPr>
    </w:p>
    <w:bookmarkStart w:id="47" w:name="page48"/>
    <w:bookmarkEnd w:id="4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Due to conditions of redemption that are outside the control of the Company, the redeemable convertible preferred stock has been reflected outside of stockholders’ deficit.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as-converted basis.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all outstanding preferred stock was converted to common stock upon the execution of the Merger (see Note 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175,095,000 shares of common stock authorized, respectively, and 17,519,999 and 17,454,353 shares issued and outstanding, respectively.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45</w:t>
      </w:r>
    </w:p>
    <w:p>
      <w:pPr>
        <w:sectPr>
          <w:pgSz w:w="11900" w:h="16838" w:orient="portrait"/>
          <w:cols w:equalWidth="0" w:num="1">
            <w:col w:w="10940"/>
          </w:cols>
          <w:pgMar w:left="440" w:top="266" w:right="519" w:bottom="1440" w:gutter="0" w:footer="0" w:header="0"/>
        </w:sectPr>
      </w:pPr>
    </w:p>
    <w:bookmarkStart w:id="48" w:name="page49"/>
    <w:bookmarkEnd w:id="4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reserved for issuance as of December 31, 2024 and 2023, is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4,573,935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4,573,935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12,234,661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12,234,661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10,211,548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10,211,548</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3,990,707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3,990,707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239,405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239,405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3,662,318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3,662,318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7,561,820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7,561,820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Series D Shadow and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 stock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1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1,127,088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41,018,458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21,354,809</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2,226,705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839,706</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96,123,126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75,514,616</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8).</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83"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62"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46</w:t>
      </w:r>
    </w:p>
    <w:p>
      <w:pPr>
        <w:sectPr>
          <w:pgSz w:w="11900" w:h="16838" w:orient="portrait"/>
          <w:cols w:equalWidth="0" w:num="1">
            <w:col w:w="11024"/>
          </w:cols>
          <w:pgMar w:left="436" w:top="266" w:right="4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based on the Company’s estimated fair value of common stock at the date of grant, as determined by the Board of Directors.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service-based stock options outstanding to purchase a total of 36,363,184 shares of common stock under the Plan and 4,655,274 unvested RSUs. As of December 31, 2024, 2,226,705 shares of common stock were available for issuance for either stock option or RSU grants under the 2011 Amended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as of December 31, 2024 is as follows: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1,325,844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5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15,141,280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0.44</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15.53</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8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21,329,457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0.92</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1.49</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0.74</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(1,333,107)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1.54</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36,363,184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0.99</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22,845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Vested/expected to vest at December 31, 2024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22,492</w:t>
            </w: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35,560,434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58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December 31, 2024</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9,614,865</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1.58</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2024 and 2023 was $17,000 and zero, respectively. The intrinsic value is the difference between the estimated fair value of the Company’s common stock at the date of exercise and the exercise price for in-the-money stock options.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2024 and 2023 was $0.88 per share and $0.25 per share, respectively. The total grant date fair value of stock options that vested during the years ended December 31, 2024 and 2023 was $2.8 million and $0.8 million, respectively.</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approximately $18.2 million of total unrecognized compensation cost related to unvested stock options granted, which is expected to be recognized over the weighted-average period of 2.4 years.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47</w:t>
      </w:r>
    </w:p>
    <w:p>
      <w:pPr>
        <w:sectPr>
          <w:pgSz w:w="11900" w:h="16838" w:orient="portrait"/>
          <w:cols w:equalWidth="0" w:num="1">
            <w:col w:w="10960"/>
          </w:cols>
          <w:pgMar w:left="440" w:top="266" w:right="4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the 2024 cancellation of 135,400 RSUs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as follows (in thousands):</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2,111</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$3,847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2,483</w:t>
            </w: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2024 and 2023 was estimated using the Black-Scholes model with the range of assumptions stated below:</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-4.43%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-4.46%</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0" w:type="dxa"/>
            <w:vAlign w:val="bottom"/>
          </w:tcPr>
          <w:p>
            <w:pPr>
              <w:spacing w:after="0"/>
              <w:rPr>
                <w:sz w:val="18"/>
                <w:szCs w:val="18"/>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5.00 -6.22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5.00 -6.01</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56.92% - 57.51%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56.74% - 57.56%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0.88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all outstanding options were converted into new instruments in accordance with the terms of the Merger (see Note 1).</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48</w:t>
      </w:r>
    </w:p>
    <w:p>
      <w:pPr>
        <w:sectPr>
          <w:pgSz w:w="11900" w:h="16838" w:orient="portrait"/>
          <w:cols w:equalWidth="0" w:num="1">
            <w:col w:w="11020"/>
          </w:cols>
          <w:pgMar w:left="440" w:top="266" w:right="4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6,000,000 RSUs issued to an investor (see Notes 7 and 13), for the years ended December 31, 2024 and 2023 is as follows: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6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10,929,820</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(150,900)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(254,555)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4,655,274</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2024, no stock-based compensation expense was recognized for the periods presented. As of December 31, 2024, there was $6.3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6,000,000 RSUs issued as part of the 2023 Convertible Note financing were fair valued on the date of grant and recognized as debt financing charge at date of transaction (see Notes 8 and 13). Effective December 21, 2023, as a condition of executing the Merger Agreement, the Company accelerated the vesting associated with the 6,000,000 RSUs. Upon acceleration, the RSUs were immediately exchanged and 6,000,000 shares of common stock issued. The modification of vesting terms resulted in the recognition of $1.7 million in stock-based compensation expense during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all outstanding RSUs were converted into new instruments in accordance with the terms of the Merger (see Note 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outstanding purchase orders and contractual obligations totaling $0.2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years ended December 31, 2024 and 2023, the Company purchased inventories of $4.3 million and $4.4 million, respectively, due to this obligation.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w:t>
      </w:r>
    </w:p>
    <w:p>
      <w:pPr>
        <w:sectPr>
          <w:pgSz w:w="11900" w:h="16838" w:orient="portrait"/>
          <w:cols w:equalWidth="0" w:num="1">
            <w:col w:w="11000"/>
          </w:cols>
          <w:pgMar w:left="440" w:top="266" w:right="4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2024 and 2023, the liability balance of the Company’s accrued losses on accrued purchase commitments equaled $0.6 million and $3.6 million, respectively, on the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w:t>
      </w:r>
    </w:p>
    <w:p>
      <w:pPr>
        <w:sectPr>
          <w:pgSz w:w="11900" w:h="16838" w:orient="portrait"/>
          <w:cols w:equalWidth="0" w:num="1">
            <w:col w:w="11000"/>
          </w:cols>
          <w:pgMar w:left="440" w:top="266" w:right="4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w:t>
      </w:r>
    </w:p>
    <w:p>
      <w:pPr>
        <w:spacing w:after="0" w:line="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on January 13, 2025, the transaction was consummated (see Note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 (i) exclusive strategic advisor in connection with the Business Combination, (ii) sole 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by KBCM has used reasonable best efforts to secure such a private placement, a fee of $500,000 promptly (but not later than two business days) following the close of the Business Combination. Additionally, a sale transaction fee will be paid, calculated as the greater of $3,000,000 or 1% of the transaction value.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October 24, 2024, contingent upon the close of the proposed merger on or before December 31, 2024 and continued employment or services to the Company on the applicable grant date, the Company’s Board of Directors approved the issuance of 6,936,285 restricted stock units under the New Blaize equity plan.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w:t>
      </w:r>
    </w:p>
    <w:p>
      <w:pPr>
        <w:sectPr>
          <w:pgSz w:w="11900" w:h="16838" w:orient="portrait"/>
          <w:cols w:equalWidth="0" w:num="1">
            <w:col w:w="10980"/>
          </w:cols>
          <w:pgMar w:left="440" w:top="266" w:right="47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was due upon the close of the Merger (see Note 1). Under the terms of the agreement, at the discretion of the Company, the advisory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is to be paid in the form of (i) cash and (ii) cash or a combination of cash and shares of common stock of New Blaize at a price of $10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at various dates in 2025. The finder’s fee, equal to a specified percentage of the trust value for the Company’s shares held by investors introduced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advisor, is to be paid fifty percent in cash and fifty-percent in shares of New Blaize at a price of $10.00 per share, concurrent with the close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Meger. The Company recognized $0.6 million associated with the contract as deferred offering costs and accrued liabilities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On the earlier of the date that is six months from the date of the Merger and the date that a Registration Statement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registering the resale of the closing shares is declared effective (the “Reset Date”), if the five day volume weighted average price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five trading days immediately preceding the Reset Date (such price, the “Reset Price”) is less than $10 per share (subject to a $1.00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within two days the Company shall issue an additional number of common shares equal to the number obtained by dividing (i) the product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held as of the Reset Date and $10.00 by (ii) the Reset Price, less the number of sharing shares held, provided that the additional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exceed 300,000.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to two minority stockholders. During the year ended December 31, 2023, the Company recognized revenues of approximately $3.8 million, or nearly 100% of its total revenue, from sales to one minority stockholders. As of December 31, 2024 and 2023, there was zero and $0.5 million of accounts receivables from one of these customers, respectively, all of which was unbilled.</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$6.9 million and $8.0 million, respectively. As of December 31, 2023, the related party 2023 Convertible Note and 2023 Convertible Note Warrants approximate $7.3 million and $0.9 million, respectively. During the years ended December 31, 2024 and 2023, the change in fair value for the 2023 Convertible Note equaled $0.4 million and $3.0 million, respectively (see Note 4). During the years ended December 31, 2024 and 2023, the change in fair value for the 2023 Convertible Note Warrants equaled $0.8 million and $0.2 million, respectively (see Note 4). In conjunction with the issuance of the 2023 Convertible Note, the Company issued 6,000,000 RSUs to the investor. The issuance date fair value of the RSUs was recognized as a financing charge (see Note 8). In December 2023, the terms of the RSUs were modified resulting in accelerated vesting and immediate issuance of 6,000,000 common stock shares for which incremental stock-based compensation expense was recorded (see Note 11).</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w:t>
      </w:r>
    </w:p>
    <w:p>
      <w:pPr>
        <w:sectPr>
          <w:pgSz w:w="11900" w:h="16838" w:orient="portrait"/>
          <w:cols w:equalWidth="0" w:num="1">
            <w:col w:w="10980"/>
          </w:cols>
          <w:pgMar w:left="440" w:top="266" w:right="47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21% and zero percent of revenue for the years ended December 31, 2024 and 2023,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$4.2 million and nearly zero, respectively. As of December 31, 2023, the related party P2P Note and P2P Warrants approximate $3.9 million and $0.3 million, respectively. During the years ended December 31, 2024 and 2023, the change in fair value for the P2P Note equaled $0.3 million and $0.9 million, respectively (see Note 4). During the years ended December 31, 2024 and 2023, the change in fair value for P2P Warrants equaled $0.3 million and $32,000 respectively (see Note 4).</w:t>
      </w:r>
    </w:p>
    <w:p>
      <w:pPr>
        <w:spacing w:after="0" w:line="18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December 2022, one of the minority stockholders with which the Company had a revenue arrangement, representing 77% and nearly 100% of total revenues for the years ended December 31, 2024 and 2023, and zero percent and 98% of accounts receivable as of December 31, 2024 and 2023, respectively, also invested in a 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$0.5 million and nearly zero, respectively. As of December 31, 2023, the related party P2P Note and P2P Warrants approximate $0.4 million and $29,000, respectively. During the year ended December 31, 2024, the change in fair value for the P2P Note and P2P Note Warrants equaled $38,000 and $29,000, respectively (see Note 4). During the year ended December 31, 2023, the change in fair value for the P2P Note and P2P Note Warrants was immaterial (see Note 4).</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2024, the Company incurred $0.3 million of marketing expenses paid to a Company owned by a direct family member of a minority stockholder and Company board of director.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27"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17,476,105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7"/>
              </w:rPr>
              <w:t>4,213,244</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56" w:name="page57"/>
    <w:bookmarkEnd w:id="5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for the years ended December 31, 2024 and 2023:</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36,363,184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16,437,980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4,655,274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4,916,829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1,127,088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93,896,421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74,674,910</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7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due to the variable settlement terms (see Note 8).</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 $0.6 million and $0.5 million in matching contributions for the years ended December 31, 2024 and 2023.</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 for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providing this benefit is determined through an actuarial valuation at each reporting date. The benefit plan provides for lump sum payments to vested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employees on retirement, death while in service or on termination of employment for an amount equivalent to 15 days of basic salary for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completed year of service. Vesting occurs upon completion of five years of service. The present value of such obligation is determined by the projected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 credit method and adjusted for past service cost and fair value of plan assets as at the balance sheet date through which the obligations are to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settled. The actuarial gain or loss on change in present value of the defined benefit obligation or change in return of the plan assets is recognized as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income or expense in the consolidated statement of operations. The expected return on plan assets is based on the assumed rate of return of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assets. As of December 31, 2024 and 2023, the related liability is included within accrued compensation and other liabilities on the consolidated balance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sheets.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54</w:t>
      </w:r>
    </w:p>
    <w:p>
      <w:pPr>
        <w:sectPr>
          <w:pgSz w:w="11900" w:h="16838" w:orient="portrait"/>
          <w:cols w:equalWidth="0" w:num="1">
            <w:col w:w="10984"/>
          </w:cols>
          <w:pgMar w:left="436" w:top="266" w:right="479" w:bottom="1440" w:gutter="0" w:footer="0" w:header="0"/>
        </w:sectPr>
      </w:pPr>
    </w:p>
    <w:bookmarkStart w:id="57" w:name="page58"/>
    <w:bookmarkEnd w:id="57"/>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Net loss for the years ended December 31, 2024 and 2023 is as follows (in thousands):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 Costs and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costs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23,773</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2,693</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49,454</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segment items (a)</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9,574</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(61,195</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(87,589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224" w:right="520" w:hanging="224"/>
        <w:spacing w:after="0" w:line="282" w:lineRule="auto"/>
        <w:tabs>
          <w:tab w:leader="none" w:pos="2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loss includes marketing expense, professional fees, income tax expense, facilities costs, foreign currency exchange gains and losses, credit loss, and other overhead expenses.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consolidated assets. Long-lived and ROU assets located in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Asia Pacific and United Kingdon region were as follows:</w:t>
      </w:r>
    </w:p>
    <w:p>
      <w:pPr>
        <w:spacing w:after="0" w:line="21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542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80" w:type="dxa"/>
            <w:vAlign w:val="bottom"/>
          </w:tcPr>
          <w:p>
            <w:pPr>
              <w:spacing w:after="0"/>
              <w:rPr>
                <w:sz w:val="15"/>
                <w:szCs w:val="15"/>
                <w:color w:val="auto"/>
              </w:rPr>
            </w:pP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913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8"/>
              </w:rPr>
              <w:t>1,175</w:t>
            </w:r>
          </w:p>
        </w:tc>
        <w:tc>
          <w:tcPr>
            <w:tcW w:w="2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1,773</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54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January 13, 2025, the Company consummated the Merger (See Note 1 “Description of Business”).</w:t>
      </w:r>
    </w:p>
    <w:p>
      <w:pPr>
        <w:spacing w:after="0" w:line="225" w:lineRule="exact"/>
        <w:rPr>
          <w:sz w:val="20"/>
          <w:szCs w:val="20"/>
          <w:color w:val="auto"/>
        </w:rPr>
      </w:pPr>
    </w:p>
    <w:p>
      <w:pPr>
        <w:ind w:left="4" w:right="40"/>
        <w:spacing w:after="0" w:line="273" w:lineRule="auto"/>
        <w:rPr>
          <w:sz w:val="20"/>
          <w:szCs w:val="20"/>
          <w:color w:val="auto"/>
        </w:rPr>
      </w:pPr>
      <w:r>
        <w:rPr>
          <w:rFonts w:ascii="Times New Roman" w:cs="Times New Roman" w:eastAsia="Times New Roman" w:hAnsi="Times New Roman"/>
          <w:sz w:val="17"/>
          <w:szCs w:val="17"/>
          <w:color w:val="auto"/>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$0.5 million for capital market advisory services is due (1) $0.3 million upon the closing of the Merger with fifty-percent paid in cash and fifty percent paid in common stock of New Blaize; and 0.2 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50 000 shares of common stock at a price of $11.50 per share for a term of five years. On February 10, 2025, New Blaize issued the 50,000 common stock warrants.</w:t>
      </w:r>
    </w:p>
    <w:p>
      <w:pPr>
        <w:spacing w:after="0" w:line="100"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55</w:t>
      </w:r>
    </w:p>
    <w:p>
      <w:pPr>
        <w:sectPr>
          <w:pgSz w:w="11900" w:h="16838" w:orient="portrait"/>
          <w:cols w:equalWidth="0" w:num="1">
            <w:col w:w="10884"/>
          </w:cols>
          <w:pgMar w:left="436" w:top="266" w:right="579" w:bottom="1440" w:gutter="0" w:footer="0" w:header="0"/>
        </w:sectPr>
      </w:pPr>
    </w:p>
    <w:bookmarkStart w:id="58" w:name="page59"/>
    <w:bookmarkEnd w:id="58"/>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January 2025 the Company received $15.4 million in funding in accordance with the PIPE Subscription Agreements (see Note 1).</w:t>
      </w:r>
    </w:p>
    <w:p>
      <w:pPr>
        <w:spacing w:after="0" w:line="16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56</w:t>
      </w:r>
    </w:p>
    <w:p>
      <w:pPr>
        <w:sectPr>
          <w:pgSz w:w="11900" w:h="16838" w:orient="portrait"/>
          <w:cols w:equalWidth="0" w:num="1">
            <w:col w:w="10019"/>
          </w:cols>
          <w:pgMar w:left="440" w:top="266"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3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Unless the context requires otherwise, references to “Blaize,” “we,” “us,” “our” and “the Company” in this section are to the business and operations of Blaize, Inc. prior to the Business Combination and to Blaize Holdings, Inc. following the consummation of the Business Combination.</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Introduction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the Financial Disclosures about Acquired and Disposed Businesses.” The unaudited pro forma condensed combined financial information presents the pro forma effects of the Business Combination and the material transactions that have occurred, or are probable of occurring, subsequent to the latest balance sheet date that are material to investors. The Business Combination and the related transactions, as further described elsewhere in the unaudited pro forma financial information, were completed on January 13, 2025 (the “Closing”).</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BurTech is a blank check company incorporated in Delaware in March 2021. BurTech was formed for the purpose of effecting a merger, amalgamation, share exchange, asset acquisition, share purchase, reorganization or similar business combination with one or more businesses. On December 10, 2021, BurTech consummated its IPO, generating gross proceeds of $287.5 million. Simultaneously with the closing of the IPO, BurTech consummated the sale of 898,250 private placement warrants at a purchase price of $10.00 per private placement warrant in a private placement to BurTech’s sponsor, BurTech LP LLC, a Delaware corporation (the “Sponsor”), generating gross proceeds of $9.0 million.</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Blaize, incorporated in the State of Delaware in 2010,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Description of the Business Combination</w:t>
      </w:r>
    </w:p>
    <w:p>
      <w:pPr>
        <w:spacing w:after="0" w:line="121"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On December 22, 2023, Blaize entered into the Merger Agreement, which was subsequently amended on April 22, 2024, October 24, 2024 and November 21, 2024, pursuant to which on January 13, 2025, among other things, Merger Sub merged with and into Blaize, following which the separate corporate existence of Merger Sub ceased and Blaize became the surviving company and a wholly owned subsidiary of BurTech, on the terms and subject to the conditions set forth therein (collectively with the other transactions described in the Merger Agreement, the “Business Combination”). In connection with the consummation of the Business Combination, BurTech was renamed Blaize Holdings, Inc., also referred to as Blaize herein.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equity exchange and financing related matters associated with the Business Combination are summarized as follows:</w:t>
      </w:r>
    </w:p>
    <w:p>
      <w:pPr>
        <w:spacing w:after="0" w:line="131" w:lineRule="exact"/>
        <w:rPr>
          <w:sz w:val="20"/>
          <w:szCs w:val="20"/>
          <w:color w:val="auto"/>
        </w:rPr>
      </w:pPr>
    </w:p>
    <w:p>
      <w:pPr>
        <w:ind w:left="960" w:right="160" w:hanging="532"/>
        <w:spacing w:after="0" w:line="25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(i) (a) the outstanding principal together with all accrued and unpaid interest on the Blaize Convertible Notes automatically converted into a number of shares of Blaize Common Stock in accordance with the terms of such Blaize Convertible Notes and the Blaize Convertible Note Purchase Agreements, as applicable and (b) each share of Blaize Preferred Stock converted into one share of Blaize Common Stock (collectively, the “Blaize Security Conversion”); and (ii) unless otherwise exercised prior to the Effective Time, the outstanding Company Warrants automatically (x) expired or (y) were exercised in full for shares of Company Common Stock, in each case, in accordance with the terms of such Blaize Warrant (the “Warrant Event”).</w:t>
      </w:r>
    </w:p>
    <w:p>
      <w:pPr>
        <w:spacing w:after="0" w:line="92" w:lineRule="exact"/>
        <w:rPr>
          <w:rFonts w:ascii="Times New Roman" w:cs="Times New Roman" w:eastAsia="Times New Roman" w:hAnsi="Times New Roman"/>
          <w:sz w:val="18"/>
          <w:szCs w:val="18"/>
          <w:color w:val="auto"/>
        </w:rPr>
      </w:pPr>
    </w:p>
    <w:p>
      <w:pPr>
        <w:ind w:left="960" w:right="140" w:hanging="532"/>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the Burkhan Convertible Notes that were outstanding, automatically converted, together with all accrued and unpaid interest thereon, into the right to receive a number of shares of Blaize Common Stock in accordance with the terms of such Burkhan Convertible Notes, and (ii) the outstanding Burkhan Warrants were automatically exercised in full for shares of Blaize Common Stock, in accordance with the terms of such Burkhan Warrants (collectively the “Burkhan Conversion Event”).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0" w:name="page61"/>
    <w:bookmarkEnd w:id="60"/>
    <w:p>
      <w:pPr>
        <w:ind w:left="540" w:right="20" w:hanging="532"/>
        <w:spacing w:after="0" w:line="25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Effective Time, by virtue of the Business Combination and without any action on the part of any holder of Blaize Common Stock, each share of Blaize Common Stock, in each case, that was issued and outstanding immediately prior to the Effective Time (other than any shares subject to Blaize RSUs and Blaize Options and any Excluded Shares, and after giving effect to the Blaize Security Conversion, the Warrant Event and the Burkhan Conversion Event), were canceled and converted into the right to receive a number of shares of Blaize Common Stock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Company Base Merger Consideration, by (b) the Aggregate Company Shares (the “Per Company Share Merger Consideration”).</w:t>
      </w:r>
    </w:p>
    <w:p>
      <w:pPr>
        <w:spacing w:after="0" w:line="92"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but within the five-year period following the Closing Date, Eligible Blaize Holders are entitled to receive 15,000,000 Blaize Earnout Shares, and Burkhan is entitled to receive up to 2,600,000 Burkhan Earnout Shares, promptly after the occurrence of four separate Earnout Triggering Events. The Blaize Earnout Shares vest in four equal tranches of 3,750,000 shares. The Burkhan Earnout Shares vest in four equal tranches of 325,000 shares plus 325,000 Blaize Common Stock multiplied by the cash ratio (the “Proportionate Shares Number”). The “Cash Ratio” is the ratio equal to (x) Available Acquiror Cash, divided by (y) the Minimum Cash Amount. From the Closing until the five-year anniversary thereof, the earnout shares vest in four tranches if the volume-weighted price per share of Blaize Common Stock for at least 20 trading days in any 30-day trading period following the Closing equals or exceeds $12.50, $15.00, $17.50 or $20.00.</w:t>
      </w:r>
    </w:p>
    <w:p>
      <w:pPr>
        <w:spacing w:after="0" w:line="97" w:lineRule="exact"/>
        <w:rPr>
          <w:rFonts w:ascii="Times New Roman" w:cs="Times New Roman" w:eastAsia="Times New Roman" w:hAnsi="Times New Roman"/>
          <w:sz w:val="18"/>
          <w:szCs w:val="18"/>
          <w:color w:val="auto"/>
        </w:rPr>
      </w:pPr>
    </w:p>
    <w:p>
      <w:pPr>
        <w:ind w:left="540" w:right="20" w:hanging="532"/>
        <w:spacing w:after="0" w:line="258"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(i) each Blaize Option that was outstanding and unexercised as of immediately prior to the Effective Time automatically converted into (a) the right to receive a pro rata number of Blaize Earnout Shares and (b) a Blaize Option, upon substantially the same terms and conditions as in effect with respect to the corresponding Blaize Option and (ii) each Blaize RSU converted into (a) the right to receive a pro rata number of Blaize Earnout Shares and (b) a Blaize RSU, upon substantially the same terms and conditions as in effect with respect to the corresponding Blaize RSU.</w:t>
      </w:r>
    </w:p>
    <w:p>
      <w:pPr>
        <w:spacing w:after="0" w:line="88" w:lineRule="exact"/>
        <w:rPr>
          <w:rFonts w:ascii="Times New Roman" w:cs="Times New Roman" w:eastAsia="Times New Roman" w:hAnsi="Times New Roman"/>
          <w:sz w:val="18"/>
          <w:szCs w:val="18"/>
          <w:color w:val="auto"/>
        </w:rPr>
      </w:pPr>
    </w:p>
    <w:p>
      <w:pPr>
        <w:ind w:left="540" w:right="360" w:hanging="532"/>
        <w:spacing w:after="0" w:line="255"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BurTech, Blaize, Inc. and BurTech LP LLC (the “Backstop Investor”) entered into the Backstop Agreement. The Backstop Investor agreed to purchase, concurrently with the closing of the Transaction, shares of BurTech Class A common stock, par value $0.0001 per share (the “Backstop Shares”), in a private placement for a purchase price of $10.00 per share (the “Per Share Subscription Price”) to backstop certain redemptions by Blaize’s shareholders. In the event that the Trust Amount is less than</w:t>
      </w:r>
    </w:p>
    <w:p>
      <w:pPr>
        <w:spacing w:after="0" w:line="2" w:lineRule="exact"/>
        <w:rPr>
          <w:rFonts w:ascii="Times New Roman" w:cs="Times New Roman" w:eastAsia="Times New Roman" w:hAnsi="Times New Roman"/>
          <w:sz w:val="18"/>
          <w:szCs w:val="18"/>
          <w:color w:val="auto"/>
        </w:rPr>
      </w:pPr>
    </w:p>
    <w:p>
      <w:pPr>
        <w:ind w:left="5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the Backstop Investor irrevocably subscribes for and agrees to purchase from the Issuer, at the Per Share Subscription Price, the number of Backstop Shares equal to the quotient of (a) the difference of (x) $30.0 million minus (y) the Trust Amount divided by (b) $10.00, with such number of Backstop Shares to be rounded up to the nearest whole number, and the Issuer agrees to sell such Backstop Shares to the Backstop Investor at the Per Share Subscription Price.</w:t>
      </w:r>
    </w:p>
    <w:p>
      <w:pPr>
        <w:spacing w:after="0" w:line="94" w:lineRule="exact"/>
        <w:rPr>
          <w:rFonts w:ascii="Times New Roman" w:cs="Times New Roman" w:eastAsia="Times New Roman" w:hAnsi="Times New Roman"/>
          <w:sz w:val="18"/>
          <w:szCs w:val="18"/>
          <w:color w:val="auto"/>
        </w:rPr>
      </w:pPr>
    </w:p>
    <w:p>
      <w:pPr>
        <w:ind w:left="540" w:right="40" w:hanging="532"/>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the Sponsor and BurTech entered into the Sponsor Forfeiture Agreement, whereby, conditioned on Closing, the Sponsor agrees to forfeit 2,000,000 Shares held by Sponsor (the “Forfeited Shares”), such forfeiture was effective immediately prior to the Closing.</w:t>
      </w:r>
    </w:p>
    <w:p>
      <w:pPr>
        <w:spacing w:after="0" w:line="81" w:lineRule="exact"/>
        <w:rPr>
          <w:rFonts w:ascii="Times New Roman" w:cs="Times New Roman" w:eastAsia="Times New Roman" w:hAnsi="Times New Roman"/>
          <w:sz w:val="18"/>
          <w:szCs w:val="18"/>
          <w:color w:val="auto"/>
        </w:rPr>
      </w:pPr>
    </w:p>
    <w:p>
      <w:pPr>
        <w:ind w:left="540" w:right="40" w:hanging="532"/>
        <w:spacing w:after="0" w:line="253"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Blaize received the sum of (1) the amount of cash available in the trust account into which substantially all of the proceeds of BurTech’s initial public offering and private placements of its warrants have been deposited, after deducting the amount required to satisfy BurTech’s obligations to its shareholders (if any) that exercise their rights to redeem their BurTech Class A Common Stock and payment of (a) any deferred underwriting commissions being held in the trust account and (b) any transaction expenses of BurTech and Blaize), plus (2) any Private Placement Investment actually received by BurTech prior to or substantially concurrently with the Closing Date, plus (3) the aggregate gross proceeds of $5.0 million received by Blaize pursuant to the Note Purchase Agreement, dated as of July 3, 2023, plus (4) any and all proceeds from financings prior to or substantially concurrently with the Closing (inclusive of proceeds received from the issuance of the Burkhan Convertible Notes and the Burkhan Warrants), plus (5) the amount contributed by or on behalf of the Sponsor and unaffiliated third-party investors pursuant to the PIPE Investment. The sum of these amounts will be at least equal to $125.0 million (the “Minimum Cash Amount”).</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60" w:top="270" w:right="479" w:bottom="1440" w:gutter="0" w:footer="0" w:header="0"/>
        </w:sectPr>
      </w:pPr>
    </w:p>
    <w:bookmarkStart w:id="61" w:name="page62"/>
    <w:bookmarkEnd w:id="61"/>
    <w:p>
      <w:pPr>
        <w:ind w:left="960" w:right="80" w:hanging="532"/>
        <w:spacing w:after="0" w:line="253"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and around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Blaize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As of the date of this filing, the Company has not concluded on the accounting analysis of such transaction, including the impacts of the Non-Redeemed Shares and accordingly, has not given pro forma effect to in the Unaudited Pro Forma Condensed Combined Financial Information. See additional information within Note 2 to the Unaudited Pro Forma Condensed Combined Financial Information.</w:t>
      </w:r>
    </w:p>
    <w:p>
      <w:pPr>
        <w:spacing w:after="0" w:line="99" w:lineRule="exact"/>
        <w:rPr>
          <w:rFonts w:ascii="Times New Roman" w:cs="Times New Roman" w:eastAsia="Times New Roman" w:hAnsi="Times New Roman"/>
          <w:sz w:val="18"/>
          <w:szCs w:val="18"/>
          <w:color w:val="auto"/>
        </w:rPr>
      </w:pPr>
    </w:p>
    <w:p>
      <w:pPr>
        <w:ind w:left="960" w:right="20" w:hanging="532"/>
        <w:spacing w:after="0" w:line="25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through January 13,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Business Combination, collectively, 1,540,300 shares of Class A Stock (the “PIPE Shares”) at a price per share equal to $10.00 (the “PIPE Investment”). The PIPE Subscription Agreement provides, among other things, that the Company will file a resale shelf registration statement on Form S-1 within forty-five (45) calendar days of the Closing.</w:t>
      </w:r>
    </w:p>
    <w:p>
      <w:pPr>
        <w:spacing w:after="0" w:line="92" w:lineRule="exact"/>
        <w:rPr>
          <w:rFonts w:ascii="Times New Roman" w:cs="Times New Roman" w:eastAsia="Times New Roman" w:hAnsi="Times New Roman"/>
          <w:sz w:val="18"/>
          <w:szCs w:val="18"/>
          <w:color w:val="auto"/>
        </w:rPr>
      </w:pPr>
    </w:p>
    <w:p>
      <w:pPr>
        <w:ind w:left="960" w:right="20" w:hanging="532"/>
        <w:spacing w:after="0" w:line="253"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this Sponsor Note. This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w:t>
      </w:r>
    </w:p>
    <w:p>
      <w:pPr>
        <w:spacing w:after="0" w:line="95" w:lineRule="exact"/>
        <w:rPr>
          <w:rFonts w:ascii="Times New Roman" w:cs="Times New Roman" w:eastAsia="Times New Roman" w:hAnsi="Times New Roman"/>
          <w:sz w:val="18"/>
          <w:szCs w:val="18"/>
          <w:color w:val="auto"/>
        </w:rPr>
      </w:pPr>
    </w:p>
    <w:p>
      <w:pPr>
        <w:ind w:left="960" w:right="60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occurring from December 31, 2024 through the date of Closing of (i) 937,844 BurTech public shares and removal of $10.9 million from the trust account.</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 Description of Other Material Transactions:</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Material transactions that could impact the financial information of the latest balance sheet date that are material to investors, include the following:</w:t>
      </w:r>
    </w:p>
    <w:p>
      <w:pPr>
        <w:spacing w:after="0" w:line="67" w:lineRule="exact"/>
        <w:rPr>
          <w:sz w:val="20"/>
          <w:szCs w:val="20"/>
          <w:color w:val="auto"/>
        </w:rPr>
      </w:pPr>
    </w:p>
    <w:p>
      <w:pPr>
        <w:ind w:left="960" w:hanging="532"/>
        <w:spacing w:after="0" w:line="261"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2024, BurTech and EF Hutton amended the Underwriting Agreement signed on December 10, 2021. In lieu of BurTech paying the full deferred underwriting commission of $10.1 million, EF Hutton agreed to accept a $1.5 million cash payment at the Closing of a Business Combination. Once this payment is made according to the new terms, BurTech’s obligation to deliver the deferred underwriting commission will be fulfilled.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62" w:name="page63"/>
    <w:bookmarkEnd w:id="62"/>
    <w:p>
      <w:pPr>
        <w:ind w:left="440" w:right="1840" w:hanging="12"/>
        <w:spacing w:after="0" w:line="500" w:lineRule="auto"/>
        <w:tabs>
          <w:tab w:leader="none" w:pos="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Blaize issued or cancelled a net amount of (399,000) options from January 1, 2025 through the date of this filing. </w:t>
      </w:r>
      <w:r>
        <w:rPr>
          <w:rFonts w:ascii="Times New Roman" w:cs="Times New Roman" w:eastAsia="Times New Roman" w:hAnsi="Times New Roman"/>
          <w:sz w:val="18"/>
          <w:szCs w:val="18"/>
          <w:b w:val="1"/>
          <w:bCs w:val="1"/>
          <w:color w:val="auto"/>
        </w:rPr>
        <w:t>d. Accounting for the Business Combination</w:t>
      </w:r>
    </w:p>
    <w:p>
      <w:pPr>
        <w:spacing w:after="0" w:line="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unaudited pro forma condensed combined financial information should be read together with the historical financial statements and related notes of Blaize and BurTech, and other financial information included elsewhere in this Form 8-K/A.</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Blaize has been determined to be the accounting acquirer of BurTech based on the following facts and circumstances:</w:t>
      </w:r>
    </w:p>
    <w:p>
      <w:pPr>
        <w:spacing w:after="0" w:line="131"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is the ongoing operations of the combined entity.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will have the greatest voting interest in the combined entity, excluding option holder.</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most significant influence of any shareholder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Blaize Holdings, Inc., i.e. the combined entity assumed Blaize’s name.</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preponderance of evidence as described above is indicative that Blaize is the accounting acquirer of BurTech. Accordingly, the Business Combination between Blaize and BurTech is being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 Basis of Pro Forma Presentation</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of Blaize upon consummation of the Business Combination and other events contemplated by the Merger Agreement. Assumptions and estimates underlying the unaudited pro forma adjustments set forth in the unaudited pro forma condensed combined financial information are described in the accompanying notes.</w:t>
      </w:r>
    </w:p>
    <w:p>
      <w:pPr>
        <w:spacing w:after="0" w:line="7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have been achieved had the Business Combination occurred on the dates indicated. The Business Combination proceeds remaining after the payment for the redemption of 937,844 public shares and payment of transaction costs related to the Business Combination are expected to be used for other general corporate purposes. Further, the unaudited pro forma condensed combined financial information does not purport to project the future operating results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63" w:name="page64"/>
    <w:bookmarkEnd w:id="63"/>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financial position of Blaize following the completion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w:t>
      </w:r>
    </w:p>
    <w:p>
      <w:pPr>
        <w:spacing w:after="0" w:line="176"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Blaize Common Stock issued and outstanding immediately after the Business Combination and the related ownership percentages.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45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Unaudited Pro Forma Combined Share Ownership in Blaize</w:t>
            </w: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212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80" w:type="dxa"/>
            <w:vAlign w:val="bottom"/>
            <w:tcBorders>
              <w:top w:val="single" w:sz="8" w:color="auto"/>
            </w:tcBorders>
            <w:gridSpan w:val="2"/>
            <w:vMerge w:val="restart"/>
          </w:tcPr>
          <w:p>
            <w:pPr>
              <w:spacing w:after="0"/>
              <w:rPr>
                <w:sz w:val="10"/>
                <w:szCs w:val="10"/>
                <w:color w:val="auto"/>
              </w:rPr>
            </w:pPr>
          </w:p>
        </w:tc>
        <w:tc>
          <w:tcPr>
            <w:tcW w:w="132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CCEEFF"/>
            </w:tcBorders>
            <w:gridSpan w:val="2"/>
            <w:vMerge w:val="continue"/>
          </w:tcPr>
          <w:p>
            <w:pPr>
              <w:spacing w:after="0"/>
              <w:rPr>
                <w:sz w:val="15"/>
                <w:szCs w:val="15"/>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Blaize Stockholders</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55,571,107</w:t>
            </w:r>
          </w:p>
        </w:tc>
        <w:tc>
          <w:tcPr>
            <w:tcW w:w="880" w:type="dxa"/>
            <w:vAlign w:val="bottom"/>
            <w:gridSpan w:val="2"/>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3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BurTech Public Stockholders</w:t>
            </w:r>
            <w:r>
              <w:rPr>
                <w:rFonts w:ascii="Times New Roman" w:cs="Times New Roman" w:eastAsia="Times New Roman" w:hAnsi="Times New Roman"/>
                <w:sz w:val="25"/>
                <w:szCs w:val="25"/>
                <w:color w:val="auto"/>
                <w:vertAlign w:val="superscript"/>
              </w:rPr>
              <w:t>(2)</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5,456,999</w:t>
            </w:r>
          </w:p>
        </w:tc>
        <w:tc>
          <w:tcPr>
            <w:tcW w:w="8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(3)</w:t>
            </w:r>
          </w:p>
        </w:tc>
        <w:tc>
          <w:tcPr>
            <w:tcW w:w="300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14,456,132</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Final Closing Lenders</w:t>
            </w:r>
            <w:r>
              <w:rPr>
                <w:rFonts w:ascii="Times New Roman" w:cs="Times New Roman" w:eastAsia="Times New Roman" w:hAnsi="Times New Roman"/>
                <w:sz w:val="25"/>
                <w:szCs w:val="25"/>
                <w:color w:val="auto"/>
                <w:vertAlign w:val="superscript"/>
              </w:rPr>
              <w:t>(4)</w:t>
            </w:r>
          </w:p>
        </w:tc>
        <w:tc>
          <w:tcPr>
            <w:tcW w:w="30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25,673,479</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(5)</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shares at Closing</w:t>
            </w:r>
          </w:p>
        </w:tc>
        <w:tc>
          <w:tcPr>
            <w:tcW w:w="21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line="255"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Blaize Stockholders is comprised of (i) the exchange of the 17,518,791 issued and outstanding Blaize Common Stock for 13,663,527 shares of Blaize Class A Common Stock (ii) the settlement of Blaize Convertible Notes (excluding Burkhan Convertible Notes and Final Closing Lender Convertible Notes) in exchange for the issuance of 6,189,504 shares of Blaize Class A Common Stock, (iii) the conversion and net exercise of Blaize Warrants to 1,005,657 shares of Blaize Class A Common Stock, and (iv) the conversion of Blaize Redeemable Convertible Preferred Stock for 34,712,419 shares of Blaize Class A Common Stock based on the Exchange Ratio of approximately 0.78 shares of Blaize Class A Common Stock for one (1) share of Blaize Common Stock or common stock equivalent upon the Closing of the Business Combination.</w:t>
      </w:r>
    </w:p>
    <w:p>
      <w:pPr>
        <w:spacing w:after="0" w:line="12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70" w:right="559" w:bottom="1440" w:gutter="0" w:footer="0" w:header="0"/>
        </w:sectPr>
      </w:pPr>
    </w:p>
    <w:bookmarkStart w:id="64" w:name="page65"/>
    <w:bookmarkEnd w:id="64"/>
    <w:p>
      <w:pPr>
        <w:ind w:left="444" w:righ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shares held by the Blaize Stockholders does not include (i) 4,070,299 shares of Blaize Class A Common Stock that are issued related to the conversion of the BurTech Notes or (ii) 21,173,479 shares of Blaize Class A Common Stock held by the Blaize Final Closing Lenders.</w:t>
      </w:r>
    </w:p>
    <w:p>
      <w:pPr>
        <w:spacing w:after="0" w:line="203" w:lineRule="exact"/>
        <w:rPr>
          <w:sz w:val="20"/>
          <w:szCs w:val="20"/>
          <w:color w:val="auto"/>
        </w:rPr>
      </w:pPr>
    </w:p>
    <w:p>
      <w:pPr>
        <w:ind w:left="424" w:right="300" w:hanging="424"/>
        <w:spacing w:after="0" w:line="257"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BurTech Public Stockholders is determined by adding (i) 3,166,699 shares remaining after giving effect to redemptions, (ii) 1,540,300 shares that are issued associated with the PIPE, and (iii) 750,000 shares that are issued associated with the Sponsor Note Shares.</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Sponsor and related parties is determined by adding (i) the Sponsor’s holdings of 10,385,750 BurTech’s Redeemable Class A Common Stock at December 31, 2024, as reduced by 2,000,000 of BurTech’s Redeemable Class A Common Stock that are to be forfeited as part of the Sponsor Forfeiture Agreement, (ii) 2,000,000 shares that are issued associated with Burkhan Warrants, and (iii) 4,070,299 shares issued upon conversion of the Burkhan Convertible Notes.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Closing Lender shares is determined by adding (i) 4,500,000 of Blaize Class A Common Stock issued upon net exercise of the warrants issued pursuant to the Blaize Warrant Financing and (ii) 21,173,479 of Blaize Class A Common Stock issued upon conversion of the Final Closing Lender Notes.</w:t>
      </w:r>
    </w:p>
    <w:p>
      <w:pPr>
        <w:spacing w:after="0" w:line="1" w:lineRule="exact"/>
        <w:rPr>
          <w:rFonts w:ascii="Times New Roman" w:cs="Times New Roman" w:eastAsia="Times New Roman" w:hAnsi="Times New Roman"/>
          <w:sz w:val="18"/>
          <w:szCs w:val="18"/>
          <w:color w:val="auto"/>
        </w:rPr>
      </w:pPr>
    </w:p>
    <w:p>
      <w:pPr>
        <w:ind w:left="424" w:right="120" w:hanging="424"/>
        <w:spacing w:after="0" w:line="26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in Blaize Common Stock, attributable to existing holdings in BurTech Class A Common Stock that is held by underwriters associated with BurTech’s initial public offering.</w:t>
      </w:r>
    </w:p>
    <w:p>
      <w:pPr>
        <w:spacing w:after="0" w:line="181"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The table above excludes Blaize shares associated with (i) Blaize Options, (ii) Blaize RSUs, (iii) any potential Blaize Earnout Shares and (iv) Public and Private Warrants.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24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3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right"/>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50,237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$(5,271)</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4(A)</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44,968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33,055</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33,812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(including related parties of $0)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(2,358)</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759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47,558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(47,558)</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48,317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(22,132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106,701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 AND STOCKHOLDERS’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8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(1,971)</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4(E)</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(8,986)</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(2,971)</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148,629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(148,629)</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(14,711)</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Non-redemption agreement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(1,085)</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4(Q)</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188,143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14,017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(179,853)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22,307</w:t>
            </w:r>
          </w:p>
        </w:tc>
        <w:tc>
          <w:tcPr>
            <w:tcW w:w="0" w:type="dxa"/>
            <w:vAlign w:val="bottom"/>
          </w:tcPr>
          <w:p>
            <w:pPr>
              <w:spacing w:after="0"/>
              <w:rPr>
                <w:sz w:val="1"/>
                <w:szCs w:val="1"/>
                <w:color w:val="auto"/>
              </w:rPr>
            </w:pPr>
          </w:p>
        </w:tc>
      </w:tr>
      <w:tr>
        <w:trPr>
          <w:trHeight w:val="365"/>
        </w:trPr>
        <w:tc>
          <w:tcPr>
            <w:tcW w:w="4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10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3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3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 liability</w:t>
            </w: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88,504</w:t>
            </w:r>
          </w:p>
        </w:tc>
        <w:tc>
          <w:tcPr>
            <w:tcW w:w="30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4(H)</w:t>
            </w:r>
          </w:p>
        </w:tc>
        <w:tc>
          <w:tcPr>
            <w:tcW w:w="12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88,504</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1,166</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(8,563)</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(1,500)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4(J)</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(92,849)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113,647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173,347</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(173,347)</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4(K)</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47,598</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(47,598)</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4(L)</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BurTech Acquisition Corp. Class A Ordinary Shares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4(M)</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 Acquisition Corp. Class B Ordinary Shares</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Blaize Holdings, Inc. common stock</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145,441</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619,752</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4(O)</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765,193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(429,251)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(23,362)</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(328,099)</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4(P)</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(772,149)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(283,810)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291,662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(6,946)</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80,516</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48,317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(22,132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$ 106,701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67" w:name="page68"/>
    <w:bookmarkEnd w:id="6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 FOR THE YEAR ENDED DECEMBER 31, 2024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BurTech</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80" w:type="dxa"/>
            <w:vAlign w:val="bottom"/>
          </w:tcPr>
          <w:p>
            <w:pPr>
              <w:spacing w:after="0"/>
              <w:rPr>
                <w:sz w:val="12"/>
                <w:szCs w:val="12"/>
                <w:color w:val="auto"/>
              </w:rPr>
            </w:pPr>
          </w:p>
        </w:tc>
        <w:tc>
          <w:tcPr>
            <w:tcW w:w="1360" w:type="dxa"/>
            <w:vAlign w:val="bottom"/>
            <w:gridSpan w:val="3"/>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020" w:type="dxa"/>
            <w:vAlign w:val="bottom"/>
            <w:gridSpan w:val="3"/>
            <w:vMerge w:val="continue"/>
          </w:tcPr>
          <w:p>
            <w:pPr>
              <w:spacing w:after="0"/>
              <w:rPr>
                <w:sz w:val="15"/>
                <w:szCs w:val="15"/>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related party revenue of $1,525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8,521</w:t>
            </w: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33,615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7,047</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34,437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12,602</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5(B)</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12,819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49,189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28,170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82,336</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2023 convertible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(252,811)</w:t>
            </w: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(77,836)</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liability – Non- redemption</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1,085</w:t>
            </w: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5(F)</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(2,465)</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5(E)</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(14,512)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(332,027)</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(345,159)</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(360,197)</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(360,197</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98"/>
              </w:rPr>
              <w:t>17,476,105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15,150,141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101,588,967</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2"/>
              </w:rPr>
              <w:t>) $</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8" w:name="page69"/>
    <w:bookmarkEnd w:id="68"/>
    <w:p>
      <w:pPr>
        <w:ind w:right="1560" w:firstLine="1578"/>
        <w:spacing w:after="0" w:line="37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 FINANCIAL INFORMATION Note 1 — Basis of Presentation</w:t>
      </w: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Business Combination between Blaize and BurTech is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Blaize as of December 31, 2024 assumes that the transactions occurred on December 31, 2024. The unaudited pro forma condensed combined statement of operations of Blaize for the year ended December 31, 2024 presents pro forma effect to the transactions as if it had been completed on January 1, 2023.</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and unaudited pro forma condensed combined statement of operations for the year ended December 31, 2024 has been prepared using, and should be read in conjunction with, the following:</w:t>
      </w:r>
    </w:p>
    <w:p>
      <w:pPr>
        <w:spacing w:after="0" w:line="67" w:lineRule="exact"/>
        <w:rPr>
          <w:sz w:val="20"/>
          <w:szCs w:val="20"/>
          <w:color w:val="auto"/>
        </w:rPr>
      </w:pPr>
    </w:p>
    <w:p>
      <w:pPr>
        <w:ind w:left="960" w:right="48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BurTech for the year ended December 31, 2024 and the related notes, which are incorporated by reference into the Form 8-K/A; and</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Blaize for the year ended December 31, 2024 and the related notes, which are incorporated by reference into the Form 8-K/A.</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other material transactions and has been prepared for informational purposes only.</w:t>
      </w:r>
    </w:p>
    <w:p>
      <w:pPr>
        <w:spacing w:after="0" w:line="162" w:lineRule="exact"/>
        <w:rPr>
          <w:sz w:val="20"/>
          <w:szCs w:val="20"/>
          <w:color w:val="auto"/>
        </w:rPr>
      </w:pPr>
    </w:p>
    <w:p>
      <w:pPr>
        <w:ind w:right="220" w:firstLine="440"/>
        <w:spacing w:after="0" w:line="274" w:lineRule="auto"/>
        <w:rPr>
          <w:sz w:val="20"/>
          <w:szCs w:val="20"/>
          <w:color w:val="auto"/>
        </w:rPr>
      </w:pPr>
      <w:r>
        <w:rPr>
          <w:rFonts w:ascii="Times New Roman" w:cs="Times New Roman" w:eastAsia="Times New Roman" w:hAnsi="Times New Roman"/>
          <w:sz w:val="17"/>
          <w:szCs w:val="17"/>
          <w:color w:val="auto"/>
        </w:rPr>
        <w:t>Management has made significant estimates and assumptions in its determination of the pro forma adjustments (“Other Material Event Adjustments” and “Transaction Accounting Adjustments”). As the unaudited pro forma condensed combined financial information has been prepared based on these preliminary estimates, the final amounts recorded may differ materially from the information presented. Article 11 of Regulation S-X allows for the presentation of reasonably estimable synergies and other transaction effects that have occurred or are reasonably expected to occur (“Management’s Adjustments”). Blaize has elected not to present Management’s Adjustments and will only be presenting Other Material Event Adjustments and Transaction Accounting Adjustments in the following unaudited pro forma condensed combined financial information.</w:t>
      </w:r>
    </w:p>
    <w:p>
      <w:pPr>
        <w:spacing w:after="0" w:line="17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reflecting the Business Combination with BurTech are based on certain currently available information and certain assumptions and methodologies that BurTech believes are reasonable under the circumstances. The unaudited pro forma adjustments, which are described in the accompanying notes, may be revised as additional information becomes available and is evaluated.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69" w:name="page70"/>
    <w:bookmarkEnd w:id="69"/>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Therefore, it is likely that the actual adjustments will differ from the pro forma adjustments, and it is possible such differences may be material. BurTech believes that these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pro forma condensed combined provision for income taxes does not necessarily reflect the amounts that would have resulted had Blaize filed consolidated income tax returns during the periods presented.</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amounts presented in the unaudited pro forma condensed combined statements of operations are based upon the number of Blaize shares outstanding, assuming the Business Combination occurred on January 1, 2023.</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Blaize. They should be read in conjunction with the historical financial statements and notes thereto of BurTech and Blaize.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 and In-Process Accounting Analysis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accounting for the completed Business Combination, management will perform a comprehensive review of BurTech’s accounting policies. As a result of the review, management may identify differences between the accounting policies of the companies which, when conformed, could have a material impact on the combined financial statements. Based on its initial analysis, management has not identified any material differences in accounting policies that would have a material impact on the unaudited pro forma condensed combined financial information.</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and around December 31, 2024, the Company entered into the Non-Redemption Agreement with one or more unaffiliated stockholders of the Company who agreed not to redeem (or validly rescind any redemption requests on) their shares of Class A common stock, par value $0.0001 per share of the, in connection with the Special Meeting. In exchange for the foregoing commitments not to redeem the Non-Redeemed Shares, Blaize and BurTech LP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The Company has not completed its analysis of the accounting for the Non-Redeemed Shares, but will evaluate the provisions to determine if the instrument will be accounted for in accordance with:</w:t>
      </w:r>
    </w:p>
    <w:p>
      <w:pPr>
        <w:spacing w:after="0" w:line="94" w:lineRule="exact"/>
        <w:rPr>
          <w:sz w:val="20"/>
          <w:szCs w:val="20"/>
          <w:color w:val="auto"/>
        </w:rPr>
      </w:pPr>
    </w:p>
    <w:p>
      <w:pPr>
        <w:ind w:left="960" w:right="36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480 — Distinguishing Liabilities from Equity — if the instrument is treated as a liability, it will be recognized at fair value upon issuance and each reporting period with changes in fair value recognized in income</w:t>
      </w:r>
    </w:p>
    <w:p>
      <w:pPr>
        <w:spacing w:after="0" w:line="67" w:lineRule="exact"/>
        <w:rPr>
          <w:rFonts w:ascii="Times New Roman" w:cs="Times New Roman" w:eastAsia="Times New Roman" w:hAnsi="Times New Roman"/>
          <w:sz w:val="18"/>
          <w:szCs w:val="18"/>
          <w:color w:val="auto"/>
        </w:rPr>
      </w:pPr>
    </w:p>
    <w:p>
      <w:pPr>
        <w:ind w:left="960" w:right="240" w:hanging="424"/>
        <w:spacing w:after="0" w:line="289" w:lineRule="auto"/>
        <w:tabs>
          <w:tab w:leader="none" w:pos="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815 — Derivative and Hedging — and if the instrument meets the criteria to be accounted for within equity, the fair value of the instrument will be recognized as a component of equity. If the instrument does not meet the criteria to be accounted for within equity, it will be recognized as a liability at fair value upon issuance and each reporting period with changes in fair value recognized in income.</w:t>
      </w:r>
    </w:p>
    <w:p>
      <w:pPr>
        <w:spacing w:after="0" w:line="15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not yet completed a valuation to determine the fair value of the instrument and results of the accounting may be material to the post-combination entity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Adjustments to Unaudited Pro Forma Condensed Combined Financial Information for Other Material Events</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Subsequent to December 31, 2024, BurTech has had certain events occur, or that were probable of occurring, that are considered material to investors.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BurTech Material Event Adjustments </w:t>
      </w:r>
      <w:r>
        <w:rPr>
          <w:rFonts w:ascii="Times New Roman" w:cs="Times New Roman" w:eastAsia="Times New Roman" w:hAnsi="Times New Roman"/>
          <w:sz w:val="18"/>
          <w:szCs w:val="18"/>
          <w:color w:val="auto"/>
        </w:rPr>
        <w:t>— BurTech adjustments include:</w:t>
      </w:r>
    </w:p>
    <w:p>
      <w:pPr>
        <w:spacing w:after="0" w:line="133" w:lineRule="exact"/>
        <w:rPr>
          <w:sz w:val="20"/>
          <w:szCs w:val="20"/>
          <w:color w:val="auto"/>
        </w:rPr>
      </w:pPr>
    </w:p>
    <w:p>
      <w:pPr>
        <w:ind w:left="960" w:right="20" w:hanging="532"/>
        <w:spacing w:after="0" w:line="261"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effects of the April 26, 2024 amended Underwriting Agreement between BurTech and EF Hutton, whereby in lieu of BurTech paying the full deferred underwriting commission of $10.1 million, EF Hutton agreed to accept a $1.5 million settlement if the Business Combination closes. Accordingly, an adjustment has been made to reduce the deferred underwriting commission liability by $8.6 million, with a corresponding adjustment to accumulated deficit.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Transaction Accounting Adjustments to Unaudited Pro Forma Condensed Combined Balance Sheet</w:t>
      </w:r>
    </w:p>
    <w:p>
      <w:pPr>
        <w:spacing w:after="0" w:line="12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pro forma Blaize and Transaction Accounting Adjustments, based on preliminary estimates that could change materially as additional information is obtained, are as follows:</w:t>
      </w:r>
    </w:p>
    <w:p>
      <w:pPr>
        <w:spacing w:after="0" w:line="65" w:lineRule="exact"/>
        <w:rPr>
          <w:sz w:val="20"/>
          <w:szCs w:val="20"/>
          <w:color w:val="auto"/>
        </w:rPr>
      </w:pPr>
    </w:p>
    <w:p>
      <w:pPr>
        <w:ind w:left="960" w:hanging="532"/>
        <w:spacing w:after="0" w:line="284"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Reflects the Transaction Accounting Adjustments impact of the Business Combination on the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balance of Blaize. The table below summarizes the pro forma adjustments as follows:</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68" w:right="519" w:bottom="1440" w:gutter="0" w:footer="0" w:header="0"/>
        </w:sectPr>
      </w:pPr>
    </w:p>
    <w:bookmarkStart w:id="71" w:name="page72"/>
    <w:bookmarkEnd w:id="71"/>
    <w:tbl>
      <w:tblPr>
        <w:tblLayout w:type="fixed"/>
        <w:tblInd w:w="339"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9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35"/>
        </w:trPr>
        <w:tc>
          <w:tcPr>
            <w:tcW w:w="66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funds held in the Trust Account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4(A)(i)</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36,695</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transaction costs and other costs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4(A)(ii)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(18,343)</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BurTech related party notes and advance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4(A)(iii)</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(4,471)</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deferred underwriting fee payable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4(A)(iv)</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PIPE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4(A)(v)</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15,403</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restricted cash</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4(A)(vi)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(33,055)</w:t>
            </w:r>
          </w:p>
        </w:tc>
      </w:tr>
      <w:tr>
        <w:trPr>
          <w:trHeight w:val="27"/>
        </w:trPr>
        <w:tc>
          <w:tcPr>
            <w:tcW w:w="7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Cash and cash equivalents</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(5,271)</w:t>
            </w:r>
          </w:p>
        </w:tc>
      </w:tr>
      <w:tr>
        <w:trPr>
          <w:trHeight w:val="20"/>
        </w:trPr>
        <w:tc>
          <w:tcPr>
            <w:tcW w:w="7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39" w:right="20" w:hanging="439"/>
        <w:spacing w:after="0" w:line="258"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release of $36.7 million of funds held in the Trust Account upon the Closing of the Business Combination subsequent to redemptions. After giving effect to the $33.1 million reclassification of funds to restricted cash pursuant to Note 4(R),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remaining funds will be made available for the ongoing operations of Blaize as cash and cash equivalents. Refer to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for the corresponding pro forma adjusting entries for the decrease of funds held in the Trust Account.</w:t>
      </w:r>
    </w:p>
    <w:p>
      <w:pPr>
        <w:spacing w:after="0" w:line="88" w:lineRule="exact"/>
        <w:rPr>
          <w:rFonts w:ascii="Times New Roman" w:cs="Times New Roman" w:eastAsia="Times New Roman" w:hAnsi="Times New Roman"/>
          <w:sz w:val="18"/>
          <w:szCs w:val="18"/>
          <w:color w:val="auto"/>
        </w:rPr>
      </w:pPr>
    </w:p>
    <w:p>
      <w:pPr>
        <w:ind w:left="439" w:right="20" w:hanging="439"/>
        <w:spacing w:after="0" w:line="266"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$18.3 million of nonrecurring transaction costs incurred, or estimated transaction costs remaining to be incurred, settled prior to, or upon, the Closing of the Business Combination. Amount represents the costs of financial advisory, legal, and other professional services, in connection with the Business Combination.</w:t>
      </w:r>
    </w:p>
    <w:p>
      <w:pPr>
        <w:spacing w:after="0" w:line="67" w:lineRule="exact"/>
        <w:rPr>
          <w:rFonts w:ascii="Times New Roman" w:cs="Times New Roman" w:eastAsia="Times New Roman" w:hAnsi="Times New Roman"/>
          <w:sz w:val="18"/>
          <w:szCs w:val="18"/>
          <w:color w:val="auto"/>
        </w:rPr>
      </w:pPr>
    </w:p>
    <w:p>
      <w:pPr>
        <w:ind w:lef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$18.3 million estimated transaction costs, approximately $11.4 million are incurred by BurTech. $4.2 million of BurTech’s total $11.4 million transaction costs were included on BurTech’s historical balance sheet as of December 31, 2024 as a component of BurTech’s accrued expenses and other current liabilities balance. See Note 4(E), </w:t>
      </w:r>
      <w:r>
        <w:rPr>
          <w:rFonts w:ascii="Times New Roman" w:cs="Times New Roman" w:eastAsia="Times New Roman" w:hAnsi="Times New Roman"/>
          <w:sz w:val="18"/>
          <w:szCs w:val="18"/>
          <w:i w:val="1"/>
          <w:iCs w:val="1"/>
          <w:color w:val="auto"/>
        </w:rPr>
        <w:t>Accounts payable and accrued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the corresponding pro forma adjusting entries. The approximate remaining amount of $7.2 million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costs incurred by BurTech. These amounts exclude the $1.5 million of BurTech’s transaction costs relating to the deferred underwriting fees described in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4(J), </w:t>
      </w:r>
      <w:r>
        <w:rPr>
          <w:rFonts w:ascii="Times New Roman" w:cs="Times New Roman" w:eastAsia="Times New Roman" w:hAnsi="Times New Roman"/>
          <w:sz w:val="18"/>
          <w:szCs w:val="18"/>
          <w:i w:val="1"/>
          <w:iCs w:val="1"/>
          <w:color w:val="auto"/>
        </w:rPr>
        <w:t>Deferred 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commissions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39"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2024, $6.8 million of Blaize’s total $11.2 million in expected transaction costs were accrued on the historical balance sheet of Blaize as a component of Blaize’s accounts payable and accrued expense balances. See Note 4(E),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payable and accrued and other current liabilities</w:t>
      </w:r>
      <w:r>
        <w:rPr>
          <w:rFonts w:ascii="Times New Roman" w:cs="Times New Roman" w:eastAsia="Times New Roman" w:hAnsi="Times New Roman"/>
          <w:sz w:val="18"/>
          <w:szCs w:val="18"/>
          <w:color w:val="auto"/>
        </w:rPr>
        <w:t>, for the corresponding pro forma adjusting entries. Of the remaining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$4.3 million had already been paid as of December 31, 2024. The approximate remaining amount of $0.1 million consists of transaction costs incurred by Blaize (see Note 4(O)(i)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and Note 4(P)(ii),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$1.0 million increase and $1.1 million decrease to Blaize’s additional paid-in capital and accumulated deficit balances).</w:t>
      </w:r>
    </w:p>
    <w:p>
      <w:pPr>
        <w:spacing w:after="0" w:line="94" w:lineRule="exact"/>
        <w:rPr>
          <w:rFonts w:ascii="Times New Roman" w:cs="Times New Roman" w:eastAsia="Times New Roman" w:hAnsi="Times New Roman"/>
          <w:sz w:val="18"/>
          <w:szCs w:val="18"/>
          <w:color w:val="auto"/>
        </w:rPr>
      </w:pPr>
    </w:p>
    <w:p>
      <w:pPr>
        <w:ind w:left="439" w:right="280" w:hanging="439"/>
        <w:spacing w:after="0" w:line="266"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settlement of certain convertible working capital loans from the Sponsor to BurTech in the amount of $1.5 million and the settlement of advance from the Sponsor to BurTech in the amount $3.0 million. The convertible promissory notes were settled in cash, rather than converted to Blaize equity.</w:t>
      </w:r>
    </w:p>
    <w:p>
      <w:pPr>
        <w:spacing w:after="0" w:line="81" w:lineRule="exact"/>
        <w:rPr>
          <w:rFonts w:ascii="Times New Roman" w:cs="Times New Roman" w:eastAsia="Times New Roman" w:hAnsi="Times New Roman"/>
          <w:sz w:val="18"/>
          <w:szCs w:val="18"/>
          <w:color w:val="auto"/>
        </w:rPr>
      </w:pPr>
    </w:p>
    <w:p>
      <w:pPr>
        <w:ind w:left="439" w:hanging="439"/>
        <w:spacing w:after="0" w:line="282"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payment of deferred underwriting commissions incurred during BurTech’s IPO, which was settled in cash, in the amount of $1.5 million. See Note 4(J), </w:t>
      </w:r>
      <w:r>
        <w:rPr>
          <w:rFonts w:ascii="Times New Roman" w:cs="Times New Roman" w:eastAsia="Times New Roman" w:hAnsi="Times New Roman"/>
          <w:sz w:val="18"/>
          <w:szCs w:val="18"/>
          <w:i w:val="1"/>
          <w:iCs w:val="1"/>
          <w:color w:val="auto"/>
        </w:rPr>
        <w:t>Deferred underwriting commissions</w:t>
      </w:r>
      <w:r>
        <w:rPr>
          <w:rFonts w:ascii="Times New Roman" w:cs="Times New Roman" w:eastAsia="Times New Roman" w:hAnsi="Times New Roman"/>
          <w:sz w:val="18"/>
          <w:szCs w:val="18"/>
          <w:color w:val="auto"/>
        </w:rPr>
        <w:t>, for the corresponding pro forma adjusting entries.</w:t>
      </w:r>
    </w:p>
    <w:p>
      <w:pPr>
        <w:spacing w:after="0" w:line="67" w:lineRule="exact"/>
        <w:rPr>
          <w:rFonts w:ascii="Times New Roman" w:cs="Times New Roman" w:eastAsia="Times New Roman" w:hAnsi="Times New Roman"/>
          <w:sz w:val="18"/>
          <w:szCs w:val="18"/>
          <w:color w:val="auto"/>
        </w:rPr>
      </w:pPr>
    </w:p>
    <w:p>
      <w:pPr>
        <w:ind w:left="439" w:right="60" w:hanging="439"/>
        <w:spacing w:after="0" w:line="266" w:lineRule="auto"/>
        <w:tabs>
          <w:tab w:leader="none" w:pos="4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proceeds of $15.4 million from the issuance and sale of 1.5 million shares of Blaize common stock, with a per share par value of $0.0001, at $10.00 per share pursuant to the PIPE Investment. See Note 4(O)(x),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for the corresponding pro forma adjusting entries.</w:t>
      </w:r>
    </w:p>
    <w:p>
      <w:pPr>
        <w:spacing w:after="0" w:line="108"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19"/>
          </w:cols>
          <w:pgMar w:left="1421" w:top="263" w:right="459" w:bottom="1440" w:gutter="0" w:footer="0" w:header="0"/>
        </w:sectPr>
      </w:pPr>
    </w:p>
    <w:bookmarkStart w:id="72" w:name="page73"/>
    <w:bookmarkEnd w:id="72"/>
    <w:p>
      <w:pPr>
        <w:ind w:left="1000" w:right="60" w:hanging="439"/>
        <w:spacing w:after="0" w:line="261"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represents the reclassification of $33.1 million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4(R),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for the corresponding pro forma adjusting entries.</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Tickmark (B) is purposefully not used.</w:t>
      </w:r>
    </w:p>
    <w:p>
      <w:pPr>
        <w:spacing w:after="0" w:line="128" w:lineRule="exact"/>
        <w:rPr>
          <w:rFonts w:ascii="Times New Roman" w:cs="Times New Roman" w:eastAsia="Times New Roman" w:hAnsi="Times New Roman"/>
          <w:sz w:val="18"/>
          <w:szCs w:val="18"/>
          <w:color w:val="auto"/>
        </w:rPr>
      </w:pPr>
    </w:p>
    <w:p>
      <w:pPr>
        <w:ind w:left="540" w:right="40" w:hanging="532"/>
        <w:spacing w:after="0" w:line="25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Prepaid expenses and other current assets — </w:t>
      </w:r>
      <w:r>
        <w:rPr>
          <w:rFonts w:ascii="Times New Roman" w:cs="Times New Roman" w:eastAsia="Times New Roman" w:hAnsi="Times New Roman"/>
          <w:sz w:val="18"/>
          <w:szCs w:val="18"/>
          <w:color w:val="auto"/>
        </w:rPr>
        <w:t>Reflects (i) the reclassification of $11.1 million of transaction costs incurred by Blaize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the Business Combination and which are capitalized within Blaize’s prepaid expenses and other current assets as of December 31, 2024. Upon the close of the Business Combination, such costs were reclassified as an equity issuance cost, resulting in a $11.1 million decrease to prepaid expenses and other current assets and a $11.1 million decrease to additional paid-in capital. Additionally, reflects the (ii) $8.8 million note receivable related to the Sponsor Note for which the Company issued 750 thousand shares of Blaize common stock pursuant to the Sponsor Note Issuance. See Note 4(O)(ii) and (x), Additional paid-in capital, for the corresponding pro forma adjusting entries.</w:t>
      </w:r>
    </w:p>
    <w:p>
      <w:pPr>
        <w:spacing w:after="0" w:line="88" w:lineRule="exact"/>
        <w:rPr>
          <w:rFonts w:ascii="Times New Roman" w:cs="Times New Roman" w:eastAsia="Times New Roman" w:hAnsi="Times New Roman"/>
          <w:sz w:val="18"/>
          <w:szCs w:val="18"/>
          <w:color w:val="auto"/>
        </w:rPr>
      </w:pPr>
    </w:p>
    <w:p>
      <w:pPr>
        <w:ind w:left="540" w:right="160" w:hanging="532"/>
        <w:spacing w:after="0" w:line="26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Investments held in the Trust Account — </w:t>
      </w:r>
      <w:r>
        <w:rPr>
          <w:rFonts w:ascii="Times New Roman" w:cs="Times New Roman" w:eastAsia="Times New Roman" w:hAnsi="Times New Roman"/>
          <w:sz w:val="18"/>
          <w:szCs w:val="18"/>
          <w:color w:val="auto"/>
        </w:rPr>
        <w:t>Represents the reclassification of $36.7 million of funds associated with the Investments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Trust Account that become available at the Closing of the Business Combination after giving effect to the impact of redemptions of BurTech’s Class A Redeemable Common Stock amounting to $10.9 million. See Note 4(A)(i),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4(L), </w:t>
      </w:r>
      <w:r>
        <w:rPr>
          <w:rFonts w:ascii="Times New Roman" w:cs="Times New Roman" w:eastAsia="Times New Roman" w:hAnsi="Times New Roman"/>
          <w:sz w:val="18"/>
          <w:szCs w:val="18"/>
          <w:i w:val="1"/>
          <w:iCs w:val="1"/>
          <w:color w:val="auto"/>
        </w:rPr>
        <w:t xml:space="preserve">Class A Common Stock subject to redemption </w:t>
      </w:r>
      <w:r>
        <w:rPr>
          <w:rFonts w:ascii="Times New Roman" w:cs="Times New Roman" w:eastAsia="Times New Roman" w:hAnsi="Times New Roman"/>
          <w:sz w:val="18"/>
          <w:szCs w:val="18"/>
          <w:color w:val="auto"/>
        </w:rPr>
        <w:t>and for the corresponding pro forma adjusting entries.</w:t>
      </w:r>
    </w:p>
    <w:p>
      <w:pPr>
        <w:spacing w:after="0" w:line="85"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payable and accrued and other current liabilities </w:t>
      </w:r>
      <w:r>
        <w:rPr>
          <w:rFonts w:ascii="Times New Roman" w:cs="Times New Roman" w:eastAsia="Times New Roman" w:hAnsi="Times New Roman"/>
          <w:sz w:val="18"/>
          <w:szCs w:val="18"/>
          <w:color w:val="auto"/>
        </w:rPr>
        <w:t>— Reflects the payment of $4.2 million of nonrecurring transaction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by BurTech for legal services settled prior to, or upon, the Closing of the Business Combination. Additionally, reflects the payment of $6.8 million of nonrecurring transaction costs incurred by Blaize for financial advisory, legal, and other professional services settled prior to, or upon, the Closing of the Business Combination. See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advances and working capital loans </w:t>
      </w:r>
      <w:r>
        <w:rPr>
          <w:rFonts w:ascii="Times New Roman" w:cs="Times New Roman" w:eastAsia="Times New Roman" w:hAnsi="Times New Roman"/>
          <w:sz w:val="18"/>
          <w:szCs w:val="18"/>
          <w:color w:val="auto"/>
        </w:rPr>
        <w:t>— Represents the settlement of certain convertible working capital loans from the Sponsor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BurTech in the amount of $1.5 million and the settlement of advance from the Sponsor to BurTech in the amount $3.0 million. The convertible promissory notes were settled in cash, rather than converted to BurTech equity, and paid off with funds from the Business Combination. See Note 4(A)(iii),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5"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 Immediately prior to the closing of the Business Combination, all outstanding amounts of the convertible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those issued to the Final Closing Lenders, as defined, together with all accrued and unpaid interest thereon, converted into shares of Blaize Common Stock. As the convertible notes are accounted for at fair value or are expected to be recorded at fair value on a recurring basis, the Company performed a final fair value measurement using the value of Blaize shares ultimately to be issued to such lenders. The measurement was performed using an assumed market price of $13.09 per share on the first date of trading, which resulted in a loss related to the change in fair value of $262.8 million. See Note 4(P)(iii)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for corresponding pro forma entries. The remeasured value of $411.5 million was reclassified into additional paid in capital, see Note 4(O)(iii)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w:t>
      </w:r>
    </w:p>
    <w:p>
      <w:pPr>
        <w:spacing w:after="0" w:line="90" w:lineRule="exact"/>
        <w:rPr>
          <w:rFonts w:ascii="Times New Roman" w:cs="Times New Roman" w:eastAsia="Times New Roman" w:hAnsi="Times New Roman"/>
          <w:sz w:val="18"/>
          <w:szCs w:val="18"/>
          <w:color w:val="auto"/>
        </w:rPr>
      </w:pPr>
    </w:p>
    <w:p>
      <w:pPr>
        <w:ind w:left="540" w:right="320" w:hanging="532"/>
        <w:spacing w:after="0" w:line="267"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Earnout shares liability </w:t>
      </w:r>
      <w:r>
        <w:rPr>
          <w:rFonts w:ascii="Times New Roman" w:cs="Times New Roman" w:eastAsia="Times New Roman" w:hAnsi="Times New Roman"/>
          <w:sz w:val="18"/>
          <w:szCs w:val="18"/>
          <w:color w:val="auto"/>
        </w:rPr>
        <w:t>— Reflects the preliminary estimated fair value of liability classified Blaize Equityholders’ Earnout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$88.5 million as of December 31, 2024, with a corresponding decrease of $88.5 million to additional paid-in capital. See Note 4(O)(iv)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 For further information on the earnout shares, see Note 6.</w:t>
      </w:r>
    </w:p>
    <w:p>
      <w:pPr>
        <w:spacing w:after="0" w:line="78" w:lineRule="exact"/>
        <w:rPr>
          <w:rFonts w:ascii="Times New Roman" w:cs="Times New Roman" w:eastAsia="Times New Roman" w:hAnsi="Times New Roman"/>
          <w:sz w:val="18"/>
          <w:szCs w:val="18"/>
          <w:color w:val="auto"/>
        </w:rPr>
      </w:pPr>
    </w:p>
    <w:p>
      <w:pPr>
        <w:ind w:left="540" w:right="60" w:hanging="532"/>
        <w:spacing w:after="0" w:line="267"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 liabilities </w:t>
      </w:r>
      <w:r>
        <w:rPr>
          <w:rFonts w:ascii="Times New Roman" w:cs="Times New Roman" w:eastAsia="Times New Roman" w:hAnsi="Times New Roman"/>
          <w:sz w:val="18"/>
          <w:szCs w:val="18"/>
          <w:color w:val="auto"/>
        </w:rPr>
        <w:t>— Immediately prior to the Effective Time, the outstanding Blaize warrants were automatically net exercised in full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Blaize Common Stock or such warrants expired. Pro forma adjustment reflects (i) the final remeasurement to fair value of $83.5 million and (ii) the elimination of a liability of $98.2 million associated with such warrant liabilities which</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60" w:top="270" w:right="459" w:bottom="1440" w:gutter="0" w:footer="0" w:header="0"/>
        </w:sectPr>
      </w:pPr>
    </w:p>
    <w:bookmarkStart w:id="73" w:name="page74"/>
    <w:bookmarkEnd w:id="73"/>
    <w:p>
      <w:pPr>
        <w:jc w:val="both"/>
        <w:ind w:left="56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occurred in conjunction with the Closing and the settlement into equity as part of the recapitalization and equity exchange. The warrant treatment assumes that certain Blaize warrants that were out of the money at Closing Date remain unexercised and therefore expire. See Note 4(O)(v),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and Note 4(P)(iv),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pro forma adjusting entries.</w:t>
      </w:r>
    </w:p>
    <w:p>
      <w:pPr>
        <w:spacing w:after="0" w:line="79" w:lineRule="exact"/>
        <w:rPr>
          <w:sz w:val="20"/>
          <w:szCs w:val="20"/>
          <w:color w:val="auto"/>
        </w:rPr>
      </w:pPr>
    </w:p>
    <w:p>
      <w:pPr>
        <w:ind w:left="540" w:right="60" w:hanging="532"/>
        <w:spacing w:after="0" w:line="26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underwriting commissions </w:t>
      </w:r>
      <w:r>
        <w:rPr>
          <w:rFonts w:ascii="Times New Roman" w:cs="Times New Roman" w:eastAsia="Times New Roman" w:hAnsi="Times New Roman"/>
          <w:sz w:val="18"/>
          <w:szCs w:val="18"/>
          <w:color w:val="auto"/>
        </w:rPr>
        <w:t>— Reflects the settlement of BurTech’s $1.5 million deferred underwriting commissions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of the Business Combination from the funds held in the Trust Account. Refer to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540" w:right="340" w:hanging="532"/>
        <w:spacing w:after="0" w:line="26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preferred stock </w:t>
      </w:r>
      <w:r>
        <w:rPr>
          <w:rFonts w:ascii="Times New Roman" w:cs="Times New Roman" w:eastAsia="Times New Roman" w:hAnsi="Times New Roman"/>
          <w:sz w:val="18"/>
          <w:szCs w:val="18"/>
          <w:color w:val="auto"/>
        </w:rPr>
        <w:t>— Represents the conversion of 44,494,703 shares of Blaize Redeemable Convertible Preferred Stock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44,494,703 shares of Common Stock, immediately prior to the Closing of the Business Combination as part of the Blaize Security Conversion event, resulting in the reclassification of $173.3 million from mezzanine equity to permanent equity.</w:t>
      </w:r>
    </w:p>
    <w:p>
      <w:pPr>
        <w:spacing w:after="0" w:line="78"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 A Common Stock subject to redemption — </w:t>
      </w:r>
      <w:r>
        <w:rPr>
          <w:rFonts w:ascii="Times New Roman" w:cs="Times New Roman" w:eastAsia="Times New Roman" w:hAnsi="Times New Roman"/>
          <w:sz w:val="18"/>
          <w:szCs w:val="18"/>
          <w:color w:val="auto"/>
        </w:rPr>
        <w:t>Represents the reclassification of $36.7 million of BurTech’s Redeemable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which was not redeemed, from temporary equity (mezzanine) to permanent equity of Blaize after giving effect to the redemption of 937,844 public shares. The redemptions were paid with funds from the trust account, amounting to $10.9 million. Refer to Note 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xml:space="preserve"> and Note 4(O)(vii),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540" w:right="580" w:hanging="532"/>
        <w:spacing w:after="0" w:line="284"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Acquisition Corp. Class A Ordinary Shares — </w:t>
      </w:r>
      <w:r>
        <w:rPr>
          <w:rFonts w:ascii="Times New Roman" w:cs="Times New Roman" w:eastAsia="Times New Roman" w:hAnsi="Times New Roman"/>
          <w:sz w:val="18"/>
          <w:szCs w:val="18"/>
          <w:color w:val="auto"/>
        </w:rPr>
        <w:t>Represents adjustment to reclassify the par value associated with BurTech’s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to the par value associated with Blaize.</w:t>
      </w:r>
    </w:p>
    <w:p>
      <w:pPr>
        <w:spacing w:after="0" w:line="63" w:lineRule="exact"/>
        <w:rPr>
          <w:rFonts w:ascii="Times New Roman" w:cs="Times New Roman" w:eastAsia="Times New Roman" w:hAnsi="Times New Roman"/>
          <w:sz w:val="18"/>
          <w:szCs w:val="18"/>
          <w:color w:val="auto"/>
        </w:rPr>
      </w:pPr>
    </w:p>
    <w:p>
      <w:pPr>
        <w:ind w:left="540" w:right="60" w:hanging="532"/>
        <w:spacing w:after="0" w:line="284"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Blaize Common Stock </w:t>
      </w:r>
      <w:r>
        <w:rPr>
          <w:rFonts w:ascii="Times New Roman" w:cs="Times New Roman" w:eastAsia="Times New Roman" w:hAnsi="Times New Roman"/>
          <w:sz w:val="18"/>
          <w:szCs w:val="18"/>
          <w:color w:val="auto"/>
        </w:rPr>
        <w:t>— Represents the adjustment to establish the value of the common stock based on a par value of $0.0001 as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101,588,967 shares of Blaize outstanding at the Effective Time.</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60" w:top="270" w:right="459" w:bottom="1440" w:gutter="0" w:footer="0" w:header="0"/>
        </w:sectPr>
      </w:pPr>
    </w:p>
    <w:bookmarkStart w:id="74" w:name="page75"/>
    <w:bookmarkEnd w:id="74"/>
    <w:p>
      <w:pPr>
        <w:ind w:left="540" w:right="880" w:hanging="532"/>
        <w:spacing w:after="0" w:line="284"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paid-in capital — </w:t>
      </w:r>
      <w:r>
        <w:rPr>
          <w:rFonts w:ascii="Times New Roman" w:cs="Times New Roman" w:eastAsia="Times New Roman" w:hAnsi="Times New Roman"/>
          <w:sz w:val="18"/>
          <w:szCs w:val="18"/>
          <w:color w:val="auto"/>
        </w:rPr>
        <w:t>Represents the impact of the Business Combination on additional paid-in capital. The table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summarizes the pro forma adjustments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6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35"/>
        </w:trPr>
        <w:tc>
          <w:tcPr>
            <w:tcW w:w="65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4(O)(i)</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 of Deferred Transaction Costs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4(O)(ii)</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(11,112)</w:t>
            </w: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Blaize Convertible Notes</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4(O)(iii)</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411,462</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Recognition of liability classified Earnout Shares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4(O)(iv)</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(88,504)</w:t>
            </w: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Blaize Warrants</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4(O)(v)</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98,248</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Blaize Redeemable Convertible Preferred Stock</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4(O)(vi)</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173,338</w:t>
            </w:r>
          </w:p>
        </w:tc>
        <w:tc>
          <w:tcPr>
            <w:tcW w:w="8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BurTech’s Redeemable Class A Common Stock</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4(O)(vii)</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36,735</w:t>
            </w:r>
          </w:p>
        </w:tc>
      </w:tr>
      <w:tr>
        <w:trPr>
          <w:trHeight w:val="198"/>
        </w:trPr>
        <w:tc>
          <w:tcPr>
            <w:tcW w:w="6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4(O)(viii)</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3,937</w:t>
            </w:r>
          </w:p>
        </w:tc>
        <w:tc>
          <w:tcPr>
            <w:tcW w:w="80" w:type="dxa"/>
            <w:vAlign w:val="bottom"/>
          </w:tcPr>
          <w:p>
            <w:pPr>
              <w:spacing w:after="0"/>
              <w:rPr>
                <w:sz w:val="20"/>
                <w:szCs w:val="20"/>
                <w:color w:val="auto"/>
              </w:rPr>
            </w:pPr>
          </w:p>
        </w:tc>
      </w:tr>
      <w:tr>
        <w:trPr>
          <w:trHeight w:val="198"/>
        </w:trPr>
        <w:tc>
          <w:tcPr>
            <w:tcW w:w="6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4(O)(ix)</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(30,617)</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PIPE Investment and Sponsor Note</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4(O)(x)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24,157</w:t>
            </w: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Derivative Liability</w:t>
            </w: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4(O)(xi)</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Additional paid-in capital</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619,752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00" w:right="320" w:hanging="439"/>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transaction costs of approximately $1.0 million incurred by Blaize related to financial advisory, legal, and other professional services, in connection with the Business Combination prior to the Closing. These costs are non-recurring in nature.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202" w:lineRule="exact"/>
        <w:rPr>
          <w:rFonts w:ascii="Times New Roman" w:cs="Times New Roman" w:eastAsia="Times New Roman" w:hAnsi="Times New Roman"/>
          <w:sz w:val="18"/>
          <w:szCs w:val="18"/>
          <w:color w:val="auto"/>
        </w:rPr>
      </w:pPr>
    </w:p>
    <w:p>
      <w:pPr>
        <w:ind w:left="1000" w:right="60" w:hanging="439"/>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$11.1 million of transaction costs incurred by Blaize in conjunction with the Business Combination and which are capitalized within prepaid expenses and other current assets as of December 31, 2024. Upon the close of the Business Combination, such costs were reclassified as an equity issuance cost, resulting in a $11.1 million decrease to prepaid expenses and other current assets and a $11.1 million decrease to additional paid-in capital. Refer to Note 4(C),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assets</w:t>
      </w:r>
      <w:r>
        <w:rPr>
          <w:rFonts w:ascii="Times New Roman" w:cs="Times New Roman" w:eastAsia="Times New Roman" w:hAnsi="Times New Roman"/>
          <w:sz w:val="18"/>
          <w:szCs w:val="18"/>
          <w:color w:val="auto"/>
        </w:rPr>
        <w:t>, for the corresponding pro forma adjusting entries.</w:t>
      </w:r>
    </w:p>
    <w:p>
      <w:pPr>
        <w:spacing w:after="0" w:line="210"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prior to the closing of the Business Combination, all outstanding amounts of the convertible notes, including those issued to the Final Closing Lenders, together with all accrued and unpaid interest thereon, converted into shares of Blaize Common Stock. The remeasured value of $411.5 million was reclassified into additional paid in capital.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206" w:lineRule="exact"/>
        <w:rPr>
          <w:rFonts w:ascii="Times New Roman" w:cs="Times New Roman" w:eastAsia="Times New Roman" w:hAnsi="Times New Roman"/>
          <w:sz w:val="18"/>
          <w:szCs w:val="18"/>
          <w:color w:val="auto"/>
        </w:rPr>
      </w:pPr>
    </w:p>
    <w:p>
      <w:pPr>
        <w:ind w:left="1000" w:right="120" w:hanging="439"/>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preliminary estimated fair value of liability classified Blaize Equityholders’ Earnout Shares of $88.5 million as of December 31, 2024, with a corresponding recognition of $88.5 million Earnout Shares liability. Refer to Note 4(H), </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liability</w:t>
      </w:r>
      <w:r>
        <w:rPr>
          <w:rFonts w:ascii="Times New Roman" w:cs="Times New Roman" w:eastAsia="Times New Roman" w:hAnsi="Times New Roman"/>
          <w:sz w:val="18"/>
          <w:szCs w:val="18"/>
          <w:color w:val="auto"/>
        </w:rPr>
        <w:t>, for the corresponding pro forma adjusting entries and Note 6 for further information.</w:t>
      </w:r>
    </w:p>
    <w:p>
      <w:pPr>
        <w:spacing w:after="0" w:line="202"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conversion of the final remeasured warrant liability of $98.2 million which occurred in conjunction with the Closing and the settlement into Blaize Common stock as part of the Warrant Event.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pro forma adjusting entries. The warrant treatment assumes that certain warrants were out of the money at Closing Date remain unexercised and therefore expire.</w:t>
      </w:r>
    </w:p>
    <w:p>
      <w:pPr>
        <w:spacing w:after="0" w:line="206" w:lineRule="exact"/>
        <w:rPr>
          <w:rFonts w:ascii="Times New Roman" w:cs="Times New Roman" w:eastAsia="Times New Roman" w:hAnsi="Times New Roman"/>
          <w:sz w:val="18"/>
          <w:szCs w:val="18"/>
          <w:color w:val="auto"/>
        </w:rPr>
      </w:pPr>
    </w:p>
    <w:p>
      <w:pPr>
        <w:ind w:left="1000" w:right="80" w:hanging="439"/>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conversion of 44,494,703 shares of Blaize Redeemable Convertible Preferred Stock into 44,494,703 shares of Blaize Common Stock, immediately prior to the Closing of the Business Combination as part of the Blaize Security Conversion event, resulting in the reclassification of $173.3 million from mezzanine equity to permanent equity. Refer to Note 4(K),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for the corresponding pro forma adjusting entries.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860" w:top="268" w:right="459" w:bottom="1440" w:gutter="0" w:footer="0" w:header="0"/>
        </w:sectPr>
      </w:pPr>
    </w:p>
    <w:bookmarkStart w:id="75" w:name="page76"/>
    <w:bookmarkEnd w:id="75"/>
    <w:p>
      <w:pPr>
        <w:jc w:val="both"/>
        <w:ind w:left="1000" w:right="760" w:hanging="439"/>
        <w:spacing w:after="0" w:line="266"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Represents the reclassification of $36.7 million of BurTech’s Redeemable Class A Common Stock from temporary equity (mezzanine) to permanent equity after giving effect to redemptions Refer to Note 4(L), </w:t>
      </w:r>
      <w:r>
        <w:rPr>
          <w:rFonts w:ascii="Times New Roman" w:cs="Times New Roman" w:eastAsia="Times New Roman" w:hAnsi="Times New Roman"/>
          <w:sz w:val="18"/>
          <w:szCs w:val="18"/>
          <w:i w:val="1"/>
          <w:iCs w:val="1"/>
          <w:color w:val="auto"/>
        </w:rPr>
        <w:t>Class A Common Stock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000" w:right="220" w:hanging="439"/>
        <w:spacing w:after="0" w:line="266"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$3.9 million of stock-based compensation expense associated with Blaize performance-based equity awards that have a portion that are immediately vested upon the successful completion of a Business Combination. Refer to Note 4(P)(v),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000" w:right="20" w:hanging="439"/>
        <w:spacing w:after="0" w:line="261"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$30.6 million elimination of BurTech’s historical accumulated deficit as part of the reverse recapitalization at the Closing of the Business Combination, after giving effect to the $7.3 million of transaction costs expected to be incurred by BurTech related to the Business Combination (as described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4(P)(vi),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recording of $24.2 million from the issuance and sale of (i) 1.5 million shares of Blaize common stock, with a per share par value of $0.0001, at $10.00 per share pursuant to the PIPE Investment, and (ii) 750 thousand shares of Blaize common stock, pursuant to the Sponsor Note Issuance. See Note 4(A)(v),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4(C),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assets </w:t>
      </w:r>
      <w:r>
        <w:rPr>
          <w:rFonts w:ascii="Times New Roman" w:cs="Times New Roman" w:eastAsia="Times New Roman" w:hAnsi="Times New Roman"/>
          <w:sz w:val="18"/>
          <w:szCs w:val="18"/>
          <w:color w:val="auto"/>
        </w:rPr>
        <w:t>for the corresponding pro forma adjusting entries.</w:t>
      </w:r>
    </w:p>
    <w:p>
      <w:pPr>
        <w:spacing w:after="0" w:line="85" w:lineRule="exact"/>
        <w:rPr>
          <w:rFonts w:ascii="Times New Roman" w:cs="Times New Roman" w:eastAsia="Times New Roman" w:hAnsi="Times New Roman"/>
          <w:sz w:val="18"/>
          <w:szCs w:val="18"/>
          <w:color w:val="auto"/>
        </w:rPr>
      </w:pPr>
    </w:p>
    <w:p>
      <w:pPr>
        <w:ind w:left="1000" w:right="120" w:hanging="439"/>
        <w:spacing w:after="0" w:line="266"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reversal of the $1.1 million BurTech derivative liability related to the Non-Redemption Agreement in connection with the consummation of the Business Combination. Refer to Note 4(Q), </w:t>
      </w:r>
      <w:r>
        <w:rPr>
          <w:rFonts w:ascii="Times New Roman" w:cs="Times New Roman" w:eastAsia="Times New Roman" w:hAnsi="Times New Roman"/>
          <w:sz w:val="18"/>
          <w:szCs w:val="18"/>
          <w:i w:val="1"/>
          <w:iCs w:val="1"/>
          <w:color w:val="auto"/>
        </w:rPr>
        <w:t>Derivative liability — Non-Redemption Agreement</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540" w:right="20" w:hanging="532"/>
        <w:spacing w:after="0" w:line="284"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Accumulated deficit — </w:t>
      </w:r>
      <w:r>
        <w:rPr>
          <w:rFonts w:ascii="Times New Roman" w:cs="Times New Roman" w:eastAsia="Times New Roman" w:hAnsi="Times New Roman"/>
          <w:sz w:val="18"/>
          <w:szCs w:val="18"/>
          <w:color w:val="auto"/>
        </w:rPr>
        <w:t>Represents the impact of the Business Combination on accumulated deficit. The table below reflects the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as follows:</w:t>
      </w:r>
    </w:p>
    <w:p>
      <w:pPr>
        <w:spacing w:after="0" w:line="16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60" w:type="dxa"/>
            <w:vAlign w:val="bottom"/>
            <w:vMerge w:val="restart"/>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35"/>
        </w:trPr>
        <w:tc>
          <w:tcPr>
            <w:tcW w:w="65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 Transaction Expenses</w:t>
            </w:r>
          </w:p>
        </w:tc>
        <w:tc>
          <w:tcPr>
            <w:tcW w:w="8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4(P)(i)</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(7,255)</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4(P)(ii)</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Blaize Convertible Notes</w:t>
            </w:r>
          </w:p>
        </w:tc>
        <w:tc>
          <w:tcPr>
            <w:tcW w:w="8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4(P)(iii)</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(262,833)</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Warrants</w:t>
            </w: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4(P)(iv)</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(83,537)</w:t>
            </w:r>
          </w:p>
        </w:tc>
        <w:tc>
          <w:tcPr>
            <w:tcW w:w="0" w:type="dxa"/>
            <w:vAlign w:val="bottom"/>
          </w:tcPr>
          <w:p>
            <w:pPr>
              <w:spacing w:after="0"/>
              <w:rPr>
                <w:sz w:val="1"/>
                <w:szCs w:val="1"/>
                <w:color w:val="auto"/>
              </w:rPr>
            </w:pPr>
          </w:p>
        </w:tc>
      </w:tr>
      <w:tr>
        <w:trPr>
          <w:trHeight w:val="198"/>
        </w:trPr>
        <w:tc>
          <w:tcPr>
            <w:tcW w:w="6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8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4(P)(v)</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(3,937)</w:t>
            </w:r>
          </w:p>
        </w:tc>
        <w:tc>
          <w:tcPr>
            <w:tcW w:w="0" w:type="dxa"/>
            <w:vAlign w:val="bottom"/>
          </w:tcPr>
          <w:p>
            <w:pPr>
              <w:spacing w:after="0"/>
              <w:rPr>
                <w:sz w:val="1"/>
                <w:szCs w:val="1"/>
                <w:color w:val="auto"/>
              </w:rPr>
            </w:pPr>
          </w:p>
        </w:tc>
      </w:tr>
      <w:tr>
        <w:trPr>
          <w:trHeight w:val="198"/>
        </w:trPr>
        <w:tc>
          <w:tcPr>
            <w:tcW w:w="6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(elimination) and other charges</w:t>
            </w: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4(P)(vi)</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30,617</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Accumulated deficit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(328,099)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000" w:right="40" w:hanging="439"/>
        <w:spacing w:after="0" w:line="284"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certain transaction related expenses incurred subsequent to December 31, 2024 by BurTech prior to the Closing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65" w:lineRule="exact"/>
        <w:rPr>
          <w:rFonts w:ascii="Times New Roman" w:cs="Times New Roman" w:eastAsia="Times New Roman" w:hAnsi="Times New Roman"/>
          <w:sz w:val="18"/>
          <w:szCs w:val="18"/>
          <w:color w:val="auto"/>
        </w:rPr>
      </w:pPr>
    </w:p>
    <w:p>
      <w:pPr>
        <w:ind w:left="1000" w:right="440" w:hanging="439"/>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$0.9 million of transaction costs associated with issuance of the Earnout Shares to nonemployees, which are liability-classified instruments, and which are subsequently measured at fair value. Accordingly, these transaction costs were recorded to accumulated deficit, based on a relative fair value allocation compared to all financial instruments issued</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00"/>
          </w:cols>
          <w:pgMar w:left="860" w:top="270" w:right="539" w:bottom="1440" w:gutter="0" w:footer="0" w:header="0"/>
        </w:sectPr>
      </w:pPr>
    </w:p>
    <w:bookmarkStart w:id="76" w:name="page77"/>
    <w:bookmarkEnd w:id="76"/>
    <w:p>
      <w:pPr>
        <w:ind w:left="142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part of the Business Combination. Further amount includes $0.2 million of audit-related fees incurred with the transaction and expected to be paid at close that are not direct and incremental to the consummation of the Business Combination and therefore are expected to be expensed, with a corresponding increase to accumulated deficit.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85" w:lineRule="exact"/>
        <w:rPr>
          <w:sz w:val="20"/>
          <w:szCs w:val="20"/>
          <w:color w:val="auto"/>
        </w:rPr>
      </w:pPr>
    </w:p>
    <w:p>
      <w:pPr>
        <w:ind w:left="1420" w:hanging="439"/>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final remeasurement of Blaize convertible notes which are accounted for under the fair value option, at the time of the Blaize Security Conversion resulting in an increase to accumulated deficit of $262.8 million.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final remeasurement of Blaize liability classified warrants at the time of the Warrant Event, which results in a</w:t>
      </w:r>
    </w:p>
    <w:p>
      <w:pPr>
        <w:spacing w:after="0" w:line="27" w:lineRule="exact"/>
        <w:rPr>
          <w:rFonts w:ascii="Times New Roman" w:cs="Times New Roman" w:eastAsia="Times New Roman" w:hAnsi="Times New Roman"/>
          <w:sz w:val="18"/>
          <w:szCs w:val="18"/>
          <w:color w:val="auto"/>
        </w:rPr>
      </w:pPr>
    </w:p>
    <w:p>
      <w:pPr>
        <w:ind w:left="14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$83.5 million loss on remeasurement to mark the warrants to fair value. Adjustment includes the recognition of $79 thousand of gain on expiration of certain Blaize warrants that are out of the money at the Warrant Event date and are assumed to not net exercise. Accordingly, the expiration of such warrants has been reflected as a decrease to the warrant liability and a decrease to accumulated deficit.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adjusting pro forma entries.</w:t>
      </w:r>
    </w:p>
    <w:p>
      <w:pPr>
        <w:spacing w:after="0" w:line="94" w:lineRule="exact"/>
        <w:rPr>
          <w:rFonts w:ascii="Times New Roman" w:cs="Times New Roman" w:eastAsia="Times New Roman" w:hAnsi="Times New Roman"/>
          <w:sz w:val="18"/>
          <w:szCs w:val="18"/>
          <w:color w:val="auto"/>
        </w:rPr>
      </w:pPr>
    </w:p>
    <w:p>
      <w:pPr>
        <w:ind w:left="1420" w:right="160" w:hanging="439"/>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$3.9 million of stock-based compensation expense associated with Blaize performance-based equity awards that have a portion that are immediately vested upon the successful completion of the Business Combination. Refer to Note 4(O) (viii),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420" w:right="300" w:hanging="439"/>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BurTech’s historical accumulated deficit to additional paid-in capital in connection with the consummation of the Business Combination, inclusive of the $7.3 million discussed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Refer to Note 4(O)ix,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960" w:right="240" w:hanging="532"/>
        <w:spacing w:after="0" w:line="267"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 liability — Non-Redemption Agreement </w:t>
      </w:r>
      <w:r>
        <w:rPr>
          <w:rFonts w:ascii="Times New Roman" w:cs="Times New Roman" w:eastAsia="Times New Roman" w:hAnsi="Times New Roman"/>
          <w:sz w:val="18"/>
          <w:szCs w:val="18"/>
          <w:color w:val="auto"/>
        </w:rPr>
        <w:t>— Reflects the reversal of the $1.1 million BurTech derivative liability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Non-Redemption Agreement in connection with the consummation of the Business Combination. Refer to Note 4(O)(xi),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paid-in capital</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960" w:right="140" w:hanging="532"/>
        <w:spacing w:after="0" w:line="258"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Amount represents the reclassification of $33.1 million from cash and cash equivalents to restricted cash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4(A)(vi),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for the corresponding pro forma adjusting entries.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Adjustments to Unaudited Pro Forma Condensed Combined Statement of Operations for the Year Ended December 31, 2024</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2024, are as follows:</w:t>
      </w:r>
    </w:p>
    <w:p>
      <w:pPr>
        <w:spacing w:after="0" w:line="67" w:lineRule="exact"/>
        <w:rPr>
          <w:sz w:val="20"/>
          <w:szCs w:val="20"/>
          <w:color w:val="auto"/>
        </w:rPr>
      </w:pPr>
    </w:p>
    <w:p>
      <w:pPr>
        <w:ind w:left="1420" w:right="6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stock-based compensation to be incurred assuming the Closing of the Business Combination occurred on January 1, 2023, with details of the effects on the impacted financial statement line items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Selling,</w:t>
            </w: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8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gridSpan w:val="2"/>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540" w:type="dxa"/>
            <w:vAlign w:val="bottom"/>
            <w:gridSpan w:val="4"/>
          </w:tcPr>
          <w:p>
            <w:pPr>
              <w:ind w:left="580"/>
              <w:spacing w:after="0" w:line="160"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35"/>
        </w:trPr>
        <w:tc>
          <w:tcPr>
            <w:tcW w:w="5500" w:type="dxa"/>
            <w:vAlign w:val="bottom"/>
            <w:gridSpan w:val="3"/>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associated with Earnout shares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5(A)(i)</w:t>
            </w:r>
          </w:p>
        </w:tc>
        <w:tc>
          <w:tcPr>
            <w:tcW w:w="7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upon achievement of performance condition</w:t>
            </w:r>
          </w:p>
        </w:tc>
        <w:tc>
          <w:tcPr>
            <w:tcW w:w="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5(A)(ii)</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Stock-based compensation</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8,521</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420" w:right="260" w:hanging="439"/>
        <w:spacing w:after="0" w:line="261"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stock-based compensation measured as of the closing date for the portion of the Earnout Shares issuable to existing option holders with continuing service requirements, and assuming no forfeitures (see Note 6) recognized stock-based compensation for the year as an increase of $5.1 million to research and development expense and $6.6 million to selling, general and administrative expense.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77" w:name="page78"/>
    <w:bookmarkEnd w:id="77"/>
    <w:p>
      <w:pPr>
        <w:ind w:left="1420" w:right="220" w:hanging="439"/>
        <w:spacing w:after="0" w:line="256"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Business Combination. The Company has recorded the incremental stock- based compensation expense for the year as an increase of $3.5 million to research and development expense and $0.5 million to selling, general and administrative expense.</w:t>
      </w:r>
    </w:p>
    <w:p>
      <w:pPr>
        <w:spacing w:after="0" w:line="92" w:lineRule="exact"/>
        <w:rPr>
          <w:rFonts w:ascii="Times New Roman" w:cs="Times New Roman" w:eastAsia="Times New Roman" w:hAnsi="Times New Roman"/>
          <w:sz w:val="18"/>
          <w:szCs w:val="18"/>
          <w:color w:val="auto"/>
        </w:rPr>
      </w:pPr>
    </w:p>
    <w:p>
      <w:pPr>
        <w:ind w:left="960" w:right="20" w:hanging="532"/>
        <w:spacing w:after="0" w:line="274" w:lineRule="auto"/>
        <w:tabs>
          <w:tab w:leader="none" w:pos="9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the transaction expenses incurred by both BurTech and Blaize prior to Closing. Impact is calculated as (i) $11.4 million of incurred transaction costs by BurTech to be expensed by BurTech prior to close, (ii) $0.9 million of transaction costs incurred by Blaize associated with issuance of the Earnout Shares to nonemployees, which are liability-classified instruments, and which are subsequently measured at fair value. Accordingly, these transaction costs were expensed, based on a relative fair value allocation compared to all financial instruments issued as part of the Business Combination and (iii) $0.2 million of audit related fees incurred with the transaction and paid at close that are not direct and incremental to the consummation of the Business Combination and therefore are expensed.</w:t>
      </w:r>
    </w:p>
    <w:p>
      <w:pPr>
        <w:spacing w:after="0" w:line="78" w:lineRule="exact"/>
        <w:rPr>
          <w:rFonts w:ascii="Times New Roman" w:cs="Times New Roman" w:eastAsia="Times New Roman" w:hAnsi="Times New Roman"/>
          <w:sz w:val="17"/>
          <w:szCs w:val="17"/>
          <w:color w:val="auto"/>
        </w:rPr>
      </w:pPr>
    </w:p>
    <w:p>
      <w:pPr>
        <w:ind w:left="960" w:right="260" w:hanging="532"/>
        <w:spacing w:after="0" w:line="261"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elimination of $10.0 million of loss on changes in the fair value of Blaize’s convertible notes, which were accounted for under the fair value option during the year ended December 31, 2024, offset by (ii) the reflection of a final fair value measurement associated with all convertible notes, assuming the date of the closing is January 1, 2023, resulting in a loss on remeasurement of $262.8 million.</w:t>
      </w:r>
    </w:p>
    <w:p>
      <w:pPr>
        <w:spacing w:after="0" w:line="85"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impacts to the pro forma statement of operations associated of the various warrants, the details of such effect are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2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6"/>
        </w:trPr>
        <w:tc>
          <w:tcPr>
            <w:tcW w:w="67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loss on changes in fair value of warrants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5(E)(i)</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5,701</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remeasurement of warrants at time of Warrant Event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5(E)(ii)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(83,537)</w:t>
            </w:r>
          </w:p>
        </w:tc>
      </w:tr>
      <w:tr>
        <w:trPr>
          <w:trHeight w:val="27"/>
        </w:trPr>
        <w:tc>
          <w:tcPr>
            <w:tcW w:w="7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Warrants</w:t>
            </w: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(77,836)</w:t>
            </w:r>
          </w:p>
        </w:tc>
      </w:tr>
      <w:tr>
        <w:trPr>
          <w:trHeight w:val="20"/>
        </w:trPr>
        <w:tc>
          <w:tcPr>
            <w:tcW w:w="7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20" w:right="240" w:hanging="439"/>
        <w:spacing w:after="0" w:line="282" w:lineRule="auto"/>
        <w:tabs>
          <w:tab w:leader="none" w:pos="14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$5.7 million of loss on changes in the fair value of Blaize’s liability classified warrants during the year ended December 31, 2024.</w:t>
      </w:r>
    </w:p>
    <w:p>
      <w:pPr>
        <w:spacing w:after="0" w:line="6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final fair value measurement associated with all liability classified warrants at the time of the Warrant event, assuming the date of the Closing is January 1, 2023. Such measurement results in a loss on remeasurement of $83.5 million.</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$2.5 million of BurTech’s historical interest income earned on the funds held in the Trust Account, which was dissolved and liquidated upon the Closing of the Business Combination.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$1.1 million change in fair value of the derivative liability related to the Non-Redemption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Earnouts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the Eligible Blaize Equityholders (including holders of Blaize Options or Blaize RSUs) have the right to receive up to 15,000,000 Blaize Earnout Shares in four tranches upon the occurrence of the Earnout Triggering Events during the Earnout Period. Further, following the Closing, Burkhan have the right to receive up to 2,600,000 Burkhan Earnout Shares in four tranches upon the occurrence of the Earnout Triggering Events during the Earnout Period. The total amount of Burkhan Earnout Shares to be issued is dependent on the Proportionate Shares Number, which is equal to 325,000 Acquiror Class A Common Stock multiplied by the cash ratio.</w:t>
      </w:r>
    </w:p>
    <w:p>
      <w:pPr>
        <w:spacing w:after="0" w:line="89" w:lineRule="exact"/>
        <w:rPr>
          <w:sz w:val="20"/>
          <w:szCs w:val="20"/>
          <w:color w:val="auto"/>
        </w:rPr>
      </w:pPr>
    </w:p>
    <w:p>
      <w:pPr>
        <w:ind w:left="960" w:hanging="424"/>
        <w:spacing w:after="0" w:line="258"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 a one-time issuance of 3,750,000 Company Earnout Shares to Blaize Equityholders will be made and a one-time issuance of Burkhan Earnout Shares in an amount equal to the sum of (x) 325,000 plus (y) the Proportionate Shares Number will be made. Triggering Event I means the first date during the Earnout Period on which the closing stock price of Blaize Class A Common Stock is greater than or equal to $12.50 per share for twenty (20) trading days within any thirty (30) consecutive trading day period;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78" w:name="page79"/>
    <w:bookmarkEnd w:id="78"/>
    <w:p>
      <w:pPr>
        <w:ind w:left="964" w:right="60" w:hanging="424"/>
        <w:spacing w:after="0" w:line="258" w:lineRule="auto"/>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occurrence of Triggering Event II, a one-time issuance of 3,750,000 Company Earnout Shares to Blaize Equityholders will be made and a one-time issuance of Burkhan Earnout Shares in an amount equal to the sum of (x) 325,000 plus (y) the Proportionate Shares Number will be made. Triggering Event II means the first date during the Earnout Period on which the closing stock price of Blaize Class A Common Stock is greater than or equal to $15.00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964" w:right="60" w:hanging="424"/>
        <w:spacing w:after="0" w:line="258" w:lineRule="auto"/>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III, a one-time issuance of 3,750,000 Company Earnout Shares to Blaize Equityholders will be made and a one-time issuance of Burkhan Earnout Shares in an amount equal to the sum of (x) 325,000 plus (y) the Proportionate Shares Number will be made. Triggering Event III means the first date during the Earnout Period on which the closing stock price of Blaize Class A Common Stock is greater than or equal to $17.50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964" w:right="60" w:hanging="424"/>
        <w:spacing w:after="0" w:line="258" w:lineRule="auto"/>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IV, a one-time issuance of 3,750,000 Company Earnout Shares to Blaize Equityholders will be made and a one-time issuance of Burkhan Earnout Shares in an amount equal to the sum of (x) 325,000 plus (y) the Proportionate Shares Number will be made. Triggering Event IV means the first date during the Earnout Period on which the closing stock price of Blaize Class A Common Stock is greater than or equal to $20.00 per share for twenty (20) trading days within any thirty (30) consecutive trading day period.</w:t>
      </w:r>
    </w:p>
    <w:p>
      <w:pPr>
        <w:spacing w:after="0" w:line="183"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Earnout shares issuable to any eligible recipient in respect of Blaize Options or Blaize RSUs held by such recipient as of immediately prior to the Closing shall be issued to such recipient only if such recipient continues to provide services (whether as an employee, director or individual independent contractor) to Blaize or one of its subsidiaries through the date of the occurrence of the corresponding Triggering Event.</w:t>
      </w:r>
    </w:p>
    <w:p>
      <w:pPr>
        <w:spacing w:after="0" w:line="322"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Holders of Blaize Stock Options and Blaize RSUs</w:t>
      </w:r>
    </w:p>
    <w:p>
      <w:pPr>
        <w:spacing w:after="0" w:line="11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preliminary accounting conclusion related to the grant of Blaize Earnout Shares to existing holders of stock options or restricted stock units is considered a compensatory award and accounted for under ASC 718, Share-Based Compensation as the Blaize Earnout Shares are subject to forfeiture based on the satisfaction of certain service conditions. Each Triggering Event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Further these awards have been determined to be equity classified and accordingly will not be remeasured at each reporting date.</w:t>
      </w:r>
    </w:p>
    <w:p>
      <w:pPr>
        <w:spacing w:after="0" w:line="189" w:lineRule="exact"/>
        <w:rPr>
          <w:sz w:val="20"/>
          <w:szCs w:val="20"/>
          <w:color w:val="auto"/>
        </w:rPr>
      </w:pPr>
    </w:p>
    <w:p>
      <w:pPr>
        <w:ind w:left="4" w:right="100" w:firstLine="440"/>
        <w:spacing w:after="0" w:line="289" w:lineRule="auto"/>
        <w:rPr>
          <w:sz w:val="20"/>
          <w:szCs w:val="20"/>
          <w:color w:val="auto"/>
        </w:rPr>
      </w:pPr>
      <w:r>
        <w:rPr>
          <w:rFonts w:ascii="Times New Roman" w:cs="Times New Roman" w:eastAsia="Times New Roman" w:hAnsi="Times New Roman"/>
          <w:sz w:val="17"/>
          <w:szCs w:val="17"/>
          <w:color w:val="auto"/>
        </w:rPr>
        <w:t>The preliminary estimated fair value of the Blaize Earnout Shares subject to ASC 718 was $58.2 million, assuming the service conditions were met and assuming no forfeitures. The vested amounts of $11.6 million for the year ended December 31, 2024 were recorded as stock- based compensation expense in the unaudited pro forma condensed combined statements of operations as it was probable the market condition would be met.</w:t>
      </w:r>
    </w:p>
    <w:p>
      <w:pPr>
        <w:spacing w:after="0" w:line="304"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Blaize and Burkhan</w:t>
      </w:r>
    </w:p>
    <w:p>
      <w:pPr>
        <w:spacing w:after="0" w:line="11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earnout shares to be issued to all other Blaize equityholders not within the scope of ASC 718 and to Burkhan were evaluated under ASC Topic 480, Distinguishing Liabilities from Equity, to determine if the earnout award agreements should be classified as a liability. As part of that analysis, it was determined that the earnout shares are freestanding and not liability classified under ASC 480. It was next evaluated whether the earnout shares represented a derivative instrument pursuant to ASC Topic 815, Derivatives and Hedging. Paragraph ASC 815-10-15-74(a) provides a scope exception to derivative accounting and states that a reporting entity shall not consider contracts that are both (a) indexed to an entity’s own stock and (b) classified in stockholders’ equity in its statement of financial position to be derivative instruments. In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79" w:name="page80"/>
    <w:bookmarkEnd w:id="79"/>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 to conclude that the earnout shares meet this scope exception and whether they should be accounted for as equity under ASC 815-40, it was evaluated whether the earnout shares meet both of these requirements. The preliminary accounting conclusions for the earnout shares under the arrangement resulted in liability classification pursuant to ASC 815-40. The liability for such Earnout Shares will be remeasured at each reporting date with changes in the fair value recorded to earnings.</w:t>
      </w:r>
    </w:p>
    <w:p>
      <w:pPr>
        <w:spacing w:after="0" w:line="180"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has placed a value of $88.5 million on the liability. The earnout liability will be remeasured at each reporting date with changes in the fair value recorded to earnings.</w:t>
      </w:r>
    </w:p>
    <w:p>
      <w:pPr>
        <w:spacing w:after="0" w:line="308"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Earnout Shares</w:t>
      </w:r>
    </w:p>
    <w:p>
      <w:pPr>
        <w:spacing w:after="0" w:line="11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Blaize Earnout Consideration that was not subject to ASC 718 was determined by using the assumed stock price of Blaize of $10.00 at the grant date and multiplying it by the expected probability of achieving the market conditions.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7 — Net Loss Per Share</w:t>
      </w:r>
    </w:p>
    <w:p>
      <w:pPr>
        <w:spacing w:after="0" w:line="121"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2023. As the Business Combination and other related events are being reflected as if they had occurred as of January 1, 2023, the calculation of weighted average shares outstanding for basic and diluted net loss per share assumes the shares issued in connection with the Business Combination and other related events have been outstanding for the entire periods presented.</w:t>
      </w:r>
    </w:p>
    <w:p>
      <w:pPr>
        <w:spacing w:after="0" w:line="204"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r>
      <w:tr>
        <w:trPr>
          <w:trHeight w:val="209"/>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7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101,588,967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(4.19)</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Weighted average shares outstanding for both basic and diluted was calculated as follows for the year ended December 31, 2024:</w:t>
      </w:r>
    </w:p>
    <w:p>
      <w:pPr>
        <w:spacing w:after="0" w:line="329"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2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35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stockholders</w:t>
            </w:r>
          </w:p>
        </w:tc>
        <w:tc>
          <w:tcPr>
            <w:tcW w:w="3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55,571,107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BurTech’s public stockholders</w:t>
            </w:r>
          </w:p>
        </w:tc>
        <w:tc>
          <w:tcPr>
            <w:tcW w:w="3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5,456,999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 &amp; related parties</w:t>
            </w:r>
          </w:p>
        </w:tc>
        <w:tc>
          <w:tcPr>
            <w:tcW w:w="3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14,456,132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Final closing lenders</w:t>
            </w:r>
          </w:p>
        </w:tc>
        <w:tc>
          <w:tcPr>
            <w:tcW w:w="3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25,673,479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431,250</w:t>
            </w:r>
          </w:p>
        </w:tc>
        <w:tc>
          <w:tcPr>
            <w:tcW w:w="0" w:type="dxa"/>
            <w:vAlign w:val="bottom"/>
          </w:tcPr>
          <w:p>
            <w:pPr>
              <w:spacing w:after="0"/>
              <w:rPr>
                <w:sz w:val="1"/>
                <w:szCs w:val="1"/>
                <w:color w:val="auto"/>
              </w:rPr>
            </w:pPr>
          </w:p>
        </w:tc>
      </w:tr>
      <w:tr>
        <w:trPr>
          <w:trHeight w:val="223"/>
        </w:trPr>
        <w:tc>
          <w:tcPr>
            <w:tcW w:w="53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Total Weighted Average Shares Outstanding</w:t>
            </w:r>
          </w:p>
        </w:tc>
        <w:tc>
          <w:tcPr>
            <w:tcW w:w="29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940" w:type="dxa"/>
            <w:vAlign w:val="bottom"/>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4"/>
          </w:cols>
          <w:pgMar w:left="436" w:top="270" w:right="519" w:bottom="1440" w:gutter="0" w:footer="0" w:header="0"/>
        </w:sectPr>
      </w:pPr>
    </w:p>
    <w:bookmarkStart w:id="80" w:name="page81"/>
    <w:bookmarkEnd w:id="80"/>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outstanding shares of Blaize Common Stock equivalents were excluded from the computation of pro forma diluted net loss per share because including them would have had an anti-dilutive effect for the year ended December 31, 2024:</w:t>
      </w:r>
    </w:p>
    <w:p>
      <w:pPr>
        <w:spacing w:after="0" w:line="17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ind w:left="340"/>
              <w:spacing w:after="0" w:line="210" w:lineRule="exact"/>
              <w:rPr>
                <w:sz w:val="20"/>
                <w:szCs w:val="20"/>
                <w:color w:val="auto"/>
              </w:rPr>
            </w:pPr>
            <w:r>
              <w:rPr>
                <w:rFonts w:ascii="Times New Roman" w:cs="Times New Roman" w:eastAsia="Times New Roman" w:hAnsi="Times New Roman"/>
                <w:sz w:val="17"/>
                <w:szCs w:val="17"/>
                <w:color w:val="auto"/>
              </w:rPr>
              <w:t>Blaize Stock Options and RSUs</w:t>
            </w:r>
            <w:r>
              <w:rPr>
                <w:rFonts w:ascii="Times New Roman" w:cs="Times New Roman" w:eastAsia="Times New Roman" w:hAnsi="Times New Roman"/>
                <w:sz w:val="24"/>
                <w:szCs w:val="24"/>
                <w:color w:val="auto"/>
                <w:vertAlign w:val="superscript"/>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31,679,816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898,250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78,928,066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7715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6" w:lineRule="exact"/>
        <w:rPr>
          <w:sz w:val="20"/>
          <w:szCs w:val="20"/>
          <w:color w:val="auto"/>
        </w:rPr>
      </w:pPr>
    </w:p>
    <w:p>
      <w:pPr>
        <w:ind w:left="424" w:right="10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gives effect to the net impact of (399,000) options that have been granted or cancelled from January 1, 2025 through the date of this filing.</w:t>
      </w:r>
    </w:p>
    <w:p>
      <w:pPr>
        <w:spacing w:after="0" w:line="94" w:lineRule="exact"/>
        <w:rPr>
          <w:sz w:val="20"/>
          <w:szCs w:val="20"/>
          <w:color w:val="auto"/>
        </w:rPr>
      </w:pPr>
    </w:p>
    <w:p>
      <w:pPr>
        <w:jc w:val="center"/>
        <w:ind w:right="-383"/>
        <w:spacing w:after="0"/>
        <w:rPr>
          <w:sz w:val="20"/>
          <w:szCs w:val="20"/>
          <w:color w:val="auto"/>
        </w:rPr>
      </w:pPr>
      <w:r>
        <w:rPr>
          <w:rFonts w:ascii="Times New Roman" w:cs="Times New Roman" w:eastAsia="Times New Roman" w:hAnsi="Times New Roman"/>
          <w:sz w:val="18"/>
          <w:szCs w:val="18"/>
          <w:color w:val="auto"/>
        </w:rPr>
        <w:t>II-11</w:t>
      </w:r>
    </w:p>
    <w:p>
      <w:pPr>
        <w:sectPr>
          <w:pgSz w:w="11900" w:h="16838" w:orient="portrait"/>
          <w:cols w:equalWidth="0" w:num="1">
            <w:col w:w="10644"/>
          </w:cols>
          <w:pgMar w:left="436" w:top="270" w:right="8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MANAGEMENT’S DISCUSSION AND ANALYSIS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Blaize Inc., (“us”, “our”, “we” and “Blaize”) should be read together with our audited consolidated financial statements and related notes filed as Exhibit 99.1 to this Current Report on 8-K (the “Current Report”). Some of the information contained in this discussion and analysis, including information with respect to our plans, objectives, expectations, projections, and strategy for our business, includes forward-looking statements that involve risks and uncertainties. As a result of many factors, including those factors set out in the “Risk Factors” section of our Annual Report on Form 10-K for the year ended December 31, 2024 (our “Annual Report”), our actual results could differ materially from the results described in or implied by these forward-looking statements. See also the section entitled “Cautionary Statement Regarding Forward-Looking Statements” in our Annual Report.” Certain amounts may not foot due to rounding, and all figures presented are in thousands.</w:t>
      </w:r>
    </w:p>
    <w:p>
      <w:pPr>
        <w:spacing w:after="0" w:line="18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“we,” “us,” and “our” in this section generally refer to Blaize, Inc. before the Business Combination (as defined below) or, from and after the Business Combination, Blaize Holdings Inc.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total addressable market.</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pipeline continues to expand, driven by strong and accelerating market interest in Edge AI[LW5] , and ongoing engagement with high-quality prospective customers across key sectors, including, but not limited to, Smart Cities, defense, and the automotive industry.</w:t>
      </w:r>
    </w:p>
    <w:p>
      <w:pPr>
        <w:spacing w:after="0" w:line="67" w:lineRule="exact"/>
        <w:rPr>
          <w:sz w:val="20"/>
          <w:szCs w:val="20"/>
          <w:color w:val="auto"/>
        </w:rPr>
      </w:pPr>
    </w:p>
    <w:p>
      <w:pPr>
        <w:ind w:left="960" w:right="8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technology agreement with KAIST to produce new edge AI computing applications across biomedical, neuromorphic, photovoltaics, thermoelectrics and green hydrogen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alwaysAI to revolutionize real-time insights with AI Edge Computing and advanced computer vision applications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VSBLTY to develop new AI-enabled hybrid technology for large-scale global safety and security solutions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Turbo Federal to procure contracts to accelerate AI solutions for the U.S. Department of Defense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22, 2023, as amended on April 22, 2024, October 24, 2024 and November 21, 2024, the Company entered into a Merger Agreement with BurTech Merger Sub, Inc (“Merger Sub”), Blaize, Inc. (“Legacy Blaize”), and solely for the limited purposes of the transaction, Burkhan Capital LLC, a Delaware limited liability company and affiliate of BurTech (“Burkhan”), pursuant to which Merger Sub would merge with and into Legacy Blaize, with Legacy Blaize surviving the Business Combination as a wholly owned subsidiary of the Company.</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and around December 31, 2024, the Company and certain unaffiliated stockholders of the Company named therein (each, an “Investor” and collectively, the “Investors”), entered into agreements (each, a “Non-Redemption Agreement” and collectively, the “Non-Redemption Agreements”) pursuant to which the Investors agreed not to redeem (or validly rescind any redemption requests on) their shares of Common Stock (“Non-Redeemed Shares”) and, in exchange,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w:t>
      </w:r>
    </w:p>
    <w:p>
      <w:pPr>
        <w:sectPr>
          <w:pgSz w:w="11900" w:h="16838" w:orient="portrait"/>
          <w:cols w:equalWidth="0" w:num="1">
            <w:col w:w="11020"/>
          </w:cols>
          <w:pgMar w:left="440" w:top="117" w:right="439" w:bottom="248" w:gutter="0" w:footer="0" w:header="0"/>
        </w:sectPr>
      </w:pPr>
    </w:p>
    <w:bookmarkStart w:id="82" w:name="page83"/>
    <w:bookmarkEnd w:id="82"/>
    <w:p>
      <w:pPr>
        <w:ind w:right="3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December 31, 2024 through January 13, 2025, BurTech Acquisition Corp. (“BurTech”), Legacy Blaize and certain subscribers (each, a “Subscriber” and collectively, the “Subscribers”) entered into subscription agreements (each, a “PIPE Subscription Agreement” and collectively, the “PIPE Subscription Agreements”) pursuant to which BurTech issued and sold to the Subscribers, immediately prior to the closing of the Business Combination, collectively, 1,540,300, shares of Class A Stock (the “PIPE Shares”) at a price per share equal to $10.00 (the “PIPE Investment”).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Immediately before the closing of the Business Combination and pursuant to the terms of the Merger Agreement, the Legacy Blaize convertible notes outstanding plus all accrued and unpaid interest, each of the issued and outstanding shares of redeemable convertible preferred stock, and all outstanding warrants, net exercised, were automatically converted into shares of the Company’s common stock. Upon the consummation of the Business Combination, each share of Blaize common stock issued and outstanding were canceled and converted into the right to receive shares of Blaize Holdings Class A common stock and each share of Merger Sub Capital Stock was converted into one share of Blaize Holdings Class A common stock, par value $0.0001. 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 (ii) 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and pursuant to the terms of the Merger Agreement, on January 13, 2025, BurTech, Merger Sub, Blaize and Burkhan confirmed to one another that all conditions to the closing set forth in Article IX of the Merger Agreement have been satisfied, and expressly waived the conditions that remained unsatisfied on such date through the execution of that certain Letter Agreement (the “Letter Agreement”), dated as of January 13, 2025, by and among BurTech, Merger Sub, Blaize, Burkhan, and BurTech’s sponsor, BurTech LP LLC, a Delaware corporation (the “ Sponsor”) which is attached hereto as Exhibit 10.15 to this Report, and which is incorporated herein by reference. Pursuant to the Letter Agreement, Blaize waived the conditions to Closing (1) under Section 9.3(d) of the Merger Agreement that BurTech have available proceeds of not less than $125,000,000 remaining upon the consummation of the Merger, and (2) under Section 9.3(f) of the Merger Agreement that the sum of the BurTech trust account plus the amount of immediately available funds received by BurTech pursuant to purchases of shares of Class A Stock on the terms provided in the Backstop Subscription Agreement (the “Backstop Agreement”), dated as of April 22, 2024, by and among BurTech, Blaize and the Sponsor, shall be no less than $30,000,000, to allow the parties to proceed to Closing. Pursuant to the Letter Agreement, BurTech waived the obligations of the Sponsor under the Backstop Agreement and, in lieu of such obligations, Burkhan entered into a PIPE Subscription Agreement to purchase an aggregate of 1,200,000 shares of Class A Stock at a purchase price of $10.00 per share for aggregate proceeds of $12,000,000 to the Company. Pursuant to the Letter Agreement, the Company agreed to register for resale within four (4) business days of the closing of the Business Combination, pursuant to the Securities Act, certain shares of the Sponsor and the Sponsor Group (as defined in the A&amp;R Registration Rights Agreement) on the same terms and subject to the same conditions as the Registration Rights Agreement.</w:t>
      </w:r>
    </w:p>
    <w:p>
      <w:pPr>
        <w:spacing w:after="0" w:line="19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19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Blaize and certain stockholders of Legacy Blaize entered into that certain Registration Rights Agreement (the “Ava Registration Rights Agreement”).</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On January 13, 2025, in connection with the consummation of the Business Combination and as contemplated by the Merger Agreement, certain former Legacy Blaize stockholders entered into that certain Lock-Up Agreement (the “Stockholder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date that is 180 days after the Closing Date (the period from the date of the agreement until such date, the “Lock-Up Period”). At Closing, approximately 34.39% of the total issued and outstanding shares of Common Stock are subject to lock-up restrictions in connection with the Stockholder Lock-Up Agreement.</w:t>
      </w:r>
    </w:p>
    <w:p>
      <w:pPr>
        <w:sectPr>
          <w:pgSz w:w="11900" w:h="16838" w:orient="portrait"/>
          <w:cols w:equalWidth="0" w:num="1">
            <w:col w:w="11000"/>
          </w:cols>
          <w:pgMar w:left="440" w:top="270" w:right="459" w:bottom="1440" w:gutter="0" w:footer="0" w:header="0"/>
        </w:sectPr>
      </w:pPr>
    </w:p>
    <w:bookmarkStart w:id="83" w:name="page84"/>
    <w:bookmarkEnd w:id="8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January 13, 2025, in connection with the consummation of the Business Combination and as contemplated by the Merger Agreement, certain former Legacy Blaize convertible noteholders entered into that certain Lock-Up Agreement (the “Noteholder Lock-Up Agreement”) pursuant to which they each agreed, subject to certain customary exceptions, not to (i) 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date that is 180 days after the Closing Date (the period from the date of the agreement until such date, the “Noteholder Lock-Up Period”).</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13, 2025, upon closing of the Business Combination, 28,750,000 of public warrants and 898,250 of private warrants of BurTech that were outstanding immediately before to the Merger became warrants of Blaize Holdings.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Concurrent with the Business Combination, holders of Blaize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81" w:lineRule="exact"/>
        <w:rPr>
          <w:sz w:val="20"/>
          <w:szCs w:val="20"/>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 (30) consecutive trading day period;</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 (30) consecutive trading day period;</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 (30) consecutive trading day period;</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 (30) consecutive trading day period.</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13, 2025, pursuant to the Merger Agreement, Merger Sub merged with and into Legacy Blaize (the “Merger”), the separate corporate existence of Merger Sub ceased and Legacy Blaize survived as a wholly owned subsidiary of the Company (collectively, the Business Combination”). Following the closing of the Business Combination, we changed our name to Blaize Holdings, Inc. While we are the legal acquiror of Legacy Blaize in the Business Combination, Legacy Blaize is deemed to be the accounting acquiror, and the historical financial statements of Legacy Blaize became the historical financial statements of the Company upon the closing of the Business Combination.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Markets Advisor Fees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BurTech engaged Jefferies as capital markets advisor. Pursuant to the engagement, Jefferies is entitled to receive a fee of $4.5 million upon the Closing of the Business Combination, with the option for the Company to defer up to $1 million of this fee for up to 12 months post-closing. As of the date of this Form 8-K/A, no fees have been paid to Jefferies under its engagement.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December 31, 2024, we have funded our operations primarily with cash flows from contributions from founders or other investors and other financing activities. We have incurred recurring losses and negative cash flows since our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On December 22, 2023, as amended on April 22, 2024, October 24, 2024 and November 21, 2024, we entered into the Merger Agreement with BurTech, Merger Sub, and, solely for the limited purposes of the transaction, Burkhan. On January 13, 2025, upon closing of the Business Combination, Merger Sub merged with and into Blaize, with Blaize surviving as the surviving company as a direct, wholly owned subsidiary of BurTech.</w:t>
      </w:r>
    </w:p>
    <w:p>
      <w:pPr>
        <w:spacing w:after="0" w:line="15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Under this method of accounting, Blaize is treated as the accounting acquirer and BurTech is treated as the acquired company for financial statement reporting purposes. We are deemed as the accounting acquirer and the successor SEC registrant, meaning that our financial statements for previous periods will be disclosed in the registrant’s future periodic reports filed with the SEC.</w:t>
      </w:r>
    </w:p>
    <w:p>
      <w:pPr>
        <w:spacing w:after="0" w:line="158"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As a consequence of the Business Combination, Blaize is the successor to an SEC-registered and Nasdaq- listed company, which requires Blaize to hire additional personnel and implement procedures and processes to address public company regulatory requirements and customary practices. We will</w:t>
      </w:r>
    </w:p>
    <w:p>
      <w:pPr>
        <w:sectPr>
          <w:pgSz w:w="11900" w:h="16838" w:orient="portrait"/>
          <w:cols w:equalWidth="0" w:num="1">
            <w:col w:w="11000"/>
          </w:cols>
          <w:pgMar w:left="440" w:top="270" w:right="459" w:bottom="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t>incur additional annual expenses as a public company for, among other things, directors’ and officers’ liability insurance, director fees and additional internal and external accounting and legal and administrative resources, including increased audit and legal fees.</w:t>
      </w:r>
    </w:p>
    <w:p>
      <w:pPr>
        <w:sectPr>
          <w:pgSz w:w="11900" w:h="16838" w:orient="portrait"/>
          <w:cols w:equalWidth="0" w:num="1">
            <w:col w:w="10720"/>
          </w:cols>
          <w:pgMar w:left="440" w:top="121" w:right="7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Business Metrics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identified a potential $458 million of future business opportunities that could significantly accelerate growth through near-term customer implementations. Although Blaize is under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November 11, 2024, a total of 23 POCs have been initiated or are in progress with a potential customer.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October 25, 2024, Blaize has a total of 30 Partners.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November 11, 2024, a total of 11 Design Wins have been confirmed with a Partner or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31" w:lineRule="exact"/>
        <w:rPr>
          <w:sz w:val="20"/>
          <w:szCs w:val="20"/>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this involves providing customized design services to our customers, tailored to their specific requirements.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and Expenses</w:t>
      </w:r>
    </w:p>
    <w:p>
      <w:pPr>
        <w:spacing w:after="0" w:line="1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cost of revenue (exclusive of depreciation and amortization) also includes direct labor costs associated with the servicing of our engineering services revenue contracts.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ectPr>
          <w:pgSz w:w="11900" w:h="16838" w:orient="portrait"/>
          <w:cols w:equalWidth="0" w:num="1">
            <w:col w:w="11000"/>
          </w:cols>
          <w:pgMar w:left="440" w:top="266"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general and administrative expense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personnel-related expenses for our finance human resources, information technology, and legal organizations. These expenses also include non- personnel costs, such as legal, audit, accounting services, advertising expenses, other professional fees as well as certain tax, corporate software licenses, and insurance-related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Loss on purchase commitments consists of contractual obligations to procure inventory from our third-party contract manufacturer and other suppliers that are in excess of expected demand and where the value of these purchase commitments may not be recoverable.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primarily consist of legal fees, consultant fees and other direct costs incurred to explore prior potential merger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results of our operations for the periods presented, as well as the changes between periods. The period-to-period comparison of financial results is not necessarily indicative of future results.</w:t>
      </w:r>
    </w:p>
    <w:p>
      <w:pPr>
        <w:sectPr>
          <w:pgSz w:w="11900" w:h="16838" w:orient="portrait"/>
          <w:cols w:equalWidth="0" w:num="1">
            <w:col w:w="10920"/>
          </w:cols>
          <w:pgMar w:left="440" w:top="268" w:right="5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 ended December 31, 2024 compared to year ended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Blaize’s consolidated statements of operations data for the years ended December 31, 2024 and 2023,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80" w:type="dxa"/>
            <w:vAlign w:val="bottom"/>
          </w:tcPr>
          <w:p>
            <w:pPr>
              <w:spacing w:after="0"/>
              <w:rPr>
                <w:sz w:val="13"/>
                <w:szCs w:val="13"/>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7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3,656</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18,115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6,979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17,303</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5,110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8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6,805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(38,528)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9,107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(35,832)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(35,832)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(9,532)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4,756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(49,659)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(35,147)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(62,147)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(88,187)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(26,040)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(87,589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(26,394)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Revenue decreased 60% to $1.6 million for the year ended December 31, 2024 compared to approximately $3.9 million for the year ended 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revenue (excluding depreciation and amortization) for the year ended December 31, 2024 reflects a decrease of $3.1 million, or 84%, compared to the year ended December 31, 2023. This decrease was primarily driven by a $2.9 million decrease in charges for excess inventory and a $0.4 million decrease in direct labor costs commensurate with the decrease in engineering services revenue, partially offset by a $0.1 million increase in costs for inventory carrying costs with an outside supplier and a $0.1 reduction in other miscellaneous costs</w:t>
      </w:r>
    </w:p>
    <w:p>
      <w:pPr>
        <w:sectPr>
          <w:pgSz w:w="11900" w:h="16838" w:orient="portrait"/>
          <w:cols w:equalWidth="0" w:num="1">
            <w:col w:w="11020"/>
          </w:cols>
          <w:pgMar w:left="440" w:top="266"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did not record a loss on purchase commitments for the year ended December 31, 2024 as compared to $1.2 million for the year ended December 31, 2023 as a result of not having any additional purchase commitments requiring a loss on purchase commitment accrual.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years ended December 31, 2024 and 2023 amounted to a net expense of $14.5 million and $49.7 million, respectively, for a decrease of net expense period over period of $35.1 million.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 ended December 31, 2024 was primarily comprised of the total net change in fair value of our convertible notes and warrant liabilities of $15.7 million, additional expenses of $0.7 million, offset by other income from investments of $1.9 million.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ectPr>
          <w:pgSz w:w="11900" w:h="16838" w:orient="portrait"/>
          <w:cols w:equalWidth="0" w:num="1">
            <w:col w:w="10980"/>
          </w:cols>
          <w:pgMar w:left="440" w:top="268" w:right="479" w:bottom="1440" w:gutter="0" w:footer="0" w:header="0"/>
        </w:sectPr>
      </w:pPr>
    </w:p>
    <w:bookmarkStart w:id="89" w:name="page90"/>
    <w:bookmarkEnd w:id="89"/>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 the Pay-to-Play equity financing charge and the valuation allowance which is driven by the deferred tax assets arising from capitalized research and experimental expenditures and the net operating losses.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Blaize’s consolidated financial statements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December 31, 2024, we have funded our operations primarily with cash flows from contributions from founders or other investors and other financing activities. We have incurred recurring losses and negative cash flows since its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we are currently taking actions to source cash through a combination of the issuances of additional debt financing and public or private equity offerings or other means, we cannot be assured that we will be able to enter into any such contracts or raise capital on terms acceptable to the Company.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consolidated financial statements were available to be issued.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a party to the following debt financing agreements during the years ended December 31,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Under the July 2023 Note Purchase Agreement (as amended and restated, the “2023-2024 Convertible Notes”)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July 2023, we entered into a Note Purchase Agreement, as amended on August 1, 2023 and as amended and restated on April 22, 2024 (the “2023 NPA”). During the year ended December 31, 2024, we issued approximately a total of $110.7 million in convertible notes under the 2023 NPA, of which $11.5 million in convertible notes under the 2023 NPA to the Sponsor. During the year ended December 31, 2023, we issued approximately</w:t>
      </w:r>
    </w:p>
    <w:p>
      <w:pPr>
        <w:spacing w:after="0" w:line="1"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w:t>
      </w:r>
    </w:p>
    <w:p>
      <w:pPr>
        <w:sectPr>
          <w:pgSz w:w="11900" w:h="16838" w:orient="portrait"/>
          <w:cols w:equalWidth="0" w:num="1">
            <w:col w:w="11000"/>
          </w:cols>
          <w:pgMar w:left="440" w:top="270"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2023-2024 Convertible Notes provides that the notes may be converted as follows:</w:t>
      </w:r>
    </w:p>
    <w:p>
      <w:pPr>
        <w:spacing w:after="0" w:line="131" w:lineRule="exact"/>
        <w:rPr>
          <w:sz w:val="20"/>
          <w:szCs w:val="20"/>
          <w:color w:val="auto"/>
        </w:rPr>
      </w:pPr>
    </w:p>
    <w:p>
      <w:pPr>
        <w:ind w:left="960" w:right="60" w:hanging="424"/>
        <w:spacing w:after="0" w:line="261"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therein), Maturity Conversion (as defined therein), SPAC Conversion (as defined therein) or repayment has not occurred wherein the Next Equity Financing, defined as the next sale of Company equity securities or other securities issued in connection with Senior Indebtedness, following the date of the 2023-2024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960" w:right="140" w:hanging="424"/>
        <w:spacing w:after="0" w:line="25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420" w:right="200" w:hanging="331"/>
        <w:spacing w:after="0" w:line="266"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 diluted capital.</w:t>
      </w:r>
    </w:p>
    <w:p>
      <w:pPr>
        <w:spacing w:after="0" w:line="81" w:lineRule="exact"/>
        <w:rPr>
          <w:rFonts w:ascii="Times New Roman" w:cs="Times New Roman" w:eastAsia="Times New Roman" w:hAnsi="Times New Roman"/>
          <w:sz w:val="18"/>
          <w:szCs w:val="18"/>
          <w:color w:val="auto"/>
        </w:rPr>
      </w:pPr>
    </w:p>
    <w:p>
      <w:pPr>
        <w:ind w:left="960" w:right="140" w:hanging="424"/>
        <w:spacing w:after="0" w:line="25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w:t>
      </w:r>
    </w:p>
    <w:p>
      <w:pPr>
        <w:spacing w:after="0" w:line="92"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w:t>
      </w:r>
    </w:p>
    <w:p>
      <w:pPr>
        <w:spacing w:after="0" w:line="88"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w:t>
      </w:r>
    </w:p>
    <w:p>
      <w:pPr>
        <w:spacing w:after="0" w:line="81"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Blaize’s existing certificate of incorporation), the 2023-</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Convertible Notes shall be repaid as follows at the closing of the Corporate Transaction:</w:t>
      </w:r>
    </w:p>
    <w:p>
      <w:pPr>
        <w:spacing w:after="0" w:line="112" w:lineRule="exact"/>
        <w:rPr>
          <w:rFonts w:ascii="Times New Roman" w:cs="Times New Roman" w:eastAsia="Times New Roman" w:hAnsi="Times New Roman"/>
          <w:sz w:val="18"/>
          <w:szCs w:val="18"/>
          <w:color w:val="auto"/>
        </w:rPr>
      </w:pPr>
    </w:p>
    <w:p>
      <w:pPr>
        <w:ind w:left="960" w:right="120" w:hanging="424"/>
        <w:spacing w:after="0" w:line="312" w:lineRule="auto"/>
        <w:tabs>
          <w:tab w:leader="none" w:pos="9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2023-2024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960" w:right="120" w:hanging="424"/>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following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note after July 3, 2023, in respect of any such Corporate Transaction, an amount equal to the then accrued but unpaid interest plus one and a half (1.5) times the then outstanding principal.</w:t>
      </w:r>
    </w:p>
    <w:p>
      <w:pPr>
        <w:sectPr>
          <w:pgSz w:w="11900" w:h="16838" w:orient="portrait"/>
          <w:cols w:equalWidth="0" w:num="1">
            <w:col w:w="11000"/>
          </w:cols>
          <w:pgMar w:left="440" w:top="270" w:right="459" w:bottom="1440" w:gutter="0" w:footer="0" w:header="0"/>
        </w:sectPr>
      </w:pPr>
    </w:p>
    <w:bookmarkStart w:id="91" w:name="page92"/>
    <w:bookmarkEnd w:id="91"/>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94" w:lineRule="exact"/>
        <w:rPr>
          <w:sz w:val="20"/>
          <w:szCs w:val="20"/>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expiration date of the warrants was amended in April 2022 from 10 years to 5 years from the original date of issuance.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2023-2024 Convertible Notes, the outstanding notes were converted, at the option of the holders, to common stock upon the execution of the Merger.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Demand Notes</w:t>
      </w:r>
    </w:p>
    <w:p>
      <w:pPr>
        <w:spacing w:after="0" w:line="119"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Pay-to-Play Notes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P2P NPA provides that the P2P Notes may be converted as follows:</w:t>
      </w:r>
    </w:p>
    <w:p>
      <w:pPr>
        <w:spacing w:after="0" w:line="131" w:lineRule="exact"/>
        <w:rPr>
          <w:sz w:val="20"/>
          <w:szCs w:val="20"/>
          <w:color w:val="auto"/>
        </w:rPr>
      </w:pPr>
    </w:p>
    <w:p>
      <w:pPr>
        <w:ind w:left="960" w:right="140" w:hanging="424"/>
        <w:spacing w:after="0" w:line="261"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w:t>
      </w:r>
    </w:p>
    <w:p>
      <w:pPr>
        <w:spacing w:after="0" w:line="88" w:lineRule="exact"/>
        <w:rPr>
          <w:rFonts w:ascii="Times New Roman" w:cs="Times New Roman" w:eastAsia="Times New Roman" w:hAnsi="Times New Roman"/>
          <w:sz w:val="18"/>
          <w:szCs w:val="18"/>
          <w:color w:val="auto"/>
        </w:rPr>
      </w:pPr>
    </w:p>
    <w:p>
      <w:pPr>
        <w:ind w:left="960" w:hanging="424"/>
        <w:spacing w:after="0" w:line="289" w:lineRule="auto"/>
        <w:tabs>
          <w:tab w:leader="none" w:pos="9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w:t>
      </w:r>
    </w:p>
    <w:p>
      <w:pPr>
        <w:sectPr>
          <w:pgSz w:w="11900" w:h="16838" w:orient="portrait"/>
          <w:cols w:equalWidth="0" w:num="1">
            <w:col w:w="11000"/>
          </w:cols>
          <w:pgMar w:left="440" w:top="270" w:right="459" w:bottom="1440" w:gutter="0" w:footer="0" w:header="0"/>
        </w:sectPr>
      </w:pPr>
    </w:p>
    <w:bookmarkStart w:id="92" w:name="page93"/>
    <w:bookmarkEnd w:id="92"/>
    <w:p>
      <w:pPr>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 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 rata portion.</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P2P notes, the outstanding P2P Notes were converted, at the option of the holders, to common stock upon the execution of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a party to the following equity financing agreements during the years ended December 31, 2023 and 2022: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D, D-1 and D-2 redeemable convertible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September 2022, with the conversion of $32.0 million in existing Series D-2 Notes and incremental cash proceeds of $5.6 million, we issued a total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7,561,820 Series D-2 redeemable convertible preferred stock. The total carrying value recognized from conversion and new proceeds, approximated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million and $5.6 million, prior to issuance costs, respectively. The original issue price and conversion price of Series D-2 redeemable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was $4.9717 per share. The Series D-2 convertible preferred shares were issued with detachable Series D-2 Preferred Stock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expiring September 2025. The Series D-2 Preferred Stock warrants were valued at $1.6 million in total value allocated to the preferred stock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we amended our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ectPr>
          <w:pgSz w:w="11900" w:h="16838" w:orient="portrait"/>
          <w:cols w:equalWidth="0" w:num="1">
            <w:col w:w="11000"/>
          </w:cols>
          <w:pgMar w:left="440" w:top="270" w:right="459" w:bottom="1440" w:gutter="0" w:footer="0" w:header="0"/>
        </w:sectPr>
      </w:pPr>
    </w:p>
    <w:bookmarkStart w:id="93" w:name="page94"/>
    <w:bookmarkEnd w:id="93"/>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180"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Shadow Preferred stock</w:t>
      </w:r>
    </w:p>
    <w:p>
      <w:pPr>
        <w:spacing w:after="0" w:line="119"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 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8"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9"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 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w:t>
      </w:r>
    </w:p>
    <w:p>
      <w:pPr>
        <w:spacing w:after="0" w:line="4" w:lineRule="exact"/>
        <w:rPr>
          <w:sz w:val="20"/>
          <w:szCs w:val="20"/>
          <w:color w:val="auto"/>
        </w:rPr>
      </w:pPr>
    </w:p>
    <w:p>
      <w:pPr>
        <w:ind w:left="4" w:hanging="4"/>
        <w:spacing w:after="0" w:line="253" w:lineRule="auto"/>
        <w:tabs>
          <w:tab w:leader="none" w:pos="3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w:t>
      </w:r>
    </w:p>
    <w:p>
      <w:pPr>
        <w:sectPr>
          <w:pgSz w:w="11900" w:h="16838" w:orient="portrait"/>
          <w:cols w:equalWidth="0" w:num="1">
            <w:col w:w="10944"/>
          </w:cols>
          <w:pgMar w:left="436" w:top="270" w:right="519" w:bottom="1440" w:gutter="0" w:footer="0" w:header="0"/>
        </w:sectPr>
      </w:pPr>
    </w:p>
    <w:bookmarkStart w:id="94" w:name="page95"/>
    <w:bookmarkEnd w:id="9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we had outstanding purchase orders and contractual obligations totaling $0.2 million and</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$4.4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December 31, 2024, the liability balance of our accrued loss on accrued purchase commitments equaled $0.6 million. As of December 31, 2023 the liability balance of our accrued losses on accrued purchase commitments equaled $3.6 million. The accrued losses on accrued purchase commitments as of December 31, 2024 and 2023 are included in the purchase orders and contractual obligations amount.</w:t>
      </w:r>
    </w:p>
    <w:p>
      <w:pPr>
        <w:sectPr>
          <w:pgSz w:w="11900" w:h="16838" w:orient="portrait"/>
          <w:cols w:equalWidth="0" w:num="1">
            <w:col w:w="11000"/>
          </w:cols>
          <w:pgMar w:left="440" w:top="270"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flows for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years ended December 31, 2024 and 2023:</w:t>
      </w:r>
    </w:p>
    <w:p>
      <w:pPr>
        <w:spacing w:after="0" w:line="12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(53,532)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$(27,955)</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101,709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 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used $ 0.9 million and $0.2 million of cash to purchase property and equipment, respectively. The increase of $0.7 million during the year ended December 31, 2024 was primarily due to the licensing of software.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balance-sheet arrangements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the date of this Form 8-K/A,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do not engage in off-balance sheet financing arrangements.</w:t>
      </w:r>
    </w:p>
    <w:p>
      <w:pPr>
        <w:sectPr>
          <w:pgSz w:w="11900" w:h="16838" w:orient="portrait"/>
          <w:cols w:equalWidth="0" w:num="1">
            <w:col w:w="11000"/>
          </w:cols>
          <w:pgMar w:left="440" w:top="266"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Emerging Growth Company Status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21.8% and less than 1% of our revenue for the years ended December 31,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 consolidated financial results. For the year ended December 31, 2024, the loss on foreign exchange transactions was $0.2 million. For the year ended December 31, 2023, the gain on foreign exchange transactions was not material.</w:t>
      </w:r>
    </w:p>
    <w:p>
      <w:pPr>
        <w:sectPr>
          <w:pgSz w:w="11900" w:h="16838" w:orient="portrait"/>
          <w:cols w:equalWidth="0" w:num="1">
            <w:col w:w="10980"/>
          </w:cols>
          <w:pgMar w:left="440" w:top="266"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Rate Risk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maintain cash in checking and savings accounts. We investment securities in U.S. government treasury securities, U.S. government money market funds, and mutual funds. We do not enter into investments for trading or speculative purposes and have not used any derivative financial instruments to manage our interest rate risk exposure.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our total accounts receivable. As of December 31, 2023, one customer, a related party, accounted for approximately 98% of our total accounts receivable.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our revenue. For the year ended December 31, 2024, two customers, both related parties, accounted for approximately 77% and 21% of our revenue. For the year ended December 31, 2023, one customer, a related party, accounted for nearly 100% of our revenue.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 (“US GAAP”) requires us to make estimates and assumptions that affect the reported amount of assets and liabilities, the disclosure of contingent assets and liabilities and the reported amounts of revenues and expenses during the reported periods. The more critical accounting estimates include estimates related to revenue, the valuation of accounts receivable, research and development costs, the net realizable value of inventories, impairment of long-lived assets, the fair value of convertible notes and related financing charges, the fair value of warrant liabilities, the valuation of stock-based compensation awards and the accounting for income taxes. These estimates and assumptions are based on historical experience and on various other factors which we believe to be reasonable under the circumstances. We engage, as needed, third-party valuation specialists to assist with estimates related to the valuation of our convertible notes and related financing charges, the valuation of warrant liabilities and the valuation assumptions underlying our stock-based compensation.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We derive revenue from product sales, software license and development arrangements, joint marketing arrangements and cloud services. 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the terms and conditions of the engagement in identifying the contracts. We determine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we and are distinct in the context of the contract.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w:t>
      </w:r>
    </w:p>
    <w:p>
      <w:pPr>
        <w:sectPr>
          <w:pgSz w:w="11900" w:h="16838" w:orient="portrait"/>
          <w:cols w:equalWidth="0" w:num="1">
            <w:col w:w="11000"/>
          </w:cols>
          <w:pgMar w:left="440" w:top="266"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Step 4: Allocate the transaction price to the performance obligations in the contract.</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we satisfy a performance obligation.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we provide services over period of time.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we expect to receive in exchange for the hardware. We offer unspecified upgrades and support on certain products; however, the related revenue has historically not been significant. Our software license and development arrangements entail revenue from the licensing of our intellectual property (“IP”) and also include nonrecurring engineering development services to configure our IP and hardware to a customer’s needs. For each contract, we consider the promise to deliver a license that grants the customer the right to use the IP, as well as any professional services provided under the contract, as distinct performance obligations. We recognize licensing revenue from such arrangements over the term of the arrangements and recognize professional services over time as the services are provided. We measure progress to completion based on actual costs incurred to date as a percentage of the estimated total cost required to complete the project.</w:t>
      </w:r>
    </w:p>
    <w:p>
      <w:pPr>
        <w:spacing w:after="0" w:line="19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timing of our revenue recognition may differ from the timing of payment by its customers. An unbilled receivable is recorded when revenue is recognized prior to invoicing and we have an unconditional right to payment. Alternatively, when payment precedes the provision of the related services, we record deferred revenue until the performance obligations are satisfied.</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defer incremental costs of obtaining a customer contract and amortize the deferred costs over the period that the related revenue is recognized. We had no material incremental costs to obtain customer contracts in any period presented.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elected to account for shipping and handling fees as fulfillment activities and not separate performance obligations. Accordingly, these fees are reflected in revenue and the related fulfillment costs are accrued as cost of goods sold as the related fulfillment costs incurred. We offer a standard assurance type warranty to customers for hardware sales.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Costs related to our research and development (“R&amp;D”) activities are expensed as incurred. R&amp;D expense consists primarily of personnel costs for our R&amp;D activities. R&amp;D expense also includes costs associated with the design and development of our application-specific integrated circuit (“ASIC”) and IP solutions, such as third-party foundry costs, third-party computer-aided design tools and software licenses, third-party IP licenses, reference design development, and allocated costs, such as facilities and information technology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represents our estimate of the amount of probable credit losses in our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a part of cost of revenue in the consolidated statement of operations.</w:t>
      </w:r>
    </w:p>
    <w:p>
      <w:pPr>
        <w:sectPr>
          <w:pgSz w:w="11900" w:h="16838" w:orient="portrait"/>
          <w:cols w:equalWidth="0" w:num="1">
            <w:col w:w="11000"/>
          </w:cols>
          <w:pgMar w:left="440" w:top="268"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Impairment of Long-Lived Assets</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Long-lived assets, which primarily consist of property and equipment and operating lease right-of-use assets are reviewed for impairment whenever events or changes in circumstances indicate that the carrying amount of long-lived assets may not be recoverable. If the sum of the expected undiscounted future cash flows is less than the carrying amount of those assets, we recognize an impairment loss based on the excess of the carrying amount over the fair value of the assets. We estimate the expected undiscounted future cash flows from the use of those assets and their eventual disposition.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account for our convertible notes, some of which contain, complex conversion features or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 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(ASU 2020-06). We record the convertible note liability at fair value at each period end. Changes in the fair value are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fair value of convertible notes in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issued freestanding warrants in connection with certain convertible debt arrangements and preferred stock issuances which have been recorded as liabilities in the consolidated balance sheets at their estimated fair value. At initial recognition, the warrants are recorded at their estimated fair value calculated using the Black-Scholes-Merton (“Black-Scholes”) option pricing model wherein, depending on the terms of the warrants, certain inputs to the Black-Scholes model are required to be determined via a Monte Carlo Simulation model. The liability associated with these warrants is subject to remeasurement at each balance sheet date, with changes in fair value recorded as remeasurement of warrant liability in the consolidated statements of operations. The warrants continue to be remeasured until the earlier of the expiration or exercise of the warrants.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We use the asset 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 We are subject to tax audits in various jurisdictions. We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We include interest expense and penalties related to its uncertain tax positions in income tax expense.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granted stock options to our employees, non-employee consultants and non-employee directors in exchange for services pursuant to the 2011 Plan, which vest upon satisfaction of service-based conditions. We recognize the cost of such stock options based on the fair value of those awards at the date of grant over the requisite service period. The fair value of the stock options granted is determined using the Black-Scholes option pricing model using various inputs, including our estimates of expected stock price volatility, term, risk-free rate and future dividends. We have elected the simplified method to determine the expected term of the stock option grants. We have also granted RSUs to employees and directors in exchange for services pursuant to the 2011 Plan, which vest upon the satisfaction of both a service-based condition and a liquidity event condition, as defined. The fair value of restricted stock units is determined based on our estimated fair value of common stock at the date of grant. We have not recorded any stock-based compensation expense associated with these RSUs as a liquidity event has not occurred. If a liquidity event occurs in the future, we will record service condition has been satisfied prior to the liquidity event, and we will record the remaining unrecognized stock-based compensation over the remainder of the requisite service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improves reportable segment disclosure requirements, primarily through enhanced disclosures about significant segment expenses. We adopted this standard during the year ended December 31, 2024. The adoption resulted in expanded disclosures for the Company’s single reportable segment, but did not have a material impact on our consolidated financial statements.</w:t>
      </w:r>
    </w:p>
    <w:p>
      <w:pPr>
        <w:sectPr>
          <w:pgSz w:w="11900" w:h="16838" w:orient="portrait"/>
          <w:cols w:equalWidth="0" w:num="1">
            <w:col w:w="11020"/>
          </w:cols>
          <w:pgMar w:left="440" w:top="268" w:right="439" w:bottom="1440" w:gutter="0" w:footer="0" w:header="0"/>
        </w:sectPr>
      </w:pPr>
    </w:p>
    <w:bookmarkStart w:id="100" w:name="page101"/>
    <w:bookmarkEnd w:id="100"/>
    <w:p>
      <w:pPr>
        <w:jc w:val="both"/>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We adopted this standard as of January 1, 2024. The adoption of this standard did not have an impact on our consolidated financial statements.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Blaize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Conversion and Exchange</w:t>
      </w:r>
    </w:p>
    <w:p>
      <w:pPr>
        <w:spacing w:after="0" w:line="121"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Blaize is a party to the P2P NPA, pursuant to which Blaize issued, in accordance with the exchange formula therein and the subsequent rights offering completed in November 2023 (the “Rights Offering”), the following shadow preferred shares: (i) an aggregate of 2,020,309 shares of Blaize Series Seed Shadow Preferred Stock in exchange for Blaize’s common stock acquired upon conversion of Blaize Series Seed Preferred Stock; (ii) an aggregate of 4,573,935 shares of Blaize Series A Shadow Preferred Stock in exchange for Blaize’s common stock acquired upon conversion of Blaize Series A Preferred Stock; (iii) an aggregate of 12,234,661 shares of Blaize Series B Shadow Preferred Stock in exchange for Blaize’s common stock acquired upon conversion of Blaize Series B Preferred Stock; (iv) an aggregate of 10,211,548 shares of Blaize Series C Shadow Preferred Stock in exchange for Blaize’s common stock acquired upon conversion of Blaize Series C Preferred Stock; (v) an aggregate of 239,405 shares of Blaize Series D Exchange Shadow Preferred Stock in exchange for Blaize’s common stock acquired upon conversion of Blaize Series D Exchange Preferred Stock; (vi) an aggregate of 3,990,707 shares of Blaize Series D Shadow Preferred Stock in exchange for Blaize’s common stock acquired upon conversion of Blaize Series D Preferred Stock; (vii) an aggregate of 3,662,318 shares of Blaize Series D-1 Shadow Preferred Stock in exchange for Blaize’s common stock acquired upon conversion of Blaize Series D-1 Preferred Stock; and (viii) an aggregate of 7,561,820 shares of Blaize Series D-2 Shadow Preferred Stock in exchange for Blaize’s common stock acquired upon conversion of Blaize Series D-2 Preferred Stock (collectively, the “Conversion and Exchange”). Collectively, Blaize issued P2P Notes in connection with the Conversion and Exchange in the aggregate principal amount of $12.2 million, plus interest.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tables summarize the Conversion and Exchange by Blaize’s related persons and their affiliated entities: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Bess Ventures and Advisory, LLC</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of Shadow</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Purchase Price for</w:t>
            </w: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Original Preferred</w:t>
            </w: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Exchange (Note</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1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Preferred</w:t>
            </w:r>
          </w:p>
        </w:tc>
        <w:tc>
          <w:tcPr>
            <w:tcW w:w="46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 Pre-</w:t>
            </w: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(Note Purchase</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 and</w:t>
            </w:r>
          </w:p>
        </w:tc>
        <w:tc>
          <w:tcPr>
            <w:tcW w:w="0" w:type="dxa"/>
            <w:vAlign w:val="bottom"/>
          </w:tcPr>
          <w:p>
            <w:pPr>
              <w:spacing w:after="0"/>
              <w:rPr>
                <w:sz w:val="1"/>
                <w:szCs w:val="1"/>
                <w:color w:val="auto"/>
              </w:rPr>
            </w:pPr>
          </w:p>
        </w:tc>
      </w:tr>
      <w:tr>
        <w:trPr>
          <w:trHeight w:val="160"/>
        </w:trPr>
        <w:tc>
          <w:tcPr>
            <w:tcW w:w="4280" w:type="dxa"/>
            <w:vAlign w:val="bottom"/>
            <w:gridSpan w:val="2"/>
            <w:vMerge w:val="continue"/>
          </w:tcPr>
          <w:p>
            <w:pPr>
              <w:spacing w:after="0"/>
              <w:rPr>
                <w:sz w:val="13"/>
                <w:szCs w:val="13"/>
                <w:color w:val="auto"/>
              </w:rPr>
            </w:pPr>
          </w:p>
        </w:tc>
        <w:tc>
          <w:tcPr>
            <w:tcW w:w="114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Pr>
          <w:p>
            <w:pPr>
              <w:spacing w:after="0"/>
              <w:rPr>
                <w:sz w:val="13"/>
                <w:szCs w:val="13"/>
                <w:color w:val="auto"/>
              </w:rPr>
            </w:pPr>
          </w:p>
        </w:tc>
        <w:tc>
          <w:tcPr>
            <w:tcW w:w="16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4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and Exchange)</w:t>
            </w:r>
          </w:p>
        </w:tc>
        <w:tc>
          <w:tcPr>
            <w:tcW w:w="11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Blaize Series D-2 Shadow Preferred Stock</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4,167,698</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$ 20,720,547.94</w:t>
            </w:r>
          </w:p>
        </w:tc>
        <w:tc>
          <w:tcPr>
            <w:tcW w:w="5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4,167,698</w:t>
            </w:r>
          </w:p>
        </w:tc>
        <w:tc>
          <w:tcPr>
            <w:tcW w:w="4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4,167,698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4,167,698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$ 20,720,547.94</w:t>
            </w:r>
          </w:p>
        </w:tc>
        <w:tc>
          <w:tcPr>
            <w:tcW w:w="5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4,167,698</w:t>
            </w:r>
          </w:p>
        </w:tc>
        <w:tc>
          <w:tcPr>
            <w:tcW w:w="4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4,167,698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760" w:hanging="424"/>
        <w:spacing w:after="0" w:line="261"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Lane Bess is a member of the Blaize board of directors and is affiliated with Bess Ventures and Advisory, LLC (“Bess Ventures”). As of December 31, 2024, Bess Ventures held more than 5% of Blaize’s outstanding capital stock.</w:t>
      </w:r>
    </w:p>
    <w:p>
      <w:pPr>
        <w:ind w:left="424" w:right="140" w:hanging="424"/>
        <w:spacing w:after="0" w:line="253"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Bess Ventures received 4,167,698 shares of Blaize Series D-2 Preferred Stock upon conversion of certain convertible securities in the aggregate principal amount of $20,720,547.94, including interest, pursuant to that certain Series D-2 Preferred Stock Purchase Agreement, dated September 19, 2022, between Blaize and certain investors of Blaize listed on Schedule A thereto (the “Series D-2 Purchase Agreement”).</w:t>
      </w:r>
    </w:p>
    <w:p>
      <w:pPr>
        <w:sectPr>
          <w:pgSz w:w="11900" w:h="16838" w:orient="portrait"/>
          <w:cols w:equalWidth="0" w:num="1">
            <w:col w:w="11004"/>
          </w:cols>
          <w:pgMar w:left="436" w:top="270" w:right="459" w:bottom="1440" w:gutter="0" w:footer="0" w:header="0"/>
        </w:sectPr>
      </w:pPr>
    </w:p>
    <w:bookmarkStart w:id="101" w:name="page102"/>
    <w:bookmarkEnd w:id="101"/>
    <w:p>
      <w:pPr>
        <w:ind w:left="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Franklin Strategic Series — Franklin Small-Mid Cap Growth Fund and Franklin Templeton Variable Insurance products Trust — Franklin Small-Mid Cap Growth VIP Fund</w:t>
      </w:r>
    </w:p>
    <w:p>
      <w:pPr>
        <w:spacing w:after="0" w:line="16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for</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2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Original Preferred</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P2P Note</w:t>
            </w:r>
          </w:p>
        </w:tc>
        <w:tc>
          <w:tcPr>
            <w:tcW w:w="0" w:type="dxa"/>
            <w:vAlign w:val="bottom"/>
          </w:tcPr>
          <w:p>
            <w:pPr>
              <w:spacing w:after="0"/>
              <w:rPr>
                <w:sz w:val="1"/>
                <w:szCs w:val="1"/>
                <w:color w:val="auto"/>
              </w:rPr>
            </w:pPr>
          </w:p>
        </w:tc>
      </w:tr>
      <w:tr>
        <w:trPr>
          <w:trHeight w:val="148"/>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 Pre-</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(Note Purchase</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 and</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80" w:type="dxa"/>
            <w:vAlign w:val="bottom"/>
            <w:gridSpan w:val="2"/>
            <w:vMerge w:val="continue"/>
          </w:tcPr>
          <w:p>
            <w:pPr>
              <w:spacing w:after="0"/>
              <w:rPr>
                <w:sz w:val="13"/>
                <w:szCs w:val="13"/>
                <w:color w:val="auto"/>
              </w:rPr>
            </w:pPr>
          </w:p>
        </w:tc>
        <w:tc>
          <w:tcPr>
            <w:tcW w:w="80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3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and Exchange)</w:t>
            </w:r>
          </w:p>
        </w:tc>
        <w:tc>
          <w:tcPr>
            <w:tcW w:w="12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9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9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Blaize Series D Exchange Shadow Preferred</w:t>
            </w: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80" w:type="dxa"/>
            <w:vAlign w:val="bottom"/>
            <w:gridSpan w:val="2"/>
            <w:shd w:val="clear" w:color="auto" w:fill="CCEEFF"/>
          </w:tcPr>
          <w:p>
            <w:pPr>
              <w:jc w:val="right"/>
              <w:ind w:right="3240"/>
              <w:spacing w:after="0" w:line="235" w:lineRule="exact"/>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6"/>
                <w:szCs w:val="26"/>
                <w:color w:val="auto"/>
                <w:vertAlign w:val="superscript"/>
              </w:rPr>
              <w:t>(2)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239,405</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239,405</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239,405</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Blaize Series D Shadow Preferred Stock</w:t>
            </w:r>
            <w:r>
              <w:rPr>
                <w:rFonts w:ascii="Times New Roman" w:cs="Times New Roman" w:eastAsia="Times New Roman" w:hAnsi="Times New Roman"/>
                <w:sz w:val="25"/>
                <w:szCs w:val="25"/>
                <w:color w:val="auto"/>
                <w:vertAlign w:val="superscript"/>
              </w:rPr>
              <w:t>(3)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1,915,251</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22,500,008.58</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1,915,251</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1,915,251</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Blaize Series D-2 Shadow Preferred Stock</w:t>
            </w:r>
            <w:r>
              <w:rPr>
                <w:rFonts w:ascii="Times New Roman" w:cs="Times New Roman" w:eastAsia="Times New Roman" w:hAnsi="Times New Roman"/>
                <w:sz w:val="25"/>
                <w:szCs w:val="25"/>
                <w:color w:val="auto"/>
                <w:vertAlign w:val="superscript"/>
              </w:rPr>
              <w:t>(4)</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1,550,417</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7,708,213.67</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1,550,417</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1,550,417</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980" w:type="dxa"/>
            <w:vAlign w:val="bottom"/>
            <w:gridSpan w:val="2"/>
          </w:tcPr>
          <w:p>
            <w:pPr>
              <w:jc w:val="right"/>
              <w:ind w:right="3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3,705,073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30,208,222.25</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3,705,073</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3,705,073</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634,489.56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620" w:hanging="424"/>
        <w:spacing w:after="0" w:line="257"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Franklin Strategic Series — Franklin Small-Mid Cap Growth Fund and Franklin Templeton Variable Insurance Products Trust — Franklin Small-Mid Growth VIP Fund (collectively, “Franklin Funds”) beneficially owned more than 5% of Blaize’s outstanding capital stock.</w:t>
      </w:r>
    </w:p>
    <w:p>
      <w:pPr>
        <w:spacing w:after="0" w:line="1" w:lineRule="exact"/>
        <w:rPr>
          <w:rFonts w:ascii="Times New Roman" w:cs="Times New Roman" w:eastAsia="Times New Roman" w:hAnsi="Times New Roman"/>
          <w:sz w:val="18"/>
          <w:szCs w:val="18"/>
          <w:color w:val="auto"/>
        </w:rPr>
      </w:pPr>
    </w:p>
    <w:p>
      <w:pPr>
        <w:ind w:left="424" w:right="400" w:hanging="424"/>
        <w:spacing w:after="0" w:line="250"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Franklin Funds received 239,405 shares of Blaize Series D Exchange Preferred Stock in exchange for Blaize Series D Preferred Stock in accordance with the exchange pro rata share, pursuant to the Series D-2 Purchase Agreement.</w:t>
      </w:r>
    </w:p>
    <w:p>
      <w:pPr>
        <w:ind w:left="424" w:right="40" w:hanging="424"/>
        <w:spacing w:after="0" w:line="250"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Franklin Funds received 1,915,251 shares of Blaize Series D Preferred Stock upon the purchase and conversion of certain convertible securities in the aggregate principal amount of $22,500,008.58, including interest, pursuant to that certain Series D Preferred Stock Purchase Agreement, dated March 22, 2021, between Blaize and certain investors of Blaize listed on Schedule A thereto (the “Series D Purchase Agreement”).</w:t>
      </w:r>
    </w:p>
    <w:p>
      <w:pPr>
        <w:spacing w:after="0" w:line="1" w:lineRule="exact"/>
        <w:rPr>
          <w:rFonts w:ascii="Times New Roman" w:cs="Times New Roman" w:eastAsia="Times New Roman" w:hAnsi="Times New Roman"/>
          <w:sz w:val="18"/>
          <w:szCs w:val="18"/>
          <w:color w:val="auto"/>
        </w:rPr>
      </w:pPr>
    </w:p>
    <w:p>
      <w:pPr>
        <w:jc w:val="both"/>
        <w:ind w:left="424" w:right="380" w:hanging="424"/>
        <w:spacing w:after="0" w:line="255"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Franklin Funds received 1,550,417 shares of Blaize Series D-2 Preferred Stock upon the purchase and conversion of certain convertible securities in the aggregate principal amount of $7,708,213.67, including interest, pursuant to the Series D-2 Purchase Agreement.</w:t>
      </w:r>
    </w:p>
    <w:p>
      <w:pPr>
        <w:sectPr>
          <w:pgSz w:w="11900" w:h="16838" w:orient="portrait"/>
          <w:cols w:equalWidth="0" w:num="1">
            <w:col w:w="10984"/>
          </w:cols>
          <w:pgMar w:left="436" w:top="266" w:right="479" w:bottom="1440" w:gutter="0" w:footer="0" w:header="0"/>
        </w:sectPr>
      </w:pPr>
    </w:p>
    <w:bookmarkStart w:id="102" w:name="page103"/>
    <w:bookmarkEnd w:id="102"/>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Anderson Investments Pte. Ltd.</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 Price for</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Exchange</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Original Preferred</w:t>
            </w: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P2P Note</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 Pre-</w:t>
            </w:r>
          </w:p>
        </w:tc>
        <w:tc>
          <w:tcPr>
            <w:tcW w:w="12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 Purchase</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 and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82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3"/>
                <w:szCs w:val="13"/>
                <w:color w:val="auto"/>
              </w:rPr>
            </w:pPr>
          </w:p>
        </w:tc>
        <w:tc>
          <w:tcPr>
            <w:tcW w:w="14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and Exchange)</w:t>
            </w:r>
          </w:p>
        </w:tc>
        <w:tc>
          <w:tcPr>
            <w:tcW w:w="12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Blaize Series C Shadow Preferred Stock</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7"/>
              </w:rPr>
              <w:t>3,147,755</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$ 14,999,996.91</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3,147,755</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3,147,755</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Blaize Series D Shadow Preferred Stock</w:t>
            </w:r>
            <w:r>
              <w:rPr>
                <w:rFonts w:ascii="Times New Roman" w:cs="Times New Roman" w:eastAsia="Times New Roman" w:hAnsi="Times New Roman"/>
                <w:sz w:val="25"/>
                <w:szCs w:val="25"/>
                <w:color w:val="auto"/>
                <w:vertAlign w:val="superscript"/>
              </w:rPr>
              <w:t>(3)</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1,436,437</w:t>
            </w:r>
          </w:p>
        </w:tc>
        <w:tc>
          <w:tcPr>
            <w:tcW w:w="17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$ 14,999,993.38</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1,436,437</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1,436,437</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Blaize Series D-1 Shadow Preferred Stock</w:t>
            </w:r>
            <w:r>
              <w:rPr>
                <w:rFonts w:ascii="Times New Roman" w:cs="Times New Roman" w:eastAsia="Times New Roman" w:hAnsi="Times New Roman"/>
                <w:sz w:val="25"/>
                <w:szCs w:val="25"/>
                <w:color w:val="auto"/>
                <w:vertAlign w:val="superscript"/>
              </w:rPr>
              <w:t>(3)</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2,394,063</w:t>
            </w:r>
          </w:p>
        </w:tc>
        <w:tc>
          <w:tcPr>
            <w:tcW w:w="17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$ 20,000,000.00</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2,394,063</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2,394,063</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8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6,978,255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$ 49,999,990.29</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6,978,255</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6,978,255</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2,312,010.00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Anderson Investments Pte. Ltd. (“Anderson Investments”) held more than 5% of Blaize’s outstanding capital stock.</w:t>
      </w:r>
    </w:p>
    <w:p>
      <w:pPr>
        <w:spacing w:after="0" w:line="27"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Anderson Investments received 3,147,755 shares of Blaize Series C Preferred Stock upon the purchase of certain convertible securities in the aggregate principal amount of $14,999,996.91, pursuant to that certain Series C Preferred Stock Purchase Agreement, dated July 6, 2018, between ThinCI, Inc. and certain investors of Blaize listed on Schedule A thereto (the “Series C Purchase Agreement”).</w:t>
      </w:r>
    </w:p>
    <w:p>
      <w:pPr>
        <w:spacing w:after="0" w:line="1"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Anderson Investments received 1,436,437 shares of Blaize Series D Preferred Stock and 2,394,063 shares of Blaize Series D-1 Preferred Stock upon the purchase and conversion of certain convertible securities in the aggregate principal amount of $34,999,993.38, pursuant to the Series D Purchase Agreement.</w:t>
      </w:r>
    </w:p>
    <w:p>
      <w:pPr>
        <w:sectPr>
          <w:pgSz w:w="11900" w:h="16838" w:orient="portrait"/>
          <w:cols w:equalWidth="0" w:num="1">
            <w:col w:w="10884"/>
          </w:cols>
          <w:pgMar w:left="436" w:top="266" w:right="579" w:bottom="1440" w:gutter="0" w:footer="0" w:header="0"/>
        </w:sectPr>
      </w:pPr>
    </w:p>
    <w:bookmarkStart w:id="103" w:name="page104"/>
    <w:bookmarkEnd w:id="10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certain related party and its affiliate</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 Price for</w:t>
            </w: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Exchange</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Original Preferred</w:t>
            </w: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P2P Note</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 Pre-</w:t>
            </w: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(Note Purchase</w:t>
            </w: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 and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82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2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and Exchange)</w:t>
            </w:r>
          </w:p>
        </w:tc>
        <w:tc>
          <w:tcPr>
            <w:tcW w:w="12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Blaize Series B Shadow Preferred Stock</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5,797,101</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3,999,999.69</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5,797,101</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5,797,101</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Blaize Series C Shadow Preferred Stock</w:t>
            </w:r>
            <w:r>
              <w:rPr>
                <w:rFonts w:ascii="Times New Roman" w:cs="Times New Roman" w:eastAsia="Times New Roman" w:hAnsi="Times New Roman"/>
                <w:sz w:val="25"/>
                <w:szCs w:val="25"/>
                <w:color w:val="auto"/>
                <w:vertAlign w:val="superscript"/>
              </w:rPr>
              <w:t>(3)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3,147,755</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15,000,000.00</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3,147,755</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3,147,755</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Blaize Series D-1 Shadow Preferred Stock</w:t>
            </w:r>
            <w:r>
              <w:rPr>
                <w:rFonts w:ascii="Times New Roman" w:cs="Times New Roman" w:eastAsia="Times New Roman" w:hAnsi="Times New Roman"/>
                <w:sz w:val="25"/>
                <w:szCs w:val="25"/>
                <w:color w:val="auto"/>
                <w:vertAlign w:val="superscript"/>
              </w:rPr>
              <w:t>(4)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957,625</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8,000,000.00</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957,625</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957,625</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8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9,902,481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26,999,999.69</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9,902,481</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9,902,481</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1,920,674.00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180" w:hanging="424"/>
        <w:spacing w:after="0" w:line="257"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Tony Cannestra is a member of the Blaize board of directors and is affiliated with DENSO, DENSO Corporation and NSITEXE, Inc. (“NSITEXE”). As of December 31, 2024, DENSO and its affiliate, DENSO Corporation (previously held by NSITEXE, which was absorbed by and merged into DENSO on January 1, 2024), held approximately 5% of Blaize’s outstanding capital stock.</w:t>
      </w:r>
    </w:p>
    <w:p>
      <w:pPr>
        <w:spacing w:after="0" w:line="1" w:lineRule="exact"/>
        <w:rPr>
          <w:rFonts w:ascii="Times New Roman" w:cs="Times New Roman" w:eastAsia="Times New Roman" w:hAnsi="Times New Roman"/>
          <w:sz w:val="18"/>
          <w:szCs w:val="18"/>
          <w:color w:val="auto"/>
        </w:rPr>
      </w:pPr>
    </w:p>
    <w:p>
      <w:pPr>
        <w:ind w:left="424" w:right="160" w:hanging="424"/>
        <w:spacing w:after="0" w:line="265" w:lineRule="auto"/>
        <w:tabs>
          <w:tab w:leader="none" w:pos="42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Conversion and Exchange, DENSO received 5,797,101 shares of Blaize Series B Preferred Stock upon the purchase of certain convertible securities in the aggregate principal amount of $3,999,999.69, pursuant to that certain Series B Preferred Stock Purchase Agreement, dated August 25, 2016, between ThinCI, Inc. and certain investors of Blaize listed on Schedule A thereto (the “Series B Purchase Agreement”).</w:t>
      </w:r>
    </w:p>
    <w:p>
      <w:pPr>
        <w:ind w:left="424" w:right="20" w:hanging="424"/>
        <w:spacing w:after="0" w:line="250"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NSITEXE received 3,147,755 shares of Blaize Series C Preferred Stock upon the purchase and conversion of certain convertible securities in the aggregate principal amount of $15,000,000.00, pursuant to the Series C Purchase Agreement. Subsequent to the Conversion and Exchange, the affiliate of the certain related party transferred 3,147,755 shares of Series C Shadow Preferred Stock to DENSO Corporation pursuant to that certain Stock Transfer Agreement, dated December 31, 2023, by and between NSITEXE and DENSO Corporation (the “DENSO Transfer Agreement”).</w:t>
      </w:r>
    </w:p>
    <w:p>
      <w:pPr>
        <w:spacing w:after="0" w:line="1"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and Exchange, NSITEXE received 957,625 shares of Blaize Series D-1 Preferred Stock upon the purchase and conversion of certain convertible securities in the aggregate principal amount of $8,000,000.00, pursuant to the Series D Purchase Agreement. Subsequent to the Conversion and Exchange, the affiliate transferred 957,625 shares of Series D-1 Shadow Preferred Stock to DENSO Corporation pursuant to the DENSO Transfer Agreement.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Agreements with Shareholders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Common Rights Offering</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In connection with the P2P NPA, Blaize completed the Rights Offering in November 2023, whereby any common stockholder of Blaize that held shares of common stock as of immediately prior to the 10:1 reverse stock split completed in November 2022 had the opportunity to purchase a pro-rata portion of the P2P Notes and partially or fully undo the effects of the reverse stock split. The P2P Notes bore simple interest at a rate of ten percent (10%) and, unless converted earlier into shares pursuant to the P2P NPA, was payable on the earlier of (i) immediately prior to Blaize’s consummation of a transaction defined as a “Liquidation Event” in the Certificate of Incorporation of Blaize or (ii) an event of default with respect to the P2P Notes. Proceeds received under the Rights Offering totaled $0.1 million. Under the Rights Offering, Satyaki Koneru, the Chief Technical Officer of Blaize, purchased a P2P Note in the aggregate principal amount of $28,924.76; Ke Yin, the Vice President of Engineering of Blaize purchased a P2P Note in the aggregate principal amount of $28,924.76; and Dinakar Munagala, Chief Executive Officer and a member of the Blaize board of directors, purchased two P2P Notes in the aggregate principal amounts of $19,637.14 and $7,797.04, respectively. Since January 1, 2023, the largest aggregate amount of principal outstanding under the P2P Notes was approximately $12.4 million, and no amount of principal or interest has been paid under the P2P Notes. As of June 24, 2024, Blaize had approximately $12.4 million in borrowings outstanding under the P2P Notes, inclusive of P2P Notes issued under the Rights Offering.</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Blaize is a party to the Amended and Restated Investors’ Rights Agreement, dated September 19, 2022, as amended by that certain Omnibus Amendment and Agreement, dated December 8, 2022, which provides, among other things, that certain holders of its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a member of the Blaize board of directors, have the right to demand that Blaize file a registration statement or request that their shares of Blaize capital stock be covered by a registration statement that Blaize is otherwise filing. This agreement will terminate upon completion of the Business Combination.</w:t>
      </w:r>
    </w:p>
    <w:p>
      <w:pPr>
        <w:sectPr>
          <w:pgSz w:w="11900" w:h="16838" w:orient="portrait"/>
          <w:cols w:equalWidth="0" w:num="1">
            <w:col w:w="11004"/>
          </w:cols>
          <w:pgMar w:left="436" w:top="266" w:right="459" w:bottom="1440" w:gutter="0" w:footer="0" w:header="0"/>
        </w:sectPr>
      </w:pPr>
    </w:p>
    <w:bookmarkStart w:id="104" w:name="page105"/>
    <w:bookmarkEnd w:id="10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Refusal and Co-Sale Agreement</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Pursuant to certain agreements with its stockholders, including the Amended and Restated First Refusal and Co-sale Agreement, dated September 19, 2022, as amended by that certain Omnibus Amendment and Agreement, dated December 8, 2022 (the “ROFR Agreement”), Blaize or its assignees have the right to (i) purchase shares of Blaize capital stock which certain stockholders propose to sell to other parties and (ii) participate in the sale of shares of Blaize capital stock alongside certain stockholders. Certain holders of Blaize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Director of Blaize, have rights of first refusal and co-sale under the ROFR Agreement. The ROFR Agreement will terminate upon completion of the Business Combination.</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Blaize is a party to the Amended and Restated Voting Agreement, dated September 19, 2022, as amended by that certain Omnibus Amendment and Agreement, dated December 8, 2022, and as further amended by that certain Amendment, dated July 3, 2023, pursuant to which certain holders of its capital stock, including entities affiliated with NSITEXE and DENSO, each of which is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and Dinakar Munagala, Chief Executive Officer and a member of the Blaize board of directors, have agreed to vote their shares of our capital stock on certain matters, including with respect to the board size and the election of directors. This agreement will terminate upon completion of the Business Combination.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Stockholder Support Agreement</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Blaize is a party to the Stockholder Support Agreement, dated December 22, 2023 (the “Company Support Agreement”), pursuant to which certain holders of its capital stock, including Dinakar Munagala, Chief Executive Officer and a member of the Blaize board of directors, and entities affiliated with NSITEXE and DENSO, which are affiliated with a member of the Blaize board of directors, Tony Cannestra, Bess Ventures, which is affiliated with a member of the Blaize board of directors, Lane Bess, and Franklin Funds (each of which held within Blaize’s last fiscal year more than 5% of Blaize’s outstanding capital stock) have agreed to, among other things: (i) support and vote in favor of (a) the approval and adoption of the Merger Agreement and the Business Combination, (b) the conversion of each issued and outstanding share of Blaize Preferred Stock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Business Combination,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Blaize Capital Stock, subject to certain exceptions, and termination of certain stockholder agreements and other affiliate agreements of Blaize. This agreement will terminate upon completion of the Business Combination.</w:t>
      </w:r>
    </w:p>
    <w:p>
      <w:pPr>
        <w:spacing w:after="0" w:line="2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Side Letters</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In connection with the Bess Note (as defined below), pursuant to which Blaize has borrowed an aggregate principal amount of $5,000,000 from Bess Ventures, Blaize and Bess Ventures, which is affiliated with a member of the Blaize board of directors, Lane Bess, and currently holds more than 5% of Blaize’s outstanding capital stock, entered into a Management and Board Observer Rights Agreement, dated as of July 3, 2023 (the “Bess Side Letter”), pursuant to which Blaize has agreed to grant certain management consultation rights, access to books and records rights, inspection rights and board observer rights to Bess Ventures. The Bess Side Letter terminates upon the earlier to occur of (i) the consummation of the sale of Blaize’s securities pursuant to a registration statement in connection with a firm commitment underwritten offering of its securities to the general public or (ii) the date upon which Bess Ventures ceases to hold any shares of Blaize.</w:t>
      </w:r>
    </w:p>
    <w:p>
      <w:pPr>
        <w:spacing w:after="0" w:line="189"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7"/>
          <w:szCs w:val="17"/>
          <w:color w:val="auto"/>
        </w:rPr>
        <w:t>In connection with the Note Purchase and Exchange Agreement, pursuant to which Blaize has borrowed an aggregate principal amount of $634,489.56 in aggregate from Franklin Funds, Blaize and Franklin Advisers, Inc., as the investment manager on behalf of Franklin Funds, which held within Blaize’s last fiscal year more than 5% of Blaize’s outstanding capital stock (collectively, the “Franklin Parties”), entered into a Side Letter, dated as of January 19, 2023 (the “Franklin P2P Side Letter”), pursuant to which Blaize has agreed to waive the lock-up provisions applicable to Blaize’s common stock or its convertible securities acquired by the Franklin Parties following the effective date of the first firm commitment underwritten public offering of Blaize’s securities. The Franklin P2P Side Letter terminates upon the earliest to occur of (i) immediately prior to such underwritten public offering,</w:t>
      </w:r>
    </w:p>
    <w:p>
      <w:pPr>
        <w:spacing w:after="0" w:line="5" w:lineRule="exact"/>
        <w:rPr>
          <w:sz w:val="20"/>
          <w:szCs w:val="20"/>
          <w:color w:val="auto"/>
        </w:rPr>
      </w:pPr>
    </w:p>
    <w:p>
      <w:pPr>
        <w:ind w:left="4" w:right="60" w:hanging="4"/>
        <w:spacing w:after="0" w:line="255" w:lineRule="auto"/>
        <w:tabs>
          <w:tab w:leader="none" w:pos="2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a direct listing, (iii) such time as all of the Franklin Parties no longer hold any of the notes pursuant to the Note Purchase and Exchange Agreement or (iv) immediately prior to Blaize’s consummation of a transaction defined as a “Liquidation Event” in the Certificate of Incorporation of Blaize.</w:t>
      </w:r>
    </w:p>
    <w:p>
      <w:pPr>
        <w:spacing w:after="0" w:line="186"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In connection with the Note Purchase Agreement, dated as of July 3, 2023 (as amended and restated on April 22, 2024, the “Amended and Restated Note Purchase Agreement”), pursuant to which Blaize has borrowed an aggregate principal amount of $2,000,000 in aggregate</w:t>
      </w:r>
    </w:p>
    <w:p>
      <w:pPr>
        <w:sectPr>
          <w:pgSz w:w="11900" w:h="16838" w:orient="portrait"/>
          <w:cols w:equalWidth="0" w:num="1">
            <w:col w:w="11004"/>
          </w:cols>
          <w:pgMar w:left="436" w:top="266" w:right="459" w:bottom="1440" w:gutter="0" w:footer="0" w:header="0"/>
        </w:sectPr>
      </w:pPr>
    </w:p>
    <w:bookmarkStart w:id="105" w:name="page106"/>
    <w:bookmarkEnd w:id="105"/>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Franklin Funds, Blaize and the Franklin Parties, entered into a Side Letter, dated as of August 23, 2023 (the “Franklin 2023 Side Letter”), pursuant to which Blaize has agreed to the satisfaction of certain investment obligations of the Franklin Parties, and to waive the lock-up provisions applicable to Blaize’s common stock or its convertible securities acquired by the Franklin Parties following the effective date of the first firm commitment underwritten public offering of Blaize’s securities. The Franklin 2023 Side Letter terminates upon the earliest to occur of (i) immediately prior to such underwritten public offering, (ii) immediately prior to the consummation of a direct listing, (iii) such time as all of the Franklin Parties no longer hold any of the notes pursuant to the Amended and Restated Note Purchase Agreement or (iv) immediately prior to Blaize’s consummation of a transaction defined as a “Liquidation Event” in the Certificate of Incorporation of Blaize.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Blaize is a party to the Blaize 2011 Stock Plan Notice of Restricted Stock Unit Award, dated as of July 3, 2023 (the “Bess RSU Agreement”), pursuant to which Blaize granted 6,000,000 restricted stock units representing common stock of Blaize (the “Bess RSUs”), with a deemed grant date value of $2.6 million and an additional value of $1.7 million associated with a subsequent acceleration of vesting, to Bess Ventures, which is affiliated with a member of the Blaize board of directors, Lane Bess, and currently holds more than 5% of Blaize’s outstanding capital stock. The Bess RSUs are subject to various anti-dilution protections, and under the original terms vested upon the earlier to occur of (i) July 3, 2024, provided that Bess Ventures remains in continuous service as an employee, consultant or outside director through such date or (ii) Blaize’s completion of an initial public offering, a SPAC IPO (as defined in the Bess RSU Agreement), direct listing or sale event. On December 20, 2023, the Blaize Board unanimously approved a modification to the Bess RSU terms to immediately accelerate the vesting of the 6.0 million awards outstanding and issue 6.0 million shares of common stock, which were otherwise set to fully vest on July 3, 2024 on the terms of the Bess RSU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and Operating Agreements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Blaize is a party to a Long-Term Joint Development Agreement with an affiliate of a certain related party, dated as of February 15, 2022, pursuant to which Blaize and an affiliate of a certain related party, which held more than 5% of Blaize’s outstanding capital stock within Blaize’s last fiscal year and is affiliated with a member of the Blaize board of directors, Tony Cannestra, have agreed to jointly develop AI solutions based on one or more Blaize Products and market and sell the AI solutions to customers in various automotive market segments until the end of December 2029. Blaize has not recognized any revenue to date associated with the Long-Term Joint Development Agreement as it has yet to be commercialized.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expects commercialization of the Long-Term Joint Development Agreement to begin in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Transactions, Accounts Payable and Account Receivable</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an Intercompany Service Agreement, dated February 25, 2020, by and between Blaize and Blaize New Computing Technologies India Private Limited, a subsidiary of Blaize (“Blaize India”), Blaize India has agreed to provide software development services to Blaize in exchange for a fee equal to Blaize India’s costs plus a markup of approximately 15%. The Intercompany Service Agreement remains in effect and the amounts expensed by Blaize to Blaize India under this agreement were approximately $13.5 million and $11.5 million for the fiscal years ended December 31, 2024 and 2023, respectively.</w:t>
      </w:r>
    </w:p>
    <w:p>
      <w:pPr>
        <w:spacing w:after="0" w:line="18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Blaize is a party to the Research and Development Services Agreement, dated as of June 15, 2019, pursuant to which Blaize U.K. Limited f/k/a ThinCI Limited, a subsidiary of Blaize (“Blaize UK”), has agreed to perform certain research and development services for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amounts expensed by Blaize to Blaize UK under this agreement were approximately $6.6 million and $6.1 million for the fiscal years ended December 31, 2024 and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Trademark Agreements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Blaize is a party to the Blaize-DENSO Compiler Project Statement of Work, dated as of February 4, 2024, pursuant to which DENSO Corporation, an affiliate of Blaize which beneficially owns more than 5% of Blaize’s outstanding capital stock through its subsidiary, DENSO, and is affiliated with a member of the Blaize board of directors, Tony Cannestra, has agreed to jointly develop certain AI projects with Blaize. The approximate dollar value of the amount involved in the transaction is $326,658.60.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Blaize is a party to that certain intercompany Loan Agreement, dated June 14, 2019, between Blaize, Inc. (formerly known as M/s ThinCI Inc.), as lender, and Blaize New Computing Technologies India Private Limited (formerly known as M/s ThinCI Semiconductor Technologies India Private Limited), as borrower, in the initial principal amount of $4,462,416 (the “Blaize India Loan”). The Blaize India Loan bore simple interest at a rate of 7.99 percent (7.99%) and was payable within seven (7) working days from the expiry of interest period of six consecutive months. Since January 1, 2023, the largest aggregate amount of principal outstanding under the Blaize India Loan was $3,569,932. The amount of principal and interest paid under the Blaize India Loan since the inception of loan to date amounts to $1,784,969 and $505,190, respectively. As of December 31, 2024, Blaize India had $2,677,448 of borrowings outstanding under the Blaize India Loan.</w:t>
      </w:r>
    </w:p>
    <w:p>
      <w:pPr>
        <w:sectPr>
          <w:pgSz w:w="11900" w:h="16838" w:orient="portrait"/>
          <w:cols w:equalWidth="0" w:num="1">
            <w:col w:w="11020"/>
          </w:cols>
          <w:pgMar w:left="440" w:top="270" w:right="43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is a party to the Note Purchase and Exchange Agreement, pursuant to which Blaize has borrowed an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$12,244,033.56 from certain holders of its capital stock, including the following related persons and their affiliated entities: (i) $2,312,010.00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Anderson Investments (the related note, the “Anderson Note”), which currently holds more than 5% of Blaize’s outstanding capital stock,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$3,280,853.00 from DENSO Corporation (the related note, the “DENSO Note”), an affiliate of Blaize which beneficially owns more than 5% of Blaize’s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capital stock together with its subsidiary, DENSO, and is affiliated with a member of the Blaize board of directors, Tony Cannestra, and (iii)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$634,489.56 in aggregate from Franklin Funds (the related notes, the “Franklin 2022 Notes”), which held within Blaize’s last fiscal year more than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Blaize’s outstanding capital stock. The notes issued pursuant to such Note Purchase and Exchange Agreement are convertible, bear simple interest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rate of ten percent (10%) and are payable on the earlier of (i) Blaize’s consummation of a transaction defined as a “Liquidation Event”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of Blaize or (ii) an event of default with respect to the notes. Since January 1, 2023, the largest aggregate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outstanding under the Anderson Note was $2,312,010.00, and no amount of principal or interest has been paid under the Anderson Note.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Blaize had $2,312,010.00 of borrowings outstanding under the Anderson Note. Since January 1, 2023, the largest aggregate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principal outstanding under the DENSO Note was $3,280,853.00, and no amount of principal or interest has been paid under the DENSO Note.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Blaize had $3,280,853.00 of borrowings outstanding under the DENSO Note. Since January 1, 2023, the largest aggregate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principal outstanding under the Franklin 2022 Notes was $634,489.56, and no amount of principal or interest has been paid under the Franklin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As of December 31, 2024, Blaize had $634,489.56 of borrowings outstanding under the Franklin 2022 Notes.</w:t>
      </w:r>
    </w:p>
    <w:p>
      <w:pPr>
        <w:spacing w:after="0" w:line="20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Note Purchase and Exchange Agreement, warrants previously granted on September 19, 2022 to purchase Blaize Series D-2 preferred stock were amended to be exercisable into Blaize Series D-2 Shadow Preferred Stock. Of these warrants, Bess Ventures held a warrant exercisable into 416,769 shares of Blaize Series D-2 Shadow Preferred Stock and the Franklin Funds held four warrants exercisable into 155,040 Blaize Series D-2 Shadow Preferred Stock. In connection the Note Purchase and Exchange Agreement, warrants previously granted on February 28, 2021 and November 9, 2021 to purchase Blaize Series D preferred stock were amended to be exercisable into Blaize Series D Shadow Preferred Stock. Of these warrants, the Franklin Funds held four warrants exercisable for an aggregate of 287,289 shares of Series D Shadow Preferred Stock (the “Series D Warrants”). These Series D Warrants expired on February 28, 2024 in accordance with their terms.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Blaize is a party to the Amended and Restated Note Purchase Agreement pursuant to which Blaize has borrowed an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$122.9 million from certain holders of its capital stock, including the following related persons and their affiliated entities: (i) $99.4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from the RT Parties, (ii) $5,000,000 from Bess Ventures (the related note, the “Bess Note”), which is affiliated with a member of the 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Lane Bess, and currently holds more than 5% of Blaize’s outstanding capital stock, (iii) $2,000,000 in aggregate from Franklin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notes, the “Franklin Notes”), which held within Blaize’s last fiscal year more than 5% of Blaize’s outstanding capital stock and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$16,500,000 from the Sponsor (the related notes, the “Sponsor Notes”), which currently holds more than 5% of Blaize’s outstanding capital stock.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issued pursuant to such Amended and Restated Note Purchase Agreement are convertible, bear interest at a rate of ten percent (10%) compounded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annually and are payable on the earlier of (i) Blaize’s consummation of a transaction defined as a “Liquidation Event” in the Certificate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Blaize, (ii) an event of default with respect to the note or (iii) January 3, 2025. Since January 1, 2023, the largest aggregate amount of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 Bess Note was $5,000,000, and no amount of principal or interest has been paid under the Bess Note.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had $5,000,000 of borrowings outstanding under the Bess Note. Since January 1, 2023, the largest aggregate amount of principal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Franklin Notes was $2,000,000, and no amount of principal or interest has been paid under the Franklin Notes.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Blaize had $2,000,000 of borrowings outstanding under the Franklin Notes. Since January 1, 2023, the largest aggregate amount of principal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Sponsor Notes was $16,500,000, and no amount of principal or interest has been paid under the Sponsor Notes.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had $16,500,000 of borrowings outstanding under the Sponsor Notes.</w:t>
      </w:r>
    </w:p>
    <w:p>
      <w:pPr>
        <w:spacing w:after="0" w:line="20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Amended and Restated Note Purchase Agreement, the noteholders were also granted warrants to purchase shares of Blaize preferred stock, with Bess Ventures receiving a warrant to purchase shares of Blaize preferred stock, dated September 19, 2022, exercisable for an aggregate of 416,769 shares of Blaize Series D-2 Preferred Stock, and the Franklin Funds receiving four (4) warrants to purchase shares of Blaize preferred stock, with two (2) dated February 28, 2021 and two (2) dated November 9, 2021, exercisable for an aggregate of 287,289 shares of Blaize Series D Preferred Stock (the “Franklin Warrants”). The Franklin Warrants expired on February 28, 2024 in accordance with their terms.</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obligations due under the Amended and Restated Note Purchase Agreement and the Bess Note are secured by the Amended and Restated Security Agreement, dated as of April 22, 2024 (the “A&amp;R Security Agreement”) and the Intellectual Property Security Agreement, dated as of July 3, 2023 (the “IP Security Agreement”), pursuant to which Blaize has granted, respectively, (i) a continuing security interest in and lien on all of Blaize’s property described therein and (ii) a security interest in all of Blaize’s right, title and interest in, to and under its intellectual property, to certain holders of its capital stock, including the following related persons and their affiliated entities: (a) Bess Ventures, which is affiliated with a member of the Blaize board of directors, Lane Bess, and currently holds more than 5% of Blaize’s outstanding capital stock, and (b) Franklin Funds, which held within Blaize’s last fiscal year more than 5% of Blaize’s outstanding capital stock.</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Blaize is a party to the Promissory Note, dated as of November 22, 2023, pursuant to which Blaize has borrowed an aggregate principal amount of $750,000 from Juergen Hambrecht, a member of the board of directors of Blaize.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$750,000, the amount of principal paid under the note was $750,000 and the amount of interest paid under the note was $38,466. As of December 31, 2024, Blaize had no borrowings outstanding under the note.</w:t>
      </w:r>
    </w:p>
    <w:p>
      <w:pPr>
        <w:sectPr>
          <w:pgSz w:w="11900" w:h="16838" w:orient="portrait"/>
          <w:cols w:equalWidth="0" w:num="1">
            <w:col w:w="11000"/>
          </w:cols>
          <w:pgMar w:left="440" w:top="270" w:right="459" w:bottom="1440" w:gutter="0" w:footer="0" w:header="0"/>
        </w:sectPr>
      </w:pPr>
    </w:p>
    <w:bookmarkStart w:id="107" w:name="page108"/>
    <w:bookmarkEnd w:id="107"/>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is a party to the Promissory Note, dated as of June 12, 2023, pursuant to which Blaize has borrowed an aggregate principal amount of $175,000 from Juergen Hambrecht, a member of the Blaize board of directors. The note bore simple interest at a rate of five percent (5%) and was payable on the earlier of (i) immediately following the initial closing of Blaize’s next convertible note or equity financing with aggregate proceeds of at least $5,000,000 or (ii) June 12, 2024. Since January 1, 2023, the largest aggregate amount of principal outstanding under the note was $175,000, the amount of principal paid under the note was $175,000 and the amount of interest paid under the note was $719. As of December 31, 2024, Blaize had no borrowings outstanding under the note.</w:t>
      </w:r>
    </w:p>
    <w:p>
      <w:pPr>
        <w:spacing w:after="0" w:line="18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Blaize is a party to the Promissory Note, dated as of November 22, 2023, pursuant to which Blaize has borrowed an aggregate principal amount of $4,000,000 from Bess Ventures, which is affiliated with a member of the Blaize board of directors, Lane Bess, and currently holds more than 5% of Blaize’s outstanding capital stock.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$4,000,000, the amount of principal paid under the note was $4,000,000 and the amount of interest paid under the note was $206,466. As of December 31, 2024, Blaize had no borrowings outstanding under the note.</w:t>
      </w:r>
    </w:p>
    <w:p>
      <w:pPr>
        <w:spacing w:after="0" w:line="189"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Blaize is a party to the Promissory Note, dated as of June 5, 2023, pursuant to which Blaize has borrowed an aggregate principal amount of $175,000 from Bess Ventures, which is affiliated with a member of the Blaize board of directors, Lane Bess, and currently holds more than 5% of Blaize’s outstanding capital stock. The note bore simple interest at a rate of five percent (5%) and was payable on the earlier of (i) immediately following the initial closing of Blaize’s next convertible note or equity financing with aggregate proceeds of at least $5,000,000 or (ii) June 5, 2024. Since January 1, 2023, the largest aggregate amount of principal outstanding under the note was $175,000, the amount of principal paid under the note was $175,000 and the amount of interest paid under the note was $2,062. As of December 31, 2024, Blaize had no borrowings outstanding under the note.</w:t>
      </w:r>
    </w:p>
    <w:p>
      <w:pPr>
        <w:spacing w:after="0" w:line="189" w:lineRule="exact"/>
        <w:rPr>
          <w:sz w:val="20"/>
          <w:szCs w:val="20"/>
          <w:color w:val="auto"/>
        </w:rPr>
      </w:pPr>
    </w:p>
    <w:p>
      <w:pPr>
        <w:jc w:val="both"/>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Blaize is a party to the Convertible Promissory Note, dated as of January 19, 2023, pursuant to which Blaize has borrowed an aggregate principal amount of $415,000 from JIH, which is affiliated with a member of the Blaize board of directors, Juergen Hambrecht. The note bore simple interest at a rate of ten percent (10%) and, unless converted earlier into shares pursuant to the Note Purchase and Exchange Agreement, was payable on the earlier of</w:t>
      </w:r>
    </w:p>
    <w:p>
      <w:pPr>
        <w:spacing w:after="0" w:line="2" w:lineRule="exact"/>
        <w:rPr>
          <w:sz w:val="20"/>
          <w:szCs w:val="20"/>
          <w:color w:val="auto"/>
        </w:rPr>
      </w:pPr>
    </w:p>
    <w:p>
      <w:pPr>
        <w:ind w:left="4" w:hanging="4"/>
        <w:spacing w:after="0" w:line="250" w:lineRule="auto"/>
        <w:tabs>
          <w:tab w:leader="none" w:pos="2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Blaize’s consummation of a transaction defined as a “Liquidation Event” in the Certificate of Incorporation of Blaize or (ii) an event of default with respect to the notes. Since January 1, 2023, the largest aggregate amount of principal outstanding under the note was $415,000, and no amount of principal or interest has been paid under the note. As of December 31, 2024, Blaize had $415,000 in borrowings outstanding under the note. Bess Ventures, which held within Blaize’s last fiscal year more than 5% of Blaize’s outstanding capital stock and is affiliated with a member of the Blaize board of directors, Lane Bess, is a party to the Promissory Note Agreement, dated as of January 19, 2024 (the “Bess 2024 Note”), pursuant to which the Sponsor, which currently holds more than 5% of Blaize’s outstanding capital stock, has borrowed an aggregate principal amount of $13,000,000 from Bess Ventures, which is affiliated with a member of the Blaize board of directors, Lane Bess, and currently holds more than 5% of Blaize’s outstanding capital stock, in exchange for 500,000 shares of BurTech Class A Common Stock.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As of October 1, 2024, the aggregate amount outstanding under the Bess 2024 Note is approximately $14.2 million, and no payments or interest or principal on the loan have been paid. Further, pursuant to an agreement between the Sponsor and Bess Ventures, the Sponsor shall transfer 500,000 shares of New Blaize Common Stock following the six (6) month anniversary of the closing of the Business Combination and in connection with the termination of the post-closing lock-up obligations of each of the Sponsor and Bess Ventures.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its P2P Note pursuant to the Note Purchase Agreement, in an aggregate principal amount up to $13.0 million, (ii) any securities issued upon the conversion thereof, (iii) all of Sponsor’s rights, title and interests under the Note Purchase Agreement, the A&amp;R Security Agreement, the IP Security Agreement, and all other financing statements, agreements, instruments and documents granting, perfecting or protecting a security interest in Blaize’s assets to secure the P2P Notes and (iv) all proceeds of each of the foregoing.</w:t>
      </w:r>
    </w:p>
    <w:p>
      <w:pPr>
        <w:spacing w:after="0" w:line="206"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and Bess Ventures, which each held within Blaize’s last fiscal year more than 5% of Blaize’s outstanding capital stock and, solely with respect to Bess Ventures, is affiliated with a member of the Blaize board of directors, Lane Bess, and Blaize entered into a Letter Agreement, dated as of February 15, 2024, pursuant to which Blaize acknowledged and agreed to the grant of security and the obligations set forth in the Bess Security Agreement and other related loan documents, and further agreed to comply with certain instructions and procedures as set forth therein. As of August 31, 2024, Sponsor was in default of the repayment terms in connection with the Bess 2024 Note, the Bess Security Agreement and the Letter Agreement as a result of its failure to make a timely repayment of the outstanding balance that was due on March 31, 2024.</w:t>
      </w:r>
    </w:p>
    <w:p>
      <w:pPr>
        <w:sectPr>
          <w:pgSz w:w="11900" w:h="16838" w:orient="portrait"/>
          <w:cols w:equalWidth="0" w:num="1">
            <w:col w:w="11024"/>
          </w:cols>
          <w:pgMar w:left="436" w:top="270" w:right="439" w:bottom="1440" w:gutter="0" w:footer="0" w:header="0"/>
        </w:sectPr>
      </w:pPr>
    </w:p>
    <w:bookmarkStart w:id="108" w:name="page109"/>
    <w:bookmarkEnd w:id="108"/>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September 16, 2024, Bess Ventures and the Sponsor entered into a forbearance agreement (the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SPAC Transaction (as defined in the Restated Charter). As of October 1, 2024, the forbearance period under the Forbearance Agreement has not expired or been terminated.</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shares of BurTech Class A Common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BurTech Class A Common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of BurTech Class A Common Stock (representing the 500,000 shares required to be transferred to Bess Ventures under the Bess 2025 Note and 2.0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BurTech Class A Common Stock. As of March 25, 2025, the forbearance period under the Second Forbearance Agreement has expired and the Sponsor is under default under the Bess 2025 Note.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Blaize’s charter and Blaize’s bylaws provide for indemnification and advancement of expenses for its directors and officers to the fullest extent permitted by the DGCL, subject to certain limited exceptions. Blaize has entered into indemnification agreements with certain of the members of its board directors. Following the Business Combination, Blaize expects that these agreements will be replaced with new indemnification agreements for each director and officer of New Blaize. For additional information, see “</w:t>
      </w:r>
      <w:r>
        <w:rPr>
          <w:rFonts w:ascii="Times New Roman" w:cs="Times New Roman" w:eastAsia="Times New Roman" w:hAnsi="Times New Roman"/>
          <w:sz w:val="18"/>
          <w:szCs w:val="18"/>
          <w:i w:val="1"/>
          <w:iCs w:val="1"/>
          <w:color w:val="auto"/>
        </w:rPr>
        <w:t>Description of BurTech’s Securities — Limitations on Liability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of Officers and Directors</w:t>
      </w:r>
      <w:r>
        <w:rPr>
          <w:rFonts w:ascii="Times New Roman" w:cs="Times New Roman" w:eastAsia="Times New Roman" w:hAnsi="Times New Roman"/>
          <w:sz w:val="18"/>
          <w:szCs w:val="18"/>
          <w:color w:val="auto"/>
        </w:rPr>
        <w: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lowerLetter"/>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1)"/>
      <w:numFmt w:val="lowerLetter"/>
      <w:start w:val="2"/>
    </w:lvl>
  </w:abstractNum>
  <w:abstractNum w:abstractNumId="4">
    <w:nsid w:val="5072367"/>
    <w:multiLevelType w:val="hybridMultilevel"/>
    <w:lvl w:ilvl="0">
      <w:lvlJc w:val="left"/>
      <w:lvlText w:val="(%1)"/>
      <w:numFmt w:val="lowerLetter"/>
      <w:start w:val="4"/>
    </w:lvl>
  </w:abstractNum>
  <w:abstractNum w:abstractNumId="5">
    <w:nsid w:val="3804823E"/>
    <w:multiLevelType w:val="hybridMultilevel"/>
    <w:lvl w:ilvl="0">
      <w:lvlJc w:val="left"/>
      <w:lvlText w:val="(%1)"/>
      <w:numFmt w:val="lowerRoman"/>
      <w:start w:val="2"/>
    </w:lvl>
  </w:abstractNum>
  <w:abstractNum w:abstractNumId="6">
    <w:nsid w:val="77465F01"/>
    <w:multiLevelType w:val="hybridMultilevel"/>
    <w:lvl w:ilvl="0">
      <w:lvlJc w:val="left"/>
      <w:lvlText w:val="•"/>
      <w:numFmt w:val="bullet"/>
      <w:start w:val="1"/>
    </w:lvl>
    <w:lvl w:ilvl="1">
      <w:lvlJc w:val="left"/>
      <w:lvlText w:val="(%2)"/>
      <w:numFmt w:val="decimal"/>
      <w:start w:val="30"/>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lowerRoman"/>
      <w:start w:val="2"/>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lvl w:ilvl="1">
      <w:lvlJc w:val="left"/>
      <w:lvlText w:val="•"/>
      <w:numFmt w:val="bullet"/>
      <w:start w:val="1"/>
    </w:lvl>
  </w:abstractNum>
  <w:abstractNum w:abstractNumId="12">
    <w:nsid w:val="2D517796"/>
    <w:multiLevelType w:val="hybridMultilevel"/>
    <w:lvl w:ilvl="0">
      <w:lvlJc w:val="left"/>
      <w:lvlText w:val="•"/>
      <w:numFmt w:val="bullet"/>
      <w:start w:val="1"/>
    </w:lvl>
    <w:lvl w:ilvl="1">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lowerRoman"/>
      <w:start w:val="1"/>
    </w:lvl>
  </w:abstractNum>
  <w:abstractNum w:abstractNumId="19">
    <w:nsid w:val="1D4ED43B"/>
    <w:multiLevelType w:val="hybridMultilevel"/>
    <w:lvl w:ilvl="0">
      <w:lvlJc w:val="left"/>
      <w:lvlText w:val="%1."/>
      <w:numFmt w:val="lowerRoman"/>
      <w:start w:val="3"/>
    </w:lvl>
  </w:abstractNum>
  <w:abstractNum w:abstractNumId="20">
    <w:nsid w:val="725A06FB"/>
    <w:multiLevelType w:val="hybridMultilevel"/>
    <w:lvl w:ilvl="0">
      <w:lvlJc w:val="left"/>
      <w:lvlText w:val="%1."/>
      <w:numFmt w:val="lowerRoman"/>
      <w:start w:val="9"/>
    </w:lvl>
  </w:abstractNum>
  <w:abstractNum w:abstractNumId="21">
    <w:nsid w:val="2CD89A32"/>
    <w:multiLevelType w:val="hybridMultilevel"/>
    <w:lvl w:ilvl="0">
      <w:lvlJc w:val="left"/>
      <w:lvlText w:val="%1."/>
      <w:numFmt w:val="lowerRoman"/>
      <w:start w:val="1"/>
    </w:lvl>
  </w:abstractNum>
  <w:abstractNum w:abstractNumId="22">
    <w:nsid w:val="57E4CCAF"/>
    <w:multiLevelType w:val="hybridMultilevel"/>
    <w:lvl w:ilvl="0">
      <w:lvlJc w:val="left"/>
      <w:lvlText w:val="%1."/>
      <w:numFmt w:val="lowerLetter"/>
      <w:start w:val="35"/>
    </w:lvl>
    <w:lvl w:ilvl="1">
      <w:lvlJc w:val="left"/>
      <w:lvlText w:val="%2"/>
      <w:numFmt w:val="lowerLetter"/>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2"/>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upperLetter"/>
      <w:start w:val="1"/>
    </w:lvl>
  </w:abstractNum>
  <w:abstractNum w:abstractNumId="29">
    <w:nsid w:val="32FFF902"/>
    <w:multiLevelType w:val="hybridMultilevel"/>
    <w:lvl w:ilvl="0">
      <w:lvlJc w:val="left"/>
      <w:lvlText w:val="(%1)"/>
      <w:numFmt w:val="upperLetter"/>
      <w:start w:val="1"/>
    </w:lvl>
  </w:abstractNum>
  <w:abstractNum w:abstractNumId="30">
    <w:nsid w:val="684A481A"/>
    <w:multiLevelType w:val="hybridMultilevel"/>
    <w:lvl w:ilvl="0">
      <w:lvlJc w:val="left"/>
      <w:lvlText w:val="(%1)"/>
      <w:numFmt w:val="lowerRoman"/>
      <w:start w:val="1"/>
    </w:lvl>
  </w:abstractNum>
  <w:abstractNum w:abstractNumId="31">
    <w:nsid w:val="579478FE"/>
    <w:multiLevelType w:val="hybridMultilevel"/>
    <w:lvl w:ilvl="0">
      <w:lvlJc w:val="left"/>
      <w:lvlText w:val="%1"/>
      <w:numFmt w:val="upperLetter"/>
      <w:start w:val="1"/>
    </w:lvl>
    <w:lvl w:ilvl="1">
      <w:lvlJc w:val="left"/>
      <w:lvlText w:val="(%2)"/>
      <w:numFmt w:val="lowerRoman"/>
      <w:start w:val="6"/>
    </w:lvl>
  </w:abstractNum>
  <w:abstractNum w:abstractNumId="32">
    <w:nsid w:val="749ABB43"/>
    <w:multiLevelType w:val="hybridMultilevel"/>
    <w:lvl w:ilvl="0">
      <w:lvlJc w:val="left"/>
      <w:lvlText w:val="(%1)"/>
      <w:numFmt w:val="upperLetter"/>
      <w:start w:val="2"/>
    </w:lvl>
    <w:lvl w:ilvl="1">
      <w:lvlJc w:val="left"/>
      <w:lvlText w:val="%2"/>
      <w:numFmt w:val="lowerRoman"/>
      <w:start w:val="1"/>
    </w:lvl>
  </w:abstractNum>
  <w:abstractNum w:abstractNumId="33">
    <w:nsid w:val="3DC240FB"/>
    <w:multiLevelType w:val="hybridMultilevel"/>
    <w:lvl w:ilvl="0">
      <w:lvlJc w:val="left"/>
      <w:lvlText w:val="(%1)"/>
      <w:numFmt w:val="upperLetter"/>
      <w:start w:val="10"/>
    </w:lvl>
  </w:abstractNum>
  <w:abstractNum w:abstractNumId="34">
    <w:nsid w:val="1BA026FA"/>
    <w:multiLevelType w:val="hybridMultilevel"/>
    <w:lvl w:ilvl="0">
      <w:lvlJc w:val="left"/>
      <w:lvlText w:val="(%1)"/>
      <w:numFmt w:val="upperLetter"/>
      <w:start w:val="15"/>
    </w:lvl>
  </w:abstractNum>
  <w:abstractNum w:abstractNumId="35">
    <w:nsid w:val="79A1DEAA"/>
    <w:multiLevelType w:val="hybridMultilevel"/>
    <w:lvl w:ilvl="0">
      <w:lvlJc w:val="left"/>
      <w:lvlText w:val="%1."/>
      <w:numFmt w:val="lowerRoman"/>
      <w:start w:val="1"/>
    </w:lvl>
  </w:abstractNum>
  <w:abstractNum w:abstractNumId="36">
    <w:nsid w:val="75C6C33A"/>
    <w:multiLevelType w:val="hybridMultilevel"/>
    <w:lvl w:ilvl="0">
      <w:lvlJc w:val="left"/>
      <w:lvlText w:val="%1"/>
      <w:numFmt w:val="upperLetter"/>
      <w:start w:val="1"/>
    </w:lvl>
    <w:lvl w:ilvl="1">
      <w:lvlJc w:val="left"/>
      <w:lvlText w:val="%2."/>
      <w:numFmt w:val="lowerRoman"/>
      <w:start w:val="7"/>
    </w:lvl>
  </w:abstractNum>
  <w:abstractNum w:abstractNumId="37">
    <w:nsid w:val="12E685FB"/>
    <w:multiLevelType w:val="hybridMultilevel"/>
    <w:lvl w:ilvl="0">
      <w:lvlJc w:val="left"/>
      <w:lvlText w:val="(%1)"/>
      <w:numFmt w:val="upperLetter"/>
      <w:start w:val="16"/>
    </w:lvl>
    <w:lvl w:ilvl="1">
      <w:lvlJc w:val="left"/>
      <w:lvlText w:val="%2"/>
      <w:numFmt w:val="lowerRoman"/>
      <w:start w:val="1"/>
    </w:lvl>
  </w:abstractNum>
  <w:abstractNum w:abstractNumId="38">
    <w:nsid w:val="70C6A529"/>
    <w:multiLevelType w:val="hybridMultilevel"/>
    <w:lvl w:ilvl="0">
      <w:lvlJc w:val="left"/>
      <w:lvlText w:val="%1."/>
      <w:numFmt w:val="lowerRoman"/>
      <w:start w:val="1"/>
    </w:lvl>
  </w:abstractNum>
  <w:abstractNum w:abstractNumId="39">
    <w:nsid w:val="520EEDD1"/>
    <w:multiLevelType w:val="hybridMultilevel"/>
    <w:lvl w:ilvl="0">
      <w:lvlJc w:val="left"/>
      <w:lvlText w:val="%1"/>
      <w:numFmt w:val="upperLetter"/>
      <w:start w:val="1"/>
    </w:lvl>
    <w:lvl w:ilvl="1">
      <w:lvlJc w:val="left"/>
      <w:lvlText w:val="%2."/>
      <w:numFmt w:val="lowerRoman"/>
      <w:start w:val="3"/>
    </w:lvl>
  </w:abstractNum>
  <w:abstractNum w:abstractNumId="40">
    <w:nsid w:val="374A3FE6"/>
    <w:multiLevelType w:val="hybridMultilevel"/>
    <w:lvl w:ilvl="0">
      <w:lvlJc w:val="left"/>
      <w:lvlText w:val="(%1)"/>
      <w:numFmt w:val="upperLetter"/>
      <w:start w:val="17"/>
    </w:lvl>
    <w:lvl w:ilvl="1">
      <w:lvlJc w:val="left"/>
      <w:lvlText w:val="%2"/>
      <w:numFmt w:val="lowerRoman"/>
      <w:start w:val="1"/>
    </w:lvl>
  </w:abstractNum>
  <w:abstractNum w:abstractNumId="41">
    <w:nsid w:val="4F4EF005"/>
    <w:multiLevelType w:val="hybridMultilevel"/>
    <w:lvl w:ilvl="0">
      <w:lvlJc w:val="left"/>
      <w:lvlText w:val="(%1)"/>
      <w:numFmt w:val="upperLetter"/>
      <w:start w:val="1"/>
    </w:lvl>
  </w:abstractNum>
  <w:abstractNum w:abstractNumId="42">
    <w:nsid w:val="23F9C13C"/>
    <w:multiLevelType w:val="hybridMultilevel"/>
    <w:lvl w:ilvl="0">
      <w:lvlJc w:val="left"/>
      <w:lvlText w:val="%1."/>
      <w:numFmt w:val="lowerRoman"/>
      <w:start w:val="1"/>
    </w:lvl>
  </w:abstractNum>
  <w:abstractNum w:abstractNumId="43">
    <w:nsid w:val="649BB77C"/>
    <w:multiLevelType w:val="hybridMultilevel"/>
    <w:lvl w:ilvl="0">
      <w:lvlJc w:val="left"/>
      <w:lvlText w:val="%1"/>
      <w:numFmt w:val="upperLetter"/>
      <w:start w:val="1"/>
    </w:lvl>
    <w:lvl w:ilvl="1">
      <w:lvlJc w:val="left"/>
      <w:lvlText w:val="%2."/>
      <w:numFmt w:val="lowerRoman"/>
      <w:start w:val="2"/>
    </w:lvl>
  </w:abstractNum>
  <w:abstractNum w:abstractNumId="44">
    <w:nsid w:val="275AC794"/>
    <w:multiLevelType w:val="hybridMultilevel"/>
    <w:lvl w:ilvl="0">
      <w:lvlJc w:val="left"/>
      <w:lvlText w:val="(%1)"/>
      <w:numFmt w:val="upperLetter"/>
      <w:start w:val="2"/>
    </w:lvl>
    <w:lvl w:ilvl="1">
      <w:lvlJc w:val="left"/>
      <w:lvlText w:val="%2"/>
      <w:numFmt w:val="lowerRoman"/>
      <w:start w:val="1"/>
    </w:lvl>
  </w:abstractNum>
  <w:abstractNum w:abstractNumId="45">
    <w:nsid w:val="39386575"/>
    <w:multiLevelType w:val="hybridMultilevel"/>
    <w:lvl w:ilvl="0">
      <w:lvlJc w:val="left"/>
      <w:lvlText w:val="%1"/>
      <w:numFmt w:val="upperLetter"/>
      <w:start w:val="1"/>
    </w:lvl>
    <w:lvl w:ilvl="1">
      <w:lvlJc w:val="left"/>
      <w:lvlText w:val="%2."/>
      <w:numFmt w:val="lowerRoman"/>
      <w:start w:val="1"/>
    </w:lvl>
  </w:abstractNum>
  <w:abstractNum w:abstractNumId="46">
    <w:nsid w:val="1CF10FD8"/>
    <w:multiLevelType w:val="hybridMultilevel"/>
    <w:lvl w:ilvl="0">
      <w:lvlJc w:val="left"/>
      <w:lvlText w:val="(%1)"/>
      <w:numFmt w:val="upperLetter"/>
      <w:start w:val="5"/>
    </w:lvl>
    <w:lvl w:ilvl="1">
      <w:lvlJc w:val="left"/>
      <w:lvlText w:val="%2"/>
      <w:numFmt w:val="lowerRoman"/>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2"/>
    </w:lvl>
  </w:abstractNum>
  <w:abstractNum w:abstractNumId="51">
    <w:nsid w:val="15B5AF5C"/>
    <w:multiLevelType w:val="hybridMultilevel"/>
    <w:lvl w:ilvl="0">
      <w:lvlJc w:val="left"/>
      <w:lvlText w:val="%1."/>
      <w:numFmt w:val="decimal"/>
      <w:start w:val="3"/>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lvl w:ilvl="1">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10"/>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lowerRoman"/>
      <w:start w:val="2"/>
    </w:lvl>
  </w:abstractNum>
  <w:abstractNum w:abstractNumId="66">
    <w:nsid w:val="1F48EA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2025-04-15T05:14:14Z</dcterms:created>
  <dcterms:modified xsi:type="dcterms:W3CDTF">2025-04-15T05:14:14Z</dcterms:modified>
</cp:coreProperties>
</file>