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3388d1_8k.htm"/>
      <w:bookmarkStart w:id="1" w:name="kstm2313388d1_8k"/>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30420__20"/>
      <w:bookmarkEnd w:id="2"/>
      <w:r>
        <w:rPr>
          <w:rFonts w:ascii="Times New Roman;Times;Serif" w:hAnsi="Times New Roman;Times;Serif"/>
          <w:b/>
          <w:i w:val="false"/>
          <w:caps w:val="false"/>
          <w:smallCaps w:val="false"/>
          <w:sz w:val="20"/>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April 20,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3"/>
      <w:bookmarkEnd w:id="4"/>
      <w:r>
        <w:rPr>
          <w:rFonts w:ascii="Times New Roman;Times;Serif" w:hAnsi="Times New Roman;Times;Serif"/>
          <w:b/>
          <w:i w:val="false"/>
          <w:caps w:val="false"/>
          <w:smallCaps w:val="false"/>
          <w:sz w:val="36"/>
        </w:rPr>
        <w:t>BURTECH ACQUISITION CORP.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4920" w:type="dxa"/>
        <w:jc w:val="left"/>
        <w:tblInd w:w="0" w:type="dxa"/>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bookmarkStart w:id="6" w:name="xdx_909_edei--EntityFileNumber_c20230420"/>
            <w:bookmarkEnd w:id="6"/>
            <w:r>
              <w:rPr>
                <w:rFonts w:ascii="Times New Roman;Times;Serif" w:hAnsi="Times New Roman;Times;Serif"/>
                <w:b/>
                <w:sz w:val="20"/>
              </w:rPr>
              <w:t>001-41139</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86-2708752</w:t>
            </w:r>
          </w:p>
        </w:tc>
      </w:tr>
      <w:tr>
        <w:trPr/>
        <w:tc>
          <w:tcPr>
            <w:tcW w:w="216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shd w:fill="auto" w:val="clear"/>
            <w:tcMar>
              <w:bottom w:w="0" w:type="dxa"/>
            </w:tcMar>
            <w:vAlign w:val="center"/>
          </w:tcPr>
          <w:p>
            <w:pPr>
              <w:pStyle w:val="TableContents"/>
              <w:spacing w:before="0" w:after="283"/>
              <w:jc w:val="center"/>
              <w:rPr/>
            </w:pPr>
            <w:r>
              <w:rPr/>
              <w:t> </w:t>
            </w:r>
          </w:p>
        </w:tc>
        <w:tc>
          <w:tcPr>
            <w:tcW w:w="110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spacing w:before="0" w:after="0"/>
        <w:ind w:left="0" w:right="0" w:hanging="0"/>
        <w:jc w:val="center"/>
        <w:rPr>
          <w:caps w:val="false"/>
          <w:smallCaps w:val="false"/>
          <w:color w:val="FFFFFF"/>
        </w:rPr>
      </w:pPr>
      <w:r>
        <w:rPr>
          <w:caps w:val="false"/>
          <w:smallCaps w:val="false"/>
          <w:color w:val="FFFFFF"/>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3529 Porter St, </w:t>
      </w:r>
      <w:bookmarkStart w:id="9" w:name="xdx_903_edei--EntityAddressAddressLine2_"/>
      <w:bookmarkEnd w:id="9"/>
    </w:p>
    <w:p>
      <w:pPr>
        <w:pStyle w:val="TextBody"/>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Washington, </w:t>
      </w:r>
      <w:bookmarkStart w:id="11" w:name="xdx_90E_edei--EntityAddressStateOrProvin"/>
      <w:bookmarkEnd w:id="11"/>
      <w:r>
        <w:rPr>
          <w:rFonts w:ascii="Times New Roman;Times;Serif" w:hAnsi="Times New Roman;Times;Serif"/>
          <w:b/>
          <w:i w:val="false"/>
          <w:caps w:val="false"/>
          <w:smallCaps w:val="false"/>
          <w:sz w:val="20"/>
        </w:rPr>
        <w:t xml:space="preserve">DC </w:t>
      </w:r>
      <w:bookmarkStart w:id="12" w:name="xdx_90F_edei--EntityAddressPostalZipCode"/>
      <w:bookmarkEnd w:id="12"/>
      <w:r>
        <w:rPr>
          <w:rFonts w:ascii="Times New Roman;Times;Serif" w:hAnsi="Times New Roman;Times;Serif"/>
          <w:b/>
          <w:i w:val="false"/>
          <w:caps w:val="false"/>
          <w:smallCaps w:val="false"/>
          <w:sz w:val="20"/>
        </w:rPr>
        <w:t>20016</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0" w:after="0"/>
        <w:ind w:left="0" w:right="0" w:hanging="0"/>
        <w:jc w:val="center"/>
        <w:rPr>
          <w:caps w:val="false"/>
          <w:smallCaps w:val="false"/>
          <w:color w:val="FFFFFF"/>
        </w:rPr>
      </w:pPr>
      <w:r>
        <w:rPr>
          <w:caps w:val="false"/>
          <w:smallCaps w:val="false"/>
          <w:color w:val="FFFFFF"/>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C_edei--CityAreaCode_c20230420__20"/>
      <w:bookmarkEnd w:id="13"/>
      <w:r>
        <w:rPr>
          <w:rFonts w:ascii="Times New Roman;Times;Serif" w:hAnsi="Times New Roman;Times;Serif"/>
          <w:b w:val="false"/>
          <w:i w:val="false"/>
          <w:caps w:val="false"/>
          <w:smallCaps w:val="false"/>
          <w:sz w:val="20"/>
        </w:rPr>
        <w:t xml:space="preserve">202) </w:t>
      </w:r>
      <w:bookmarkStart w:id="14" w:name="xdx_903_edei--LocalPhoneNumber_c20230420"/>
      <w:bookmarkEnd w:id="14"/>
      <w:r>
        <w:rPr>
          <w:rFonts w:ascii="Times New Roman;Times;Serif" w:hAnsi="Times New Roman;Times;Serif"/>
          <w:b w:val="false"/>
          <w:i w:val="false"/>
          <w:caps w:val="false"/>
          <w:smallCaps w:val="false"/>
          <w:sz w:val="20"/>
        </w:rPr>
        <w:t>600-5757</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firstLine="720"/>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5" w:name="xdx_90E_edei--WrittenCommunications_c202"/>
            <w:bookmarkEnd w:id="15"/>
            <w:r>
              <w:rPr/>
              <w:t>☐</w:t>
            </w:r>
          </w:p>
        </w:tc>
        <w:tc>
          <w:tcPr>
            <w:tcW w:w="9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6" w:name="xdx_90A_edei--SolicitingMaterial_c202304"/>
            <w:bookmarkEnd w:id="16"/>
            <w:r>
              <w:rPr/>
              <w:t>☐</w:t>
            </w:r>
          </w:p>
        </w:tc>
        <w:tc>
          <w:tcPr>
            <w:tcW w:w="9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7" w:name="xdx_90E_edei--PreCommencementTenderOffer"/>
            <w:bookmarkEnd w:id="17"/>
            <w:r>
              <w:rPr/>
              <w:t>☐</w:t>
            </w:r>
          </w:p>
        </w:tc>
        <w:tc>
          <w:tcPr>
            <w:tcW w:w="9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8" w:name="xdx_90A_edei--PreCommencementIssuerTende"/>
            <w:bookmarkEnd w:id="18"/>
            <w:r>
              <w:rPr/>
              <w:t>☐</w:t>
            </w:r>
          </w:p>
        </w:tc>
        <w:tc>
          <w:tcPr>
            <w:tcW w:w="9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179"/>
        <w:gridCol w:w="60"/>
        <w:gridCol w:w="1438"/>
        <w:gridCol w:w="60"/>
        <w:gridCol w:w="2468"/>
      </w:tblGrid>
      <w:tr>
        <w:trPr/>
        <w:tc>
          <w:tcPr>
            <w:tcW w:w="617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43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246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6179"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bookmarkStart w:id="19" w:name="xdx_90D_edei--Security12bTitle_c20230420"/>
            <w:bookmarkEnd w:id="19"/>
            <w:r>
              <w:rPr>
                <w:rFonts w:ascii="Times New Roman;Times;Serif" w:hAnsi="Times New Roman;Times;Serif"/>
                <w:sz w:val="20"/>
              </w:rPr>
              <w:t>Units, each consisting of one share of Class A Common Stock and one Redeemable Warrant</w:t>
            </w:r>
          </w:p>
        </w:tc>
        <w:tc>
          <w:tcPr>
            <w:tcW w:w="60" w:type="dxa"/>
            <w:tcBorders/>
            <w:shd w:fill="CCEEFF" w:val="clear"/>
            <w:tcMar>
              <w:bottom w:w="0" w:type="dxa"/>
            </w:tcMar>
            <w:vAlign w:val="center"/>
          </w:tcPr>
          <w:p>
            <w:pPr>
              <w:pStyle w:val="TableContents"/>
              <w:spacing w:before="0" w:after="283"/>
              <w:rPr/>
            </w:pPr>
            <w:r>
              <w:rPr/>
              <w:t> </w:t>
            </w:r>
          </w:p>
        </w:tc>
        <w:tc>
          <w:tcPr>
            <w:tcW w:w="1438"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bookmarkStart w:id="20" w:name="xdx_903_edei--TradingSymbol_c20230420__2"/>
            <w:bookmarkEnd w:id="20"/>
            <w:r>
              <w:rPr>
                <w:rFonts w:ascii="Times New Roman;Times;Serif" w:hAnsi="Times New Roman;Times;Serif"/>
                <w:sz w:val="20"/>
              </w:rPr>
              <w:t>BRKHU</w:t>
            </w:r>
          </w:p>
        </w:tc>
        <w:tc>
          <w:tcPr>
            <w:tcW w:w="60" w:type="dxa"/>
            <w:tcBorders/>
            <w:shd w:fill="CCEEFF" w:val="clear"/>
            <w:tcMar>
              <w:bottom w:w="0" w:type="dxa"/>
            </w:tcMar>
            <w:vAlign w:val="center"/>
          </w:tcPr>
          <w:p>
            <w:pPr>
              <w:pStyle w:val="TableContents"/>
              <w:spacing w:before="0" w:after="283"/>
              <w:rPr/>
            </w:pPr>
            <w:r>
              <w:rPr/>
              <w:t> </w:t>
            </w:r>
          </w:p>
        </w:tc>
        <w:tc>
          <w:tcPr>
            <w:tcW w:w="2468"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bookmarkStart w:id="21" w:name="xdx_90A_edei--SecurityExchangeName_c2023"/>
            <w:bookmarkEnd w:id="21"/>
            <w:r>
              <w:rPr>
                <w:rFonts w:ascii="Times New Roman;Times;Serif" w:hAnsi="Times New Roman;Times;Serif"/>
                <w:sz w:val="20"/>
              </w:rPr>
              <w:t>The Nasdaq Stock Market, LLC</w:t>
            </w:r>
          </w:p>
        </w:tc>
      </w:tr>
      <w:tr>
        <w:trPr/>
        <w:tc>
          <w:tcPr>
            <w:tcW w:w="61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38"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2468" w:type="dxa"/>
            <w:tcBorders/>
            <w:shd w:fill="FFFFFF" w:val="clear"/>
            <w:tcMar>
              <w:bottom w:w="0" w:type="dxa"/>
            </w:tcMar>
            <w:vAlign w:val="center"/>
          </w:tcPr>
          <w:p>
            <w:pPr>
              <w:pStyle w:val="TableContents"/>
              <w:spacing w:before="0" w:after="283"/>
              <w:jc w:val="center"/>
              <w:rPr/>
            </w:pPr>
            <w:r>
              <w:rPr/>
              <w:t> </w:t>
            </w:r>
          </w:p>
        </w:tc>
      </w:tr>
      <w:tr>
        <w:trPr/>
        <w:tc>
          <w:tcPr>
            <w:tcW w:w="6179" w:type="dxa"/>
            <w:tcBorders/>
            <w:shd w:fill="CCEEFF" w:val="clear"/>
            <w:tcMar>
              <w:bottom w:w="0" w:type="dxa"/>
            </w:tcMar>
            <w:vAlign w:val="center"/>
          </w:tcPr>
          <w:p>
            <w:pPr>
              <w:pStyle w:val="TableContents"/>
              <w:spacing w:before="0" w:after="283"/>
              <w:rPr>
                <w:rFonts w:ascii="Times New Roman;Times;Serif" w:hAnsi="Times New Roman;Times;Serif"/>
                <w:sz w:val="20"/>
              </w:rPr>
            </w:pPr>
            <w:bookmarkStart w:id="22" w:name="xdx_904_edei--Security12bTitle_c20230420"/>
            <w:bookmarkEnd w:id="22"/>
            <w:r>
              <w:rPr>
                <w:rFonts w:ascii="Times New Roman;Times;Serif" w:hAnsi="Times New Roman;Times;Serif"/>
                <w:sz w:val="20"/>
              </w:rPr>
              <w:t>Class A Common Stock, par value $0.0001 per share</w:t>
            </w:r>
          </w:p>
        </w:tc>
        <w:tc>
          <w:tcPr>
            <w:tcW w:w="60" w:type="dxa"/>
            <w:tcBorders/>
            <w:shd w:fill="CCEEFF" w:val="clear"/>
            <w:tcMar>
              <w:bottom w:w="0" w:type="dxa"/>
            </w:tcMar>
            <w:vAlign w:val="center"/>
          </w:tcPr>
          <w:p>
            <w:pPr>
              <w:pStyle w:val="TableContents"/>
              <w:spacing w:before="0" w:after="283"/>
              <w:rPr/>
            </w:pPr>
            <w:r>
              <w:rPr/>
              <w:t> </w:t>
            </w:r>
          </w:p>
        </w:tc>
        <w:tc>
          <w:tcPr>
            <w:tcW w:w="1438"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bookmarkStart w:id="23" w:name="xdx_901_edei--TradingSymbol_c20230420__2"/>
            <w:bookmarkEnd w:id="23"/>
            <w:r>
              <w:rPr>
                <w:rFonts w:ascii="Times New Roman;Times;Serif" w:hAnsi="Times New Roman;Times;Serif"/>
                <w:sz w:val="20"/>
              </w:rPr>
              <w:t>BRKH</w:t>
            </w:r>
          </w:p>
        </w:tc>
        <w:tc>
          <w:tcPr>
            <w:tcW w:w="60" w:type="dxa"/>
            <w:tcBorders/>
            <w:shd w:fill="CCEEFF" w:val="clear"/>
            <w:tcMar>
              <w:bottom w:w="0" w:type="dxa"/>
            </w:tcMar>
            <w:vAlign w:val="center"/>
          </w:tcPr>
          <w:p>
            <w:pPr>
              <w:pStyle w:val="TableContents"/>
              <w:spacing w:before="0" w:after="283"/>
              <w:rPr/>
            </w:pPr>
            <w:r>
              <w:rPr/>
              <w:t> </w:t>
            </w:r>
          </w:p>
        </w:tc>
        <w:tc>
          <w:tcPr>
            <w:tcW w:w="2468"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bookmarkStart w:id="24" w:name="xdx_909_edei--SecurityExchangeName_c2023"/>
            <w:bookmarkEnd w:id="24"/>
            <w:r>
              <w:rPr>
                <w:rFonts w:ascii="Times New Roman;Times;Serif" w:hAnsi="Times New Roman;Times;Serif"/>
                <w:sz w:val="20"/>
              </w:rPr>
              <w:t>The Nasdaq Stock Market, LLC</w:t>
            </w:r>
          </w:p>
        </w:tc>
      </w:tr>
      <w:tr>
        <w:trPr/>
        <w:tc>
          <w:tcPr>
            <w:tcW w:w="61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38"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2468" w:type="dxa"/>
            <w:tcBorders/>
            <w:shd w:fill="FFFFFF" w:val="clear"/>
            <w:tcMar>
              <w:bottom w:w="0" w:type="dxa"/>
            </w:tcMar>
            <w:vAlign w:val="center"/>
          </w:tcPr>
          <w:p>
            <w:pPr>
              <w:pStyle w:val="TableContents"/>
              <w:spacing w:before="0" w:after="283"/>
              <w:jc w:val="center"/>
              <w:rPr/>
            </w:pPr>
            <w:r>
              <w:rPr/>
              <w:t> </w:t>
            </w:r>
          </w:p>
        </w:tc>
      </w:tr>
      <w:tr>
        <w:trPr/>
        <w:tc>
          <w:tcPr>
            <w:tcW w:w="6179" w:type="dxa"/>
            <w:tcBorders/>
            <w:shd w:fill="CCEEFF" w:val="clear"/>
            <w:tcMar>
              <w:bottom w:w="0" w:type="dxa"/>
            </w:tcMar>
            <w:vAlign w:val="center"/>
          </w:tcPr>
          <w:p>
            <w:pPr>
              <w:pStyle w:val="TableContents"/>
              <w:spacing w:before="0" w:after="283"/>
              <w:rPr>
                <w:rFonts w:ascii="Times New Roman;Times;Serif" w:hAnsi="Times New Roman;Times;Serif"/>
                <w:sz w:val="20"/>
              </w:rPr>
            </w:pPr>
            <w:bookmarkStart w:id="25" w:name="xdx_904_edei--Security12bTitle_c20230420"/>
            <w:bookmarkEnd w:id="25"/>
            <w:r>
              <w:rPr>
                <w:rFonts w:ascii="Times New Roman;Times;Serif" w:hAnsi="Times New Roman;Times;Serif"/>
                <w:sz w:val="20"/>
              </w:rPr>
              <w:t>Warrants, each exercisable for one share of Class A Common Stock for $11.50 per share</w:t>
            </w:r>
          </w:p>
        </w:tc>
        <w:tc>
          <w:tcPr>
            <w:tcW w:w="60" w:type="dxa"/>
            <w:tcBorders/>
            <w:shd w:fill="CCEEFF" w:val="clear"/>
            <w:tcMar>
              <w:bottom w:w="0" w:type="dxa"/>
            </w:tcMar>
            <w:vAlign w:val="center"/>
          </w:tcPr>
          <w:p>
            <w:pPr>
              <w:pStyle w:val="TableContents"/>
              <w:spacing w:before="0" w:after="283"/>
              <w:rPr/>
            </w:pPr>
            <w:r>
              <w:rPr/>
              <w:t> </w:t>
            </w:r>
          </w:p>
        </w:tc>
        <w:tc>
          <w:tcPr>
            <w:tcW w:w="1438"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bookmarkStart w:id="26" w:name="xdx_909_edei--TradingSymbol_c20230420__2"/>
            <w:bookmarkEnd w:id="26"/>
            <w:r>
              <w:rPr>
                <w:rFonts w:ascii="Times New Roman;Times;Serif" w:hAnsi="Times New Roman;Times;Serif"/>
                <w:sz w:val="20"/>
              </w:rPr>
              <w:t>BRKHW</w:t>
            </w:r>
          </w:p>
        </w:tc>
        <w:tc>
          <w:tcPr>
            <w:tcW w:w="60" w:type="dxa"/>
            <w:tcBorders/>
            <w:shd w:fill="CCEEFF" w:val="clear"/>
            <w:tcMar>
              <w:bottom w:w="0" w:type="dxa"/>
            </w:tcMar>
            <w:vAlign w:val="center"/>
          </w:tcPr>
          <w:p>
            <w:pPr>
              <w:pStyle w:val="TableContents"/>
              <w:spacing w:before="0" w:after="283"/>
              <w:rPr/>
            </w:pPr>
            <w:r>
              <w:rPr/>
              <w:t> </w:t>
            </w:r>
          </w:p>
        </w:tc>
        <w:tc>
          <w:tcPr>
            <w:tcW w:w="2468"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bookmarkStart w:id="27" w:name="xdx_90A_edei--SecurityExchangeName_c2023"/>
            <w:bookmarkEnd w:id="27"/>
            <w:r>
              <w:rPr>
                <w:rFonts w:ascii="Times New Roman;Times;Serif" w:hAnsi="Times New Roman;Times;Serif"/>
                <w:sz w:val="20"/>
              </w:rPr>
              <w:t>The Nasdaq Stock Market, LLC</w:t>
            </w:r>
          </w:p>
        </w:tc>
      </w:tr>
    </w:tbl>
    <w:p>
      <w:pPr>
        <w:pStyle w:val="TextBody"/>
        <w:spacing w:before="0" w:after="0"/>
        <w:ind w:left="0" w:right="0" w:firstLine="720"/>
        <w:jc w:val="both"/>
        <w:rPr>
          <w:caps w:val="false"/>
          <w:smallCaps w:val="false"/>
          <w:color w:val="FFFFFF"/>
        </w:rPr>
      </w:pPr>
      <w:r>
        <w:rPr>
          <w:caps w:val="false"/>
          <w:smallCaps w:val="false"/>
          <w:color w:val="FFFFFF"/>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C_edei--EntityEmergingGrowthCompan"/>
      <w:bookmarkEnd w:id="2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B_edei--EntityExTransitionPeriod_c"/>
      <w:bookmarkEnd w:id="29"/>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240" w:after="12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2023, BurTech Acquisition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received a notification letter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from the Listing Qualifications Department of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indicating that, as a result of the Company’s delay in filing its Annual Report on Form 10-K for the year ended December 31, 2022 (the “</w:t>
      </w:r>
      <w:r>
        <w:rPr>
          <w:rFonts w:ascii="Times New Roman;Times;Serif" w:hAnsi="Times New Roman;Times;Serif"/>
          <w:b/>
          <w:i w:val="false"/>
          <w:caps w:val="false"/>
          <w:smallCaps w:val="false"/>
          <w:sz w:val="20"/>
        </w:rPr>
        <w:t>10-K</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Company was not in compliance with the requirements for continued listing under Nasdaq Listing Rule 5250(c)(1) (the “</w:t>
      </w:r>
      <w:r>
        <w:rPr>
          <w:rFonts w:ascii="Times New Roman;Times;Serif" w:hAnsi="Times New Roman;Times;Serif"/>
          <w:b/>
          <w:i w:val="false"/>
          <w:caps w:val="false"/>
          <w:smallCaps w:val="false"/>
          <w:sz w:val="20"/>
        </w:rPr>
        <w:t>Listing Rule</w:t>
      </w:r>
      <w:r>
        <w:rPr>
          <w:rFonts w:ascii="Times New Roman;Times;Serif" w:hAnsi="Times New Roman;Times;Serif"/>
          <w:b w:val="false"/>
          <w:i w:val="false"/>
          <w:caps w:val="false"/>
          <w:smallCaps w:val="false"/>
          <w:sz w:val="20"/>
        </w:rPr>
        <w:t>”).</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letter has no immediate effect on the listing or trading of the Company’s common stock on the Nasdaq Global Market. The Notice states that the Company has 60 calendar days from the date of the Notice, or June 20, 2023, to submit a plan to regain compliance with the Listing Rule. If Nasdaq accepts the Company’s plan to regain compliance, then Nasdaq may grant the Company up to 180 calendar days from the prescribed due date of the 10-K, or October 16, 2023, to file the 10-K to regain compliance.</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2023 the Company filed its 10-K to regain compliance with the Listing Rule.</w:t>
      </w:r>
    </w:p>
    <w:p>
      <w:pPr>
        <w:pStyle w:val="TextBody"/>
        <w:spacing w:before="0" w:after="0"/>
        <w:jc w:val="left"/>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press release, dated April 20, 2023, disclosing the Company’s receipt of the Notice referenced above is attached hereto as Exhibit 99.1.</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of this Current Report on Form 8-K (including Exhibit 99.1 attached hereto) shall not be deemed “filed” for purposes of Section 18 of the Securities Exchange Act of 1934, as amended, and shall not be incorporated by reference into any filing of the Company under the Securities Act of 1933, as amended, except as shall be expressly set forth by specific reference in such filing.</w:t>
      </w:r>
    </w:p>
    <w:p>
      <w:pPr>
        <w:pStyle w:val="TextBody"/>
        <w:spacing w:before="0" w:after="0"/>
        <w:jc w:val="left"/>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information that constitutes forward-looking statements within the meaning of Section 27A of the Securities Act of 1933, as amended, and Section 21E of the Securities Exchange Act of 1934, as amended. Words such as “anticipate”, “estimate”, “expect”, “project”, “plan”, “intend”, “believe”, “may”, “might”, “will”, “should”, “can have”, “likely” and similar expressions are used to identify forward-looking statements. These forward-looking statements are based on the Company’s current beliefs, assumptions and expectations regarding future events, which in turn are based on information currently available to the Company.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the Company’s ability to respond in a timely and satisfactory matter to the inquiries by Nasdaq, the Company’s ability to regain compliance with Listing Rule, the Company’s ability to become current with its reports with the SEC, and the risk that the completion and filing of the 10-K will take longer than expected. For additional information about factors that could cause actual results to differ materially from those described in the forward-looking statements, please refer to the Company’s filings with the SEC. The Company undertakes no obligation to publicly update or revise any forward-looking statement, whether as a result of new information, future events or otherwise, except to the extent required by applicable laws.</w:t>
      </w:r>
    </w:p>
    <w:p>
      <w:pPr>
        <w:pStyle w:val="TextBody"/>
        <w:spacing w:before="0" w:after="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jc w:val="left"/>
        <w:rPr>
          <w:caps w:val="false"/>
          <w:smallCaps w:val="false"/>
        </w:rPr>
      </w:pPr>
      <w:r>
        <w:rPr>
          <w:caps w:val="false"/>
          <w:smallCaps w:val="false"/>
        </w:rPr>
        <w:t> </w:t>
      </w:r>
    </w:p>
    <w:p>
      <w:pPr>
        <w:pStyle w:val="TextBody"/>
        <w:shd w:fill="FFFFFF" w:val="clear"/>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spacing w:before="0" w:after="0"/>
        <w:jc w:val="left"/>
        <w:rPr>
          <w:caps w:val="false"/>
          <w:smallCaps w:val="false"/>
        </w:rPr>
      </w:pPr>
      <w:r>
        <w:rPr>
          <w:caps w:val="false"/>
          <w:smallCaps w:val="false"/>
        </w:rPr>
        <w:t> </w:t>
      </w:r>
    </w:p>
    <w:p>
      <w:pPr>
        <w:pStyle w:val="TextBody"/>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filed herewith:</w:t>
      </w:r>
    </w:p>
    <w:p>
      <w:pPr>
        <w:pStyle w:val="TextBody"/>
        <w:spacing w:before="0" w:after="0"/>
        <w:ind w:left="0" w:right="0" w:hanging="0"/>
        <w:rPr>
          <w:caps w:val="false"/>
          <w:smallCaps w:val="false"/>
        </w:rPr>
      </w:pPr>
      <w:r>
        <w:rPr>
          <w:caps w:val="false"/>
          <w:smallCaps w:val="false"/>
        </w:rPr>
        <w:t> </w:t>
      </w:r>
    </w:p>
    <w:tbl>
      <w:tblPr>
        <w:tblW w:w="7540" w:type="dxa"/>
        <w:jc w:val="left"/>
        <w:tblInd w:w="0" w:type="dxa"/>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6485" w:type="dxa"/>
            <w:tcBorders>
              <w:bottom w:val="single" w:sz="8" w:space="0" w:color="000000"/>
            </w:tcBorders>
            <w:shd w:fill="auto" w:val="clear"/>
            <w:vAlign w:val="center"/>
          </w:tcPr>
          <w:p>
            <w:pPr>
              <w:pStyle w:val="TableContents"/>
              <w:spacing w:before="0" w:after="283"/>
              <w:jc w:val="center"/>
              <w:rPr/>
            </w:pPr>
            <w:r>
              <w:rPr/>
              <w:t> </w:t>
            </w: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spacing w:before="0" w:after="283"/>
              <w:rPr/>
            </w:pPr>
            <w:hyperlink w:anchor="tm2313388d1_ex99-1.htm">
              <w:r>
                <w:rPr>
                  <w:rStyle w:val="InternetLink"/>
                  <w:rFonts w:ascii="Times New Roman;Times;Serif" w:hAnsi="Times New Roman;Times;Serif"/>
                  <w:sz w:val="20"/>
                </w:rPr>
                <w:t>99.1</w:t>
              </w:r>
            </w:hyperlink>
          </w:p>
        </w:tc>
        <w:tc>
          <w:tcPr>
            <w:tcW w:w="60" w:type="dxa"/>
            <w:tcBorders/>
            <w:shd w:fill="CCEEFF" w:val="clear"/>
            <w:tcMar>
              <w:bottom w:w="0" w:type="dxa"/>
            </w:tcMar>
            <w:vAlign w:val="center"/>
          </w:tcPr>
          <w:p>
            <w:pPr>
              <w:pStyle w:val="TableContents"/>
              <w:spacing w:before="0" w:after="283"/>
              <w:rPr/>
            </w:pPr>
            <w:r>
              <w:rPr/>
              <w:t> </w:t>
            </w:r>
          </w:p>
        </w:tc>
        <w:tc>
          <w:tcPr>
            <w:tcW w:w="6485" w:type="dxa"/>
            <w:tcBorders/>
            <w:shd w:fill="CCEEFF" w:val="clear"/>
            <w:tcMar>
              <w:bottom w:w="0" w:type="dxa"/>
            </w:tcMar>
            <w:vAlign w:val="center"/>
          </w:tcPr>
          <w:p>
            <w:pPr>
              <w:pStyle w:val="TableContents"/>
              <w:spacing w:before="0" w:after="283"/>
              <w:jc w:val="both"/>
              <w:rPr/>
            </w:pPr>
            <w:hyperlink w:anchor="tm2313388d1_ex99-1.htm">
              <w:r>
                <w:rPr>
                  <w:rStyle w:val="InternetLink"/>
                  <w:rFonts w:ascii="Times New Roman;Times;Serif" w:hAnsi="Times New Roman;Times;Serif"/>
                  <w:sz w:val="20"/>
                </w:rPr>
                <w:t>Press Release, dated April 20, 2023.</w:t>
              </w:r>
            </w:hyperlink>
          </w:p>
        </w:tc>
      </w:tr>
      <w:tr>
        <w:trPr/>
        <w:tc>
          <w:tcPr>
            <w:tcW w:w="99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spacing w:before="0" w:after="283"/>
              <w:rPr/>
            </w:pPr>
            <w:r>
              <w:rPr/>
              <w:t> </w:t>
            </w:r>
          </w:p>
        </w:tc>
        <w:tc>
          <w:tcPr>
            <w:tcW w:w="6485"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pacing w:before="0" w:after="0"/>
        <w:ind w:left="0" w:right="0" w:firstLine="72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3</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rPr>
          <w:caps w:val="false"/>
          <w:smallCaps w:val="false"/>
        </w:rPr>
      </w:pPr>
      <w:r>
        <w:rPr>
          <w:caps w:val="false"/>
          <w:smallCaps w:val="false"/>
        </w:rPr>
        <w:t> </w:t>
      </w:r>
    </w:p>
    <w:tbl>
      <w:tblPr>
        <w:tblW w:w="4779" w:type="dxa"/>
        <w:jc w:val="left"/>
        <w:tblInd w:w="0" w:type="dxa"/>
        <w:tblCellMar>
          <w:top w:w="0" w:type="dxa"/>
          <w:left w:w="0" w:type="dxa"/>
          <w:bottom w:w="0" w:type="dxa"/>
          <w:right w:w="0" w:type="dxa"/>
        </w:tblCellMar>
      </w:tblPr>
      <w:tblGrid>
        <w:gridCol w:w="1805"/>
        <w:gridCol w:w="327"/>
        <w:gridCol w:w="603"/>
        <w:gridCol w:w="2044"/>
      </w:tblGrid>
      <w:tr>
        <w:trPr/>
        <w:tc>
          <w:tcPr>
            <w:tcW w:w="1805" w:type="dxa"/>
            <w:tcBorders/>
            <w:shd w:fill="auto" w:val="clear"/>
            <w:vAlign w:val="center"/>
          </w:tcPr>
          <w:p>
            <w:pPr>
              <w:pStyle w:val="TableContents"/>
              <w:spacing w:before="0" w:after="283"/>
              <w:rPr/>
            </w:pPr>
            <w:r>
              <w:rPr/>
              <w:t> </w:t>
            </w:r>
          </w:p>
        </w:tc>
        <w:tc>
          <w:tcPr>
            <w:tcW w:w="2974" w:type="dxa"/>
            <w:gridSpan w:val="3"/>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BURTECH ACQUISITION CORP.</w:t>
            </w:r>
          </w:p>
        </w:tc>
      </w:tr>
      <w:tr>
        <w:trPr/>
        <w:tc>
          <w:tcPr>
            <w:tcW w:w="1805"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2647" w:type="dxa"/>
            <w:gridSpan w:val="2"/>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647"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Shahal Khan</w:t>
            </w:r>
          </w:p>
        </w:tc>
      </w:tr>
      <w:tr>
        <w:trPr/>
        <w:tc>
          <w:tcPr>
            <w:tcW w:w="1805"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w:t>
            </w:r>
          </w:p>
        </w:tc>
        <w:tc>
          <w:tcPr>
            <w:tcW w:w="20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Shahal Khan</w:t>
            </w:r>
          </w:p>
        </w:tc>
      </w:tr>
      <w:tr>
        <w:trPr/>
        <w:tc>
          <w:tcPr>
            <w:tcW w:w="1805"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20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Chief Executive Officer </w:t>
            </w:r>
          </w:p>
        </w:tc>
      </w:tr>
      <w:tr>
        <w:trPr/>
        <w:tc>
          <w:tcPr>
            <w:tcW w:w="1805"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2647" w:type="dxa"/>
            <w:gridSpan w:val="2"/>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Dated: April 20, 2023</w:t>
            </w:r>
          </w:p>
        </w:tc>
        <w:tc>
          <w:tcPr>
            <w:tcW w:w="327" w:type="dxa"/>
            <w:tcBorders/>
            <w:shd w:fill="auto" w:val="clear"/>
            <w:vAlign w:val="center"/>
          </w:tcPr>
          <w:p>
            <w:pPr>
              <w:pStyle w:val="TableContents"/>
              <w:spacing w:before="0" w:after="283"/>
              <w:rPr/>
            </w:pPr>
            <w:r>
              <w:rPr/>
              <w:t> </w:t>
            </w:r>
          </w:p>
        </w:tc>
        <w:tc>
          <w:tcPr>
            <w:tcW w:w="2647" w:type="dxa"/>
            <w:gridSpan w:val="2"/>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4</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caps w:val="false"/>
          <w:smallCaps w:val="false"/>
        </w:rPr>
      </w:pPr>
      <w:r>
        <w:rPr>
          <w:caps w:val="false"/>
          <w:smallCaps w:val="false"/>
        </w:rPr>
        <w:t> </w:t>
      </w:r>
      <w:r>
        <w:br w:type="page"/>
      </w:r>
    </w:p>
    <w:p>
      <w:pPr>
        <w:pStyle w:val="TextBody"/>
        <w:ind w:left="0" w:right="0" w:hanging="0"/>
        <w:rPr/>
      </w:pPr>
      <w:bookmarkStart w:id="30" w:name="tm2313388d1_ex99-1.htm"/>
      <w:bookmarkStart w:id="31" w:name="kstm2313388d1_ex991"/>
      <w:bookmarkEnd w:id="30"/>
      <w:bookmarkEnd w:id="31"/>
      <w:r>
        <w:rPr/>
        <w:t> </w:t>
      </w:r>
    </w:p>
    <w:p>
      <w:pPr>
        <w:pStyle w:val="TextBody"/>
        <w:jc w:val="right"/>
        <w:rPr>
          <w:b/>
        </w:rPr>
      </w:pPr>
      <w:r>
        <w:rPr>
          <w:b/>
        </w:rPr>
        <w:t>Exhibit 99.1</w:t>
      </w:r>
    </w:p>
    <w:p>
      <w:pPr>
        <w:pStyle w:val="TextBody"/>
        <w:rPr/>
      </w:pPr>
      <w:r>
        <w:rPr/>
        <w:t> </w:t>
      </w:r>
    </w:p>
    <w:p>
      <w:pPr>
        <w:pStyle w:val="TextBody"/>
        <w:spacing w:before="0" w:after="0"/>
        <w:ind w:left="9" w:right="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 Receives Notice from Nasdaq Regarding Delayed Annual Report</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New York, NY</w:t>
      </w:r>
      <w:r>
        <w:rPr>
          <w:rFonts w:ascii="Times New Roman;Times;Serif" w:hAnsi="Times New Roman;Times;Serif"/>
          <w:b w:val="false"/>
          <w:i w:val="false"/>
          <w:caps w:val="false"/>
          <w:smallCaps w:val="false"/>
          <w:sz w:val="20"/>
        </w:rPr>
        <w:t>., April 20, 2023 -- BurTech Acquisition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(NASDAQ: BRKH) today announced that it received a notice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on April 19, 2023 from the Listing Qualifications Department of The Nasdaq Stock Market (“Nasdaq”) stating that the Company is not in compliance with Nasdaq Listing Rule 5250(c)(1) (the “</w:t>
      </w:r>
      <w:r>
        <w:rPr>
          <w:rFonts w:ascii="Times New Roman;Times;Serif" w:hAnsi="Times New Roman;Times;Serif"/>
          <w:b/>
          <w:i w:val="false"/>
          <w:caps w:val="false"/>
          <w:smallCaps w:val="false"/>
          <w:sz w:val="20"/>
        </w:rPr>
        <w:t>Listing Rule</w:t>
      </w:r>
      <w:r>
        <w:rPr>
          <w:rFonts w:ascii="Times New Roman;Times;Serif" w:hAnsi="Times New Roman;Times;Serif"/>
          <w:b w:val="false"/>
          <w:i w:val="false"/>
          <w:caps w:val="false"/>
          <w:smallCaps w:val="false"/>
          <w:sz w:val="20"/>
        </w:rPr>
        <w:t>”) because the Company failed to timely file its Annual Report on Form 10-K for the year ended December 31, 2022 (the “</w:t>
      </w:r>
      <w:r>
        <w:rPr>
          <w:rFonts w:ascii="Times New Roman;Times;Serif" w:hAnsi="Times New Roman;Times;Serif"/>
          <w:b/>
          <w:i w:val="false"/>
          <w:caps w:val="false"/>
          <w:smallCaps w:val="false"/>
          <w:sz w:val="20"/>
        </w:rPr>
        <w:t>10-K</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its 10-K on April 20, 2023, and will immediately inform Nasdaq in order to regain compliance with the Listing Rule.</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or trading of the Company’s securities on the Nasdaq Global Market. The Notice states that the Company has 60 calendar days from the date of the Notice, or June 20, 2023, to submit a plan to regain compliance with the Listing Rule. If Nasdaq accepts the Company’s plan to regain compliance, then Nasdaq may grant the Company up to 180 calendar days from the prescribed due date of the Form 10-K, or October 16, 2023, to file the 10-K to regain compliance.</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by the Company in its Notification of Late Filing on Form 12b-25, filed with the SEC on April 3, 2023, the Company was unable to timely file the 10-K without unreasonable effort or expense.</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made in compliance with Nasdaq Listing Rule 5810(b), which requires prompt disclosure of receipt of a deficiency notification.</w:t>
      </w:r>
    </w:p>
    <w:p>
      <w:pPr>
        <w:pStyle w:val="TextBody"/>
        <w:spacing w:before="0" w:after="0"/>
        <w:jc w:val="both"/>
        <w:rPr>
          <w:caps w:val="false"/>
          <w:smallCaps w:val="false"/>
        </w:rPr>
      </w:pPr>
      <w:r>
        <w:rPr>
          <w:caps w:val="false"/>
          <w:smallCaps w:val="false"/>
        </w:rPr>
        <w:t> </w:t>
      </w:r>
    </w:p>
    <w:p>
      <w:pPr>
        <w:pStyle w:val="TextBody"/>
        <w:shd w:fill="FFFFFF" w:val="clear"/>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BurTech Acquisition Corp.</w:t>
      </w:r>
    </w:p>
    <w:p>
      <w:pPr>
        <w:pStyle w:val="TextBody"/>
        <w:shd w:fill="FFFFFF" w:val="clear"/>
        <w:spacing w:before="0" w:after="0"/>
        <w:jc w:val="both"/>
        <w:rPr>
          <w:caps w:val="false"/>
          <w:smallCaps w:val="false"/>
        </w:rPr>
      </w:pPr>
      <w:r>
        <w:rPr>
          <w:caps w:val="false"/>
          <w:smallCaps w:val="false"/>
        </w:rPr>
        <w:t> </w:t>
      </w:r>
    </w:p>
    <w:p>
      <w:pPr>
        <w:pStyle w:val="TextBody"/>
        <w:shd w:fill="FFFFFF" w:val="clear"/>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 is a blank check company whose business purpose is to effect a merger, capital stock exchange, asset acquisition, stock purchase, reorganization or similar business combination with one or more businesses or entities. The Company has not selected a business combination target and has not, nor has anyone on its behalf, initiated any substantive discussions, directly or indirectly, with any business combination target. The Company intends to focus its search for a target business in the retail, lifestyle, hospitality, technology, or real estate markets. The Company is led by its Chief Executive Officer, Shahal Khan.</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Forward-Looking Statements</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regarding future events and our future results that are subject to the safe harbor created under the Private Securities Litigation Reform Act of 1995 and other safe harbors under the Securities Act of 1933, as amended, and the Securities Exchange Act of 1934, as amended. Words such as “anticipate”, “estimate”, “expect”, “project”, “plan”, “intend”, “believe”, “may”, “might”, “will”, “should”, “can have”, “likely” and similar expressions are used to identify forward-looking statements. These forward-looking statements are based on our current beliefs, assumptions and expectations regarding future events, which in turn are based on information currently available to us.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our ability to respond in a timely and satisfactory matter to the inquiries by Nasdaq, our ability to regain compliance with Listing Rule, our ability to become current with our reports with the SEC, and the risk that the completion and filing of the Form 10-K will take longer than expected. For additional information about factors that could cause actual results to differ materially from those described in the forward-looking statements, please refer to our filings with the SEC. Forward-looking statements represent management’s current expectations and are inherently uncertain. Except to the extent required by applicable law, we do not undertake any obligation to update or revise forward-looking statements made by us to reflect subsequent events or circumstances.</w:t>
      </w:r>
    </w:p>
    <w:p>
      <w:pPr>
        <w:pStyle w:val="TextBody"/>
        <w:spacing w:before="0" w:after="0"/>
        <w:ind w:left="107" w:right="117"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1635</Words>
  <CharactersWithSpaces>10636</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