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brkh-20240630x10q.htm"/>
        <w:bookmarkStart w:id="1" w:name="ksbrkh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ec34b039_452b_4b69_b81e_0938b5861ca1"/>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16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16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center"/>
        <w:rPr/>
      </w:pPr>
      <w:r>
        <w:rPr/>
        <w:t>​</w:t>
      </w:r>
    </w:p>
    <w:p>
      <w:pPr>
        <w:pStyle w:val="TextBody"/>
        <w:bidi w:val="0"/>
        <w:spacing w:before="0" w:after="180"/>
        <w:ind w:left="0" w:right="0" w:hanging="0"/>
        <w:jc w:val="center"/>
        <w:rPr/>
      </w:pPr>
      <w:r>
        <w:rPr/>
        <w:t xml:space="preserve">☒ </w:t>
      </w:r>
      <w:r>
        <w:rPr>
          <w:rFonts w:ascii="Times New Roman;Times;serif" w:hAnsi="Times New Roman;Times;serif"/>
          <w:b/>
          <w:sz w:val="18"/>
        </w:rPr>
        <w:t>QUARTERLY REPORT UNDER SECTION 13 OR 15(d) OF THE SECURITIES EXCHANGE ACT OF 1934</w:t>
      </w:r>
    </w:p>
    <w:p>
      <w:pPr>
        <w:pStyle w:val="TextBody"/>
        <w:bidi w:val="0"/>
        <w:spacing w:before="0" w:after="1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2024</w:t>
      </w:r>
    </w:p>
    <w:p>
      <w:pPr>
        <w:pStyle w:val="TextBody"/>
        <w:bidi w:val="0"/>
        <w:spacing w:before="0" w:after="180"/>
        <w:ind w:left="0" w:right="0" w:hanging="0"/>
        <w:jc w:val="center"/>
        <w:rPr/>
      </w:pPr>
      <w:r>
        <w:rPr/>
        <w:t xml:space="preserve">☐ </w:t>
      </w:r>
      <w:r>
        <w:rPr>
          <w:rFonts w:ascii="Times New Roman;Times;serif" w:hAnsi="Times New Roman;Times;serif"/>
          <w:b/>
          <w:sz w:val="18"/>
        </w:rPr>
        <w:t>TRANSITION REPORT PURSUANT TO SECTION 13 OR 15(d) OF THE SECURITIES EXCHANGE ACT OF 1934</w:t>
      </w:r>
    </w:p>
    <w:p>
      <w:pPr>
        <w:pStyle w:val="TextBody"/>
        <w:bidi w:val="0"/>
        <w:spacing w:before="0" w:after="1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                 </w:t>
      </w:r>
    </w:p>
    <w:p>
      <w:pPr>
        <w:pStyle w:val="TextBody"/>
        <w:bidi w:val="0"/>
        <w:spacing w:before="0" w:after="180"/>
        <w:ind w:left="0" w:right="0" w:hanging="0"/>
        <w:jc w:val="center"/>
        <w:rPr>
          <w:rFonts w:ascii="Times New Roman;Times;serif" w:hAnsi="Times New Roman;Times;serif"/>
          <w:b/>
          <w:sz w:val="18"/>
        </w:rPr>
      </w:pPr>
      <w:r>
        <w:rPr>
          <w:rFonts w:ascii="Times New Roman;Times;serif" w:hAnsi="Times New Roman;Times;serif"/>
          <w:b/>
          <w:sz w:val="18"/>
        </w:rPr>
        <w:t>Commission File Number 001-41139</w:t>
      </w:r>
    </w:p>
    <w:p>
      <w:pPr>
        <w:pStyle w:val="Normal"/>
        <w:bidi w:val="0"/>
        <w:spacing w:before="0" w:after="0"/>
        <w:jc w:val="left"/>
        <w:rPr>
          <w:sz w:val="4"/>
          <w:szCs w:val="4"/>
        </w:rPr>
      </w:pPr>
      <w:r>
        <w:rPr>
          <w:sz w:val="4"/>
          <w:szCs w:val="4"/>
        </w:rPr>
      </w:r>
      <w:bookmarkStart w:id="3" w:name="Tc_6CSoDLSUwUee9VnKosng5A_1_0"/>
      <w:bookmarkStart w:id="4" w:name="_59c8f7ce_1e3c_4416_96b3_bdc05564b1b7"/>
      <w:bookmarkStart w:id="5" w:name="Tc_6CSoDLSUwUee9VnKosng5A_1_0"/>
      <w:bookmarkStart w:id="6" w:name="_59c8f7ce_1e3c_4416_96b3_bdc05564b1b7"/>
      <w:bookmarkEnd w:id="5"/>
      <w:bookmarkEnd w:id="6"/>
    </w:p>
    <w:tbl>
      <w:tblPr>
        <w:tblW w:w="3901" w:type="dxa"/>
        <w:jc w:val="left"/>
        <w:tblInd w:w="0" w:type="dxa"/>
        <w:tblLayout w:type="fixed"/>
        <w:tblCellMar>
          <w:top w:w="0" w:type="dxa"/>
          <w:left w:w="0" w:type="dxa"/>
          <w:bottom w:w="0" w:type="dxa"/>
          <w:right w:w="0" w:type="dxa"/>
        </w:tblCellMar>
      </w:tblPr>
      <w:tblGrid>
        <w:gridCol w:w="3901"/>
      </w:tblGrid>
      <w:tr>
        <w:trPr/>
        <w:tc>
          <w:tcPr>
            <w:tcW w:w="390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BURTECH ACQUISITION CORP.</w:t>
            </w:r>
          </w:p>
        </w:tc>
      </w:tr>
      <w:tr>
        <w:trPr/>
        <w:tc>
          <w:tcPr>
            <w:tcW w:w="39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 w:name="Tc_WCITvjRii0qTl47ZAMc1Yw_1_2"/>
      <w:bookmarkStart w:id="8" w:name="Tc_C-CxgQA3FkGXTo2oRpXAqQ_1_0"/>
      <w:bookmarkStart w:id="9" w:name="_075a2d9a_ec10_4142_a811_685677457c37"/>
      <w:bookmarkStart w:id="10" w:name="Tc_WCITvjRii0qTl47ZAMc1Yw_1_2"/>
      <w:bookmarkStart w:id="11" w:name="Tc_C-CxgQA3FkGXTo2oRpXAqQ_1_0"/>
      <w:bookmarkStart w:id="12" w:name="_075a2d9a_ec10_4142_a811_685677457c37"/>
      <w:bookmarkEnd w:id="10"/>
      <w:bookmarkEnd w:id="11"/>
      <w:bookmarkEnd w:id="12"/>
    </w:p>
    <w:tbl>
      <w:tblPr>
        <w:tblW w:w="4063" w:type="dxa"/>
        <w:jc w:val="left"/>
        <w:tblInd w:w="0" w:type="dxa"/>
        <w:tblLayout w:type="fixed"/>
        <w:tblCellMar>
          <w:top w:w="0" w:type="dxa"/>
          <w:left w:w="0" w:type="dxa"/>
          <w:bottom w:w="28" w:type="dxa"/>
          <w:right w:w="0" w:type="dxa"/>
        </w:tblCellMar>
      </w:tblPr>
      <w:tblGrid>
        <w:gridCol w:w="2236"/>
        <w:gridCol w:w="326"/>
        <w:gridCol w:w="1501"/>
      </w:tblGrid>
      <w:tr>
        <w:trPr/>
        <w:tc>
          <w:tcPr>
            <w:tcW w:w="223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0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85-2708752</w:t>
            </w:r>
          </w:p>
        </w:tc>
      </w:tr>
      <w:tr>
        <w:trPr/>
        <w:tc>
          <w:tcPr>
            <w:tcW w:w="22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3901" w:type="dxa"/>
        <w:jc w:val="left"/>
        <w:tblInd w:w="0" w:type="dxa"/>
        <w:tblLayout w:type="fixed"/>
        <w:tblCellMar>
          <w:top w:w="0" w:type="dxa"/>
          <w:left w:w="0" w:type="dxa"/>
          <w:bottom w:w="0" w:type="dxa"/>
          <w:right w:w="0" w:type="dxa"/>
        </w:tblCellMar>
      </w:tblPr>
      <w:tblGrid>
        <w:gridCol w:w="3901"/>
      </w:tblGrid>
      <w:tr>
        <w:trPr/>
        <w:tc>
          <w:tcPr>
            <w:tcW w:w="39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1300 Pennsylvania Ave NW, Suite 700</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b/>
                <w:sz w:val="18"/>
              </w:rPr>
              <w:t>Washington, DC</w:t>
            </w:r>
            <w:r>
              <w:rPr>
                <w:rFonts w:ascii="Times New Roman;Times;serif" w:hAnsi="Times New Roman;Times;serif"/>
                <w:sz w:val="22"/>
              </w:rPr>
              <w:t xml:space="preserve"> </w:t>
            </w:r>
            <w:r>
              <w:rPr>
                <w:rFonts w:ascii="Times New Roman;Times;serif" w:hAnsi="Times New Roman;Times;serif"/>
                <w:b/>
                <w:sz w:val="22"/>
              </w:rPr>
              <w:t>20004</w:t>
            </w:r>
          </w:p>
        </w:tc>
      </w:tr>
      <w:tr>
        <w:trPr/>
        <w:tc>
          <w:tcPr>
            <w:tcW w:w="39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and zip code)</w:t>
            </w:r>
          </w:p>
        </w:tc>
      </w:tr>
    </w:tbl>
    <w:p>
      <w:pPr>
        <w:pStyle w:val="TextBody"/>
        <w:bidi w:val="0"/>
        <w:spacing w:before="0" w:after="240"/>
        <w:ind w:left="0" w:right="0" w:hanging="0"/>
        <w:jc w:val="both"/>
        <w:rPr/>
      </w:pPr>
      <w:r>
        <w:rPr/>
        <w:t>​</w:t>
      </w:r>
    </w:p>
    <w:tbl>
      <w:tblPr>
        <w:tblW w:w="3901" w:type="dxa"/>
        <w:jc w:val="left"/>
        <w:tblInd w:w="0" w:type="dxa"/>
        <w:tblLayout w:type="fixed"/>
        <w:tblCellMar>
          <w:top w:w="0" w:type="dxa"/>
          <w:left w:w="0" w:type="dxa"/>
          <w:bottom w:w="0" w:type="dxa"/>
          <w:right w:w="0" w:type="dxa"/>
        </w:tblCellMar>
      </w:tblPr>
      <w:tblGrid>
        <w:gridCol w:w="3901"/>
      </w:tblGrid>
      <w:tr>
        <w:trPr/>
        <w:tc>
          <w:tcPr>
            <w:tcW w:w="39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 600-5757</w:t>
            </w:r>
          </w:p>
        </w:tc>
      </w:tr>
      <w:tr>
        <w:trPr/>
        <w:tc>
          <w:tcPr>
            <w:tcW w:w="39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tc>
      </w:tr>
    </w:tbl>
    <w:p>
      <w:pPr>
        <w:pStyle w:val="TextBody"/>
        <w:bidi w:val="0"/>
        <w:spacing w:before="0" w:after="240"/>
        <w:ind w:left="0" w:right="0" w:hanging="0"/>
        <w:jc w:val="both"/>
        <w:rPr/>
      </w:pPr>
      <w:r>
        <w:rPr/>
        <w:t>​</w:t>
      </w:r>
    </w:p>
    <w:tbl>
      <w:tblPr>
        <w:tblW w:w="5956" w:type="dxa"/>
        <w:jc w:val="left"/>
        <w:tblInd w:w="0" w:type="dxa"/>
        <w:tblLayout w:type="fixed"/>
        <w:tblCellMar>
          <w:top w:w="0" w:type="dxa"/>
          <w:left w:w="0" w:type="dxa"/>
          <w:bottom w:w="0" w:type="dxa"/>
          <w:right w:w="0" w:type="dxa"/>
        </w:tblCellMar>
      </w:tblPr>
      <w:tblGrid>
        <w:gridCol w:w="5956"/>
      </w:tblGrid>
      <w:tr>
        <w:trPr/>
        <w:tc>
          <w:tcPr>
            <w:tcW w:w="59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tc>
      </w:tr>
      <w:tr>
        <w:trPr/>
        <w:tc>
          <w:tcPr>
            <w:tcW w:w="59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3" w:name="Tc_s4dQFQ1rsUS-MvP5x_aSFQ_3_4"/>
      <w:bookmarkStart w:id="14" w:name="Tc_5vb9BREDnUeJwAyrmtVDdQ_2_4"/>
      <w:bookmarkStart w:id="15" w:name="Tc_fJaYyfloz0ishO6BlZ-y8w_1_4"/>
      <w:bookmarkStart w:id="16" w:name="Tc_zNsywYwjK0SehifDUJoHJg_1_0"/>
      <w:bookmarkStart w:id="17" w:name="Tc_dzoQUNo4bkSjCxlJGUT0hA_0_4"/>
      <w:bookmarkStart w:id="18" w:name="Tc_S1wzu2thjUK27aXdSdVFeQ_0_2"/>
      <w:bookmarkStart w:id="19" w:name="Tc_04nN_iqAG0G59SvZnzUEdg_0_0"/>
      <w:bookmarkStart w:id="20" w:name="_0a818cc8_7898_444b_9b22_9e4216a38eac"/>
      <w:bookmarkStart w:id="21" w:name="Tc_s4dQFQ1rsUS-MvP5x_aSFQ_3_4"/>
      <w:bookmarkStart w:id="22" w:name="Tc_5vb9BREDnUeJwAyrmtVDdQ_2_4"/>
      <w:bookmarkStart w:id="23" w:name="Tc_fJaYyfloz0ishO6BlZ-y8w_1_4"/>
      <w:bookmarkStart w:id="24" w:name="Tc_zNsywYwjK0SehifDUJoHJg_1_0"/>
      <w:bookmarkStart w:id="25" w:name="Tc_dzoQUNo4bkSjCxlJGUT0hA_0_4"/>
      <w:bookmarkStart w:id="26" w:name="Tc_S1wzu2thjUK27aXdSdVFeQ_0_2"/>
      <w:bookmarkStart w:id="27" w:name="Tc_04nN_iqAG0G59SvZnzUEdg_0_0"/>
      <w:bookmarkStart w:id="28" w:name="_0a818cc8_7898_444b_9b22_9e4216a38eac"/>
      <w:bookmarkEnd w:id="21"/>
      <w:bookmarkEnd w:id="22"/>
      <w:bookmarkEnd w:id="23"/>
      <w:bookmarkEnd w:id="24"/>
      <w:bookmarkEnd w:id="25"/>
      <w:bookmarkEnd w:id="26"/>
      <w:bookmarkEnd w:id="27"/>
      <w:bookmarkEnd w:id="28"/>
    </w:p>
    <w:tbl>
      <w:tblPr>
        <w:tblW w:w="10205" w:type="dxa"/>
        <w:jc w:val="left"/>
        <w:tblInd w:w="0" w:type="dxa"/>
        <w:tblLayout w:type="fixed"/>
        <w:tblCellMar>
          <w:top w:w="0" w:type="dxa"/>
          <w:left w:w="0" w:type="dxa"/>
          <w:bottom w:w="28" w:type="dxa"/>
          <w:right w:w="0" w:type="dxa"/>
        </w:tblCellMar>
      </w:tblPr>
      <w:tblGrid>
        <w:gridCol w:w="6217"/>
        <w:gridCol w:w="326"/>
        <w:gridCol w:w="1164"/>
        <w:gridCol w:w="326"/>
        <w:gridCol w:w="2172"/>
      </w:tblGrid>
      <w:tr>
        <w:trPr/>
        <w:tc>
          <w:tcPr>
            <w:tcW w:w="621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16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17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62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Units, each consisting of one share of Class A Common Stock and one Redeemable Warrant to purchase one share of Class A common stock for $11.50 per share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1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BRKHU</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21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r>
        <w:trPr/>
        <w:tc>
          <w:tcPr>
            <w:tcW w:w="62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Common Stock, par value $0.0001 per share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1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BRKH</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21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r>
        <w:trPr/>
        <w:tc>
          <w:tcPr>
            <w:tcW w:w="621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Warrants, each exercisable for one share of Class A Common Stock for $11.50 per share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16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BRKHW</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217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 b-2 of the Exchange Act:</w:t>
      </w:r>
    </w:p>
    <w:p>
      <w:pPr>
        <w:pStyle w:val="TextBody"/>
        <w:bidi w:val="0"/>
        <w:spacing w:before="0" w:after="240"/>
        <w:ind w:left="0" w:right="0" w:firstLine="720"/>
        <w:jc w:val="both"/>
        <w:rPr/>
      </w:pPr>
      <w:r>
        <w:rPr/>
        <w:t>​</w:t>
      </w:r>
    </w:p>
    <w:tbl>
      <w:tblPr>
        <w:tblW w:w="4217" w:type="dxa"/>
        <w:jc w:val="left"/>
        <w:tblInd w:w="0" w:type="dxa"/>
        <w:tblLayout w:type="fixed"/>
        <w:tblCellMar>
          <w:top w:w="0" w:type="dxa"/>
          <w:left w:w="0" w:type="dxa"/>
          <w:bottom w:w="0" w:type="dxa"/>
          <w:right w:w="0" w:type="dxa"/>
        </w:tblCellMar>
      </w:tblPr>
      <w:tblGrid>
        <w:gridCol w:w="1876"/>
        <w:gridCol w:w="2341"/>
      </w:tblGrid>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Non-accelerated filer </w:t>
            </w:r>
            <w:r>
              <w:rPr>
                <w:rFonts w:ascii="Times New Roman;Times;serif" w:hAnsi="Times New Roman;Times;serif"/>
                <w:sz w:val="20"/>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 </w:t>
            </w:r>
          </w:p>
        </w:tc>
      </w:tr>
      <w:tr>
        <w:trPr/>
        <w:tc>
          <w:tcPr>
            <w:tcW w:w="1876" w:type="dxa"/>
            <w:tcBorders/>
            <w:vAlign w:val="center"/>
          </w:tcPr>
          <w:p>
            <w:pPr>
              <w:pStyle w:val="TableContents"/>
              <w:bidi w:val="0"/>
              <w:spacing w:before="0" w:after="0"/>
              <w:ind w:left="0" w:right="0" w:hanging="0"/>
              <w:jc w:val="left"/>
              <w:rPr/>
            </w:pPr>
            <w:r>
              <w:rPr/>
              <w:t> </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August 13, 2024, there were 15,162,663 shares of Class A common stock, par value $0.0001 per share issued and outstanding.</w:t>
      </w:r>
    </w:p>
    <w:p>
      <w:pPr>
        <w:pStyle w:val="TextBody"/>
        <w:bidi w:val="0"/>
        <w:spacing w:before="0" w:after="240"/>
        <w:ind w:left="0" w:right="0" w:firstLine="720"/>
        <w:jc w:val="both"/>
        <w:rPr/>
      </w:pPr>
      <w:r>
        <w:rPr/>
        <w:t>​</w:t>
      </w:r>
    </w:p>
    <w:p>
      <w:pPr>
        <w:pStyle w:val="TextBody"/>
        <w:pBdr>
          <w:top w:val="single" w:sz="2" w:space="1" w:color="000000"/>
          <w:bottom w:val="single" w:sz="24" w:space="1" w:color="000000"/>
        </w:pBdr>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 w:name="_99c33685_1a66_4991_9884_1b10c6fa47e6"/>
      <w:bookmarkEnd w:id="29"/>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b/>
          <w:sz w:val="20"/>
        </w:rPr>
      </w:pPr>
      <w:bookmarkStart w:id="30" w:name="TOC"/>
      <w:bookmarkEnd w:id="30"/>
      <w:r>
        <w:rPr>
          <w:rFonts w:ascii="Times New Roman;Times;serif" w:hAnsi="Times New Roman;Times;serif"/>
          <w:b/>
          <w:sz w:val="20"/>
        </w:rPr>
        <w:t>TABLE OF CONTENTS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62585" cy="175260"/>
                      <wp:effectExtent l="0" t="0" r="0" b="0"/>
                      <wp:wrapNone/>
                      <wp:docPr id="1" name="Frame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shd w:fill="CCEEFF" w:val="clear"/>
            <w:vAlign w:val="center"/>
          </w:tcPr>
          <w:p>
            <w:pPr>
              <w:pStyle w:val="TableContents"/>
              <w:pBdr/>
              <w:bidi w:val="0"/>
              <w:spacing w:before="0" w:after="0"/>
              <w:ind w:left="0" w:right="0" w:hanging="0"/>
              <w:jc w:val="left"/>
              <w:rPr/>
            </w:pPr>
            <w:hyperlink w:anchor="PART1FINANCIALINFORMATION_582210">
              <w:r>
                <w:rPr>
                  <w:rStyle w:val="InternetLink"/>
                  <w:rFonts w:ascii="Times New Roman;Times;serif" w:hAnsi="Times New Roman;Times;serif"/>
                  <w:b/>
                  <w:i w:val="false"/>
                  <w:caps w:val="false"/>
                  <w:smallCaps w:val="false"/>
                  <w:sz w:val="20"/>
                </w:rPr>
                <w:t>PART 1 – FINANCIAL INFORMATION</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8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71" w:type="dxa"/>
            <w:tcBorders/>
            <w:shd w:fill="CCEEFF" w:val="cle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8823" w:type="dxa"/>
            <w:tcBorders/>
            <w:shd w:fill="CCEEFF" w:val="clear"/>
            <w:vAlign w:val="center"/>
          </w:tcPr>
          <w:p>
            <w:pPr>
              <w:pStyle w:val="TableContents"/>
              <w:bidi w:val="0"/>
              <w:spacing w:before="0" w:after="0"/>
              <w:ind w:left="0" w:right="0" w:hanging="0"/>
              <w:jc w:val="left"/>
              <w:rPr/>
            </w:pPr>
            <w:hyperlink w:anchor="CONDENSEDBALANCESHEET_623729">
              <w:r>
                <w:rPr>
                  <w:rStyle w:val="InternetLink"/>
                  <w:rFonts w:ascii="Times New Roman;Times;serif" w:hAnsi="Times New Roman;Times;serif"/>
                  <w:b w:val="false"/>
                  <w:i w:val="false"/>
                  <w:caps w:val="false"/>
                  <w:smallCaps w:val="false"/>
                  <w:sz w:val="20"/>
                </w:rPr>
                <w:t>Condensed consolidated Balance Sheets as of June 30,2024 (Unaudited) and December 31, 2023</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8823" w:type="dxa"/>
            <w:tcBorders/>
            <w:shd w:fill="CCEEFF" w:val="clear"/>
            <w:vAlign w:val="center"/>
          </w:tcPr>
          <w:p>
            <w:pPr>
              <w:pStyle w:val="TableContents"/>
              <w:pBdr/>
              <w:bidi w:val="0"/>
              <w:spacing w:before="0" w:after="0"/>
              <w:ind w:left="0" w:right="0" w:hanging="0"/>
              <w:jc w:val="left"/>
              <w:rPr/>
            </w:pPr>
            <w:hyperlink w:anchor="CONDENSEDSTATEMENTOFOPERATIONS_937812">
              <w:r>
                <w:rPr>
                  <w:rStyle w:val="InternetLink"/>
                  <w:rFonts w:ascii="Times New Roman;Times;serif" w:hAnsi="Times New Roman;Times;serif"/>
                  <w:b w:val="false"/>
                  <w:i w:val="false"/>
                  <w:caps w:val="false"/>
                  <w:smallCaps w:val="false"/>
                  <w:sz w:val="20"/>
                </w:rPr>
                <w:t>Condensed consolidated Statements of Operations for the three and six months ended June 30,2024 and 2023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8823" w:type="dxa"/>
            <w:tcBorders/>
            <w:shd w:fill="CCEEFF" w:val="clear"/>
            <w:vAlign w:val="center"/>
          </w:tcPr>
          <w:p>
            <w:pPr>
              <w:pStyle w:val="TableContents"/>
              <w:bidi w:val="0"/>
              <w:spacing w:before="0" w:after="0"/>
              <w:ind w:left="0" w:right="0" w:hanging="0"/>
              <w:jc w:val="left"/>
              <w:rPr/>
            </w:pPr>
            <w:hyperlink w:anchor="CONDENSEDSTATEMENTOFCHANGESINSTOCKHOLDER">
              <w:r>
                <w:rPr>
                  <w:rStyle w:val="InternetLink"/>
                  <w:rFonts w:ascii="Times New Roman;Times;serif" w:hAnsi="Times New Roman;Times;serif"/>
                  <w:b w:val="false"/>
                  <w:i w:val="false"/>
                  <w:caps w:val="false"/>
                  <w:smallCaps w:val="false"/>
                  <w:sz w:val="20"/>
                </w:rPr>
                <w:t xml:space="preserve">Condensed consolidated Statements of Changes in Stockholders’ Deficit for the three and six months ended June 30,2024 and 2023 (Unaudited)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8823" w:type="dxa"/>
            <w:tcBorders/>
            <w:shd w:fill="CCEEFF" w:val="clear"/>
            <w:vAlign w:val="center"/>
          </w:tcPr>
          <w:p>
            <w:pPr>
              <w:pStyle w:val="TableContents"/>
              <w:pBdr/>
              <w:bidi w:val="0"/>
              <w:spacing w:before="0" w:after="0"/>
              <w:ind w:left="0" w:right="0" w:hanging="0"/>
              <w:jc w:val="left"/>
              <w:rPr/>
            </w:pPr>
            <w:hyperlink w:anchor="CONDENSEDSTATEMENTOFCASHFLOWS_499767">
              <w:r>
                <w:rPr>
                  <w:rStyle w:val="InternetLink"/>
                  <w:rFonts w:ascii="Times New Roman;Times;serif" w:hAnsi="Times New Roman;Times;serif"/>
                  <w:b w:val="false"/>
                  <w:i w:val="false"/>
                  <w:caps w:val="false"/>
                  <w:smallCaps w:val="false"/>
                  <w:sz w:val="20"/>
                </w:rPr>
                <w:t>Condensed consolidated</w:t>
              </w:r>
            </w:hyperlink>
            <w:hyperlink w:anchor="CONDENSEDSTATEMENTOFCASHFLOWS_499767">
              <w:r>
                <w:rPr>
                  <w:rStyle w:val="InternetLink"/>
                  <w:rFonts w:ascii="Times New Roman;Times;serif" w:hAnsi="Times New Roman;Times;serif"/>
                  <w:caps w:val="false"/>
                  <w:smallCaps w:val="false"/>
                  <w:sz w:val="20"/>
                </w:rPr>
                <w:t xml:space="preserve"> </w:t>
              </w:r>
            </w:hyperlink>
            <w:hyperlink w:anchor="CONDENSEDSTATEMENTOFCASHFLOWS_499767">
              <w:r>
                <w:rPr>
                  <w:rStyle w:val="InternetLink"/>
                  <w:rFonts w:ascii="Times New Roman;Times;serif" w:hAnsi="Times New Roman;Times;serif"/>
                  <w:b w:val="false"/>
                  <w:i w:val="false"/>
                  <w:caps w:val="false"/>
                  <w:smallCaps w:val="false"/>
                  <w:sz w:val="20"/>
                </w:rPr>
                <w:t>Statements of Cash Flows for the six months ended June 30,2024 and 2023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8823" w:type="dxa"/>
            <w:tcBorders/>
            <w:shd w:fill="CCEEFF" w:val="clear"/>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w:t>
              </w:r>
            </w:hyperlink>
            <w:hyperlink w:anchor="NOTESTOCONDENSEDCONSOLIDATEDFINANCIALSTA">
              <w:r>
                <w:rPr>
                  <w:rStyle w:val="InternetLink"/>
                  <w:rFonts w:ascii="Times New Roman;Times;serif" w:hAnsi="Times New Roman;Times;serif"/>
                  <w:caps w:val="false"/>
                  <w:smallCaps w:val="false"/>
                  <w:sz w:val="20"/>
                </w:rPr>
                <w:t xml:space="preserve"> </w:t>
              </w:r>
            </w:hyperlink>
            <w:hyperlink w:anchor="NOTESTOCONDENSEDCONSOLIDATEDFINANCIALSTA">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4ControlsandProcedures_671429">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left"/>
              <w:rPr/>
            </w:pPr>
            <w:hyperlink w:anchor="Item4ControlsandProcedures_67142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left"/>
              <w:rPr/>
            </w:pPr>
            <w:hyperlink w:anchor="PARTIIOTHERINFORMATION_374914">
              <w:r>
                <w:rPr>
                  <w:rStyle w:val="InternetLink"/>
                  <w:rFonts w:ascii="Times New Roman;Times;serif" w:hAnsi="Times New Roman;Times;serif"/>
                  <w:b/>
                  <w:i w:val="false"/>
                  <w:caps w:val="false"/>
                  <w:smallCaps w:val="false"/>
                  <w:sz w:val="20"/>
                </w:rPr>
                <w:t>PART II – 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1LegalProceedings_636390">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left"/>
              <w:rPr/>
            </w:pPr>
            <w:hyperlink w:anchor="Item1LegalProceedings_636390">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1ARiskFactors_452640">
              <w:r>
                <w:rPr>
                  <w:rStyle w:val="InternetLink"/>
                  <w:rFonts w:ascii="Times New Roman;Times;serif" w:hAnsi="Times New Roman;Times;serif"/>
                  <w:b w:val="false"/>
                  <w:i w:val="false"/>
                  <w:caps w:val="false"/>
                  <w:smallCaps w:val="false"/>
                  <w:sz w:val="20"/>
                </w:rPr>
                <w:t>Item 1A.</w:t>
              </w:r>
            </w:hyperlink>
          </w:p>
        </w:tc>
        <w:tc>
          <w:tcPr>
            <w:tcW w:w="8823" w:type="dxa"/>
            <w:tcBorders/>
            <w:shd w:fill="CCEEFF" w:val="clear"/>
            <w:vAlign w:val="center"/>
          </w:tcPr>
          <w:p>
            <w:pPr>
              <w:pStyle w:val="TableContents"/>
              <w:bidi w:val="0"/>
              <w:spacing w:before="0" w:after="0"/>
              <w:ind w:left="0" w:right="0" w:hanging="0"/>
              <w:jc w:val="left"/>
              <w:rPr/>
            </w:pPr>
            <w:hyperlink w:anchor="Item1ARiskFactors_452640">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3DefaultsUponSeniorSecurities_382135">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left"/>
              <w:rPr/>
            </w:pPr>
            <w:hyperlink w:anchor="Item3DefaultsUponSeniorSecurities_382135">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4MineSafetyDisclosures_410368">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left"/>
              <w:rPr/>
            </w:pPr>
            <w:hyperlink w:anchor="Item4MineSafetyDisclosures_410368">
              <w:r>
                <w:rPr>
                  <w:rStyle w:val="InternetLink"/>
                  <w:rFonts w:ascii="Times New Roman;Times;serif" w:hAnsi="Times New Roman;Times;serif"/>
                  <w:b w:val="false"/>
                  <w:i w:val="false"/>
                  <w:caps w:val="false"/>
                  <w:smallCaps w:val="false"/>
                  <w:sz w:val="20"/>
                </w:rPr>
                <w:t>MINE SAFETY DISCLOSURES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5OtherInformation_120438">
              <w:r>
                <w:rPr>
                  <w:rStyle w:val="InternetLink"/>
                  <w:rFonts w:ascii="Times New Roman;Times;serif" w:hAnsi="Times New Roman;Times;serif"/>
                  <w:b w:val="false"/>
                  <w:i w:val="false"/>
                  <w:caps w:val="false"/>
                  <w:smallCaps w:val="false"/>
                  <w:sz w:val="20"/>
                </w:rPr>
                <w:t>Item 5.</w:t>
              </w:r>
            </w:hyperlink>
          </w:p>
        </w:tc>
        <w:tc>
          <w:tcPr>
            <w:tcW w:w="8823" w:type="dxa"/>
            <w:tcBorders/>
            <w:shd w:fill="CCEEFF" w:val="clear"/>
            <w:vAlign w:val="center"/>
          </w:tcPr>
          <w:p>
            <w:pPr>
              <w:pStyle w:val="TableContents"/>
              <w:bidi w:val="0"/>
              <w:spacing w:before="0" w:after="0"/>
              <w:ind w:left="0" w:right="0" w:hanging="0"/>
              <w:jc w:val="left"/>
              <w:rPr/>
            </w:pPr>
            <w:hyperlink w:anchor="Item5OtherInformation_120438">
              <w:r>
                <w:rPr>
                  <w:rStyle w:val="InternetLink"/>
                  <w:rFonts w:ascii="Times New Roman;Times;serif" w:hAnsi="Times New Roman;Times;serif"/>
                  <w:b w:val="false"/>
                  <w:i w:val="false"/>
                  <w:caps w:val="false"/>
                  <w:smallCaps w:val="false"/>
                  <w:sz w:val="20"/>
                </w:rPr>
                <w:t>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left"/>
              <w:rPr/>
            </w:pPr>
            <w:hyperlink w:anchor="Item6Exhibits_961876">
              <w:r>
                <w:rPr>
                  <w:rStyle w:val="InternetLink"/>
                  <w:rFonts w:ascii="Times New Roman;Times;serif" w:hAnsi="Times New Roman;Times;serif"/>
                  <w:b w:val="false"/>
                  <w:i w:val="false"/>
                  <w:caps w:val="false"/>
                  <w:smallCaps w:val="false"/>
                  <w:sz w:val="20"/>
                </w:rPr>
                <w:t>Item 6.</w:t>
              </w:r>
            </w:hyperlink>
          </w:p>
        </w:tc>
        <w:tc>
          <w:tcPr>
            <w:tcW w:w="8823" w:type="dxa"/>
            <w:tcBorders/>
            <w:shd w:fill="CCEEFF" w:val="clear"/>
            <w:vAlign w:val="center"/>
          </w:tcPr>
          <w:p>
            <w:pPr>
              <w:pStyle w:val="TableContents"/>
              <w:bidi w:val="0"/>
              <w:spacing w:before="0" w:after="0"/>
              <w:ind w:left="0" w:right="0" w:hanging="0"/>
              <w:jc w:val="left"/>
              <w:rPr/>
            </w:pPr>
            <w:hyperlink w:anchor="Item6Exhibits_961876">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left"/>
              <w:rPr/>
            </w:pPr>
            <w:hyperlink w:anchor="SIGNATURES_758373">
              <w:r>
                <w:rPr>
                  <w:rStyle w:val="InternetLink"/>
                  <w:rFonts w:ascii="Times New Roman;Times;serif" w:hAnsi="Times New Roman;Times;serif"/>
                  <w:b/>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1" w:name="PART1FINANCIALINFORMATION_582210"/>
      <w:bookmarkStart w:id="32" w:name="_fc816d33_405f_4448_ac5d_9520201cd51b"/>
      <w:bookmarkEnd w:id="31"/>
      <w:bookmarkEnd w:id="32"/>
      <w:r>
        <w:rPr>
          <w:rFonts w:ascii="Times New Roman;Times;serif" w:hAnsi="Times New Roman;Times;serif"/>
          <w:b/>
          <w:sz w:val="20"/>
        </w:rPr>
        <w:t>PART 1 - FINANCIAL INFORMATION</w:t>
      </w:r>
    </w:p>
    <w:p>
      <w:pPr>
        <w:pStyle w:val="TextBody"/>
        <w:bidi w:val="0"/>
        <w:spacing w:before="0" w:after="240"/>
        <w:ind w:left="0" w:right="0" w:firstLine="36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b/>
          <w:sz w:val="18"/>
        </w:rPr>
      </w:pPr>
      <w:bookmarkStart w:id="33" w:name="CONDENSEDBALANCESHEET_623729"/>
      <w:bookmarkStart w:id="34" w:name="_48698"/>
      <w:bookmarkEnd w:id="33"/>
      <w:bookmarkEnd w:id="34"/>
      <w:r>
        <w:rPr>
          <w:rFonts w:ascii="Times New Roman;Times;serif" w:hAnsi="Times New Roman;Times;serif"/>
          <w:b/>
          <w:sz w:val="20"/>
        </w:rPr>
        <w:t xml:space="preserve">CONDENSED </w:t>
      </w:r>
      <w:r>
        <w:rPr>
          <w:rFonts w:ascii="Times New Roman;Times;serif" w:hAnsi="Times New Roman;Times;serif"/>
          <w:b/>
          <w:sz w:val="18"/>
        </w:rPr>
        <w:t xml:space="preserve">CONSOLIDATED </w:t>
      </w:r>
      <w:r>
        <w:rPr>
          <w:rFonts w:ascii="Times New Roman;Times;serif" w:hAnsi="Times New Roman;Times;serif"/>
          <w:b/>
          <w:sz w:val="20"/>
        </w:rPr>
        <w:t>BALANCE SHEETS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5" w:name="Tc_oQTb-eA_1ki3_c6NiFRJvQ_38_5"/>
      <w:bookmarkStart w:id="36" w:name="Tc_75Kgs7fioEq7eP_puVDg2Q_38_2"/>
      <w:bookmarkStart w:id="37" w:name="Tc_oSHuI-GRl0WO0lqgBW2AmQ_38_0"/>
      <w:bookmarkStart w:id="38" w:name="Tc_lgCifymfrUe3kbUPPSdAAQ_37_0"/>
      <w:bookmarkStart w:id="39" w:name="Tc_1Saj6BKM9UWJZ-TYl1VMVQ_36_0"/>
      <w:bookmarkStart w:id="40" w:name="Tc_FPixmD-cG06a9dBall4Pyg_35_6"/>
      <w:bookmarkStart w:id="41" w:name="Tc_745cHfzma06VwTbNaUt-tw_35_3"/>
      <w:bookmarkStart w:id="42" w:name="Tc_9J1JlCjfVkWOy-u882gS4g_35_0"/>
      <w:bookmarkStart w:id="43" w:name="Tc_mOB77ZQljEauzrVWeIm3-A_34_6"/>
      <w:bookmarkStart w:id="44" w:name="Tc_YvDtWAFIJkComrl8yxRdVw_34_3"/>
      <w:bookmarkStart w:id="45" w:name="Tc_rvnmor-imEGJq7Cp6wecJg_34_0"/>
      <w:bookmarkStart w:id="46" w:name="Tc_tU3lfCdSIEaQHfv3Yru7Fw_33_0"/>
      <w:bookmarkStart w:id="47" w:name="Tc_6uTXj08xGke5wpRI8blNHQ_32_0"/>
      <w:bookmarkStart w:id="48" w:name="Tc_gqXG1UehH0mw-x15lxR5aQ_31_0"/>
      <w:bookmarkStart w:id="49" w:name="Tc_RxVV1OKsgUWB8OhGF3HB3A_30_0"/>
      <w:bookmarkStart w:id="50" w:name="Tc_ecYwmLVNIkWGm1M6CJ1w0g_29_0"/>
      <w:bookmarkStart w:id="51" w:name="Tc_MdRiRrVqaU2eTe8guJzdtQ_27_0"/>
      <w:bookmarkStart w:id="52" w:name="Tc_sntbVMLwPUmQi6fa3ZCT9w_26_0"/>
      <w:bookmarkStart w:id="53" w:name="Tc_zfllYcw3pU22tx3vIG9Hrg_25_0"/>
      <w:bookmarkStart w:id="54" w:name="Tc_mvgmmtNirUSF3bak_5XQVA_24_0"/>
      <w:bookmarkStart w:id="55" w:name="Tc_rtny8EqX9kyMuoIZ46nonA_23_6"/>
      <w:bookmarkStart w:id="56" w:name="Tc_kq7jzlkL1kyHDqnp0C4GGQ_23_0"/>
      <w:bookmarkStart w:id="57" w:name="Tc_T6KvIo0s2k2EcUcQ3JnHnw_22_0"/>
      <w:bookmarkStart w:id="58" w:name="Tc_G3wxvhPea0KMr4tfNFM68Q_21_6"/>
      <w:bookmarkStart w:id="59" w:name="Tc_yDnbWwSQ5EaUCyYNab8sLw_20_0"/>
      <w:bookmarkStart w:id="60" w:name="Tc_FyHtpFKqx0yC-VRp96WwHA_19_3"/>
      <w:bookmarkStart w:id="61" w:name="Tc_TYcxiYz-aEqGBGVsOkA8Cw_19_0"/>
      <w:bookmarkStart w:id="62" w:name="Tc_08rBU-rOZUmOsD7LhqzgOg_18_0"/>
      <w:bookmarkStart w:id="63" w:name="Tc_QzZ42eyzXkmxfTPHFFwC8g_17_0"/>
      <w:bookmarkStart w:id="64" w:name="Tc_aI1eJ1OndUKb7mSem_WG8w_16_5"/>
      <w:bookmarkStart w:id="65" w:name="Tc_l6-24us6Nk-Cy-vm8A2kJg_16_2"/>
      <w:bookmarkStart w:id="66" w:name="Tc_zqqUlOPX7kaPHgO58PNEMQ_16_0"/>
      <w:bookmarkStart w:id="67" w:name="Tc_fD6UQrloFkWN_SZI_EpOeQ_15_0"/>
      <w:bookmarkStart w:id="68" w:name="Tc_-jnz_pSfTk-mHYBZx0O2cg_14_0"/>
      <w:bookmarkStart w:id="69" w:name="Tc_U0Ok9HIrbEm7lQwnRg0woA_12_5"/>
      <w:bookmarkStart w:id="70" w:name="Tc_UEtHzhp1QkOyRfk7pcnz8A_12_2"/>
      <w:bookmarkStart w:id="71" w:name="Tc_GQ8QBkoeiUmY2pqphRnckA_12_0"/>
      <w:bookmarkStart w:id="72" w:name="Tc_pMtnlojP30GPfNKe7auYgQ_11_0"/>
      <w:bookmarkStart w:id="73" w:name="Tc_ArtZzfzhjUa6gE7Sw0l4DQ_10_0"/>
      <w:bookmarkStart w:id="74" w:name="Tc_B0tEFWFJD0GdC1awsPZAnA_9_6"/>
      <w:bookmarkStart w:id="75" w:name="Tc_u7MgIR_4fUWNdYiAc1frTw_9_0"/>
      <w:bookmarkStart w:id="76" w:name="Tc_I7H5IOvEj0qKu2TFTBMGkQ_8_3"/>
      <w:bookmarkStart w:id="77" w:name="Tc_LaRfP8ZtTEuSAVW_b_hGtg_8_0"/>
      <w:bookmarkStart w:id="78" w:name="Tc_JPU1WvAUZE2WQ3JfUgmlAg_7_0"/>
      <w:bookmarkStart w:id="79" w:name="Tc_QS36o1q0WkWYRordsqL41Q_6_0"/>
      <w:bookmarkStart w:id="80" w:name="Tc_MWCkgfYZKE2YecZzxGDPaw_5_6"/>
      <w:bookmarkStart w:id="81" w:name="Tc_O_EyOpc9rE-tXo5cwXun6A_5_5"/>
      <w:bookmarkStart w:id="82" w:name="Tc_KkcJKJbi0kaLeUqO6837Bw_5_3"/>
      <w:bookmarkStart w:id="83" w:name="Tc_4iNEdTAShkClX23C0yU-aQ_5_2"/>
      <w:bookmarkStart w:id="84" w:name="Tc_I2g1mtr8j0uH1ivUrzhDpQ_5_0"/>
      <w:bookmarkStart w:id="85" w:name="Tc_FbXAF3T2BUSs-zrucmYn5A_4_0"/>
      <w:bookmarkStart w:id="86" w:name="Tc_bzbrLtT7FUiEKoYKHS8ang_3_0"/>
      <w:bookmarkStart w:id="87" w:name="Tc_bfxeWcmxiUilipkk_Wu0vg_2_2"/>
      <w:bookmarkStart w:id="88" w:name="Tc_-uCOiCJon0ayHJifS_QKvA_1_5"/>
      <w:bookmarkStart w:id="89" w:name="Tc_hujzMouE2EGhMT5Db7SqhA_1_2"/>
      <w:bookmarkStart w:id="90" w:name="_3c68b537_3aa2_4ee9_85d8_a5869547635c"/>
      <w:bookmarkStart w:id="91" w:name="Tc_oQTb-eA_1ki3_c6NiFRJvQ_38_5"/>
      <w:bookmarkStart w:id="92" w:name="Tc_75Kgs7fioEq7eP_puVDg2Q_38_2"/>
      <w:bookmarkStart w:id="93" w:name="Tc_oSHuI-GRl0WO0lqgBW2AmQ_38_0"/>
      <w:bookmarkStart w:id="94" w:name="Tc_lgCifymfrUe3kbUPPSdAAQ_37_0"/>
      <w:bookmarkStart w:id="95" w:name="Tc_1Saj6BKM9UWJZ-TYl1VMVQ_36_0"/>
      <w:bookmarkStart w:id="96" w:name="Tc_FPixmD-cG06a9dBall4Pyg_35_6"/>
      <w:bookmarkStart w:id="97" w:name="Tc_745cHfzma06VwTbNaUt-tw_35_3"/>
      <w:bookmarkStart w:id="98" w:name="Tc_9J1JlCjfVkWOy-u882gS4g_35_0"/>
      <w:bookmarkStart w:id="99" w:name="Tc_mOB77ZQljEauzrVWeIm3-A_34_6"/>
      <w:bookmarkStart w:id="100" w:name="Tc_YvDtWAFIJkComrl8yxRdVw_34_3"/>
      <w:bookmarkStart w:id="101" w:name="Tc_rvnmor-imEGJq7Cp6wecJg_34_0"/>
      <w:bookmarkStart w:id="102" w:name="Tc_tU3lfCdSIEaQHfv3Yru7Fw_33_0"/>
      <w:bookmarkStart w:id="103" w:name="Tc_6uTXj08xGke5wpRI8blNHQ_32_0"/>
      <w:bookmarkStart w:id="104" w:name="Tc_gqXG1UehH0mw-x15lxR5aQ_31_0"/>
      <w:bookmarkStart w:id="105" w:name="Tc_RxVV1OKsgUWB8OhGF3HB3A_30_0"/>
      <w:bookmarkStart w:id="106" w:name="Tc_ecYwmLVNIkWGm1M6CJ1w0g_29_0"/>
      <w:bookmarkStart w:id="107" w:name="Tc_MdRiRrVqaU2eTe8guJzdtQ_27_0"/>
      <w:bookmarkStart w:id="108" w:name="Tc_sntbVMLwPUmQi6fa3ZCT9w_26_0"/>
      <w:bookmarkStart w:id="109" w:name="Tc_zfllYcw3pU22tx3vIG9Hrg_25_0"/>
      <w:bookmarkStart w:id="110" w:name="Tc_mvgmmtNirUSF3bak_5XQVA_24_0"/>
      <w:bookmarkStart w:id="111" w:name="Tc_rtny8EqX9kyMuoIZ46nonA_23_6"/>
      <w:bookmarkStart w:id="112" w:name="Tc_kq7jzlkL1kyHDqnp0C4GGQ_23_0"/>
      <w:bookmarkStart w:id="113" w:name="Tc_T6KvIo0s2k2EcUcQ3JnHnw_22_0"/>
      <w:bookmarkStart w:id="114" w:name="Tc_G3wxvhPea0KMr4tfNFM68Q_21_6"/>
      <w:bookmarkStart w:id="115" w:name="Tc_yDnbWwSQ5EaUCyYNab8sLw_20_0"/>
      <w:bookmarkStart w:id="116" w:name="Tc_FyHtpFKqx0yC-VRp96WwHA_19_3"/>
      <w:bookmarkStart w:id="117" w:name="Tc_TYcxiYz-aEqGBGVsOkA8Cw_19_0"/>
      <w:bookmarkStart w:id="118" w:name="Tc_08rBU-rOZUmOsD7LhqzgOg_18_0"/>
      <w:bookmarkStart w:id="119" w:name="Tc_QzZ42eyzXkmxfTPHFFwC8g_17_0"/>
      <w:bookmarkStart w:id="120" w:name="Tc_aI1eJ1OndUKb7mSem_WG8w_16_5"/>
      <w:bookmarkStart w:id="121" w:name="Tc_l6-24us6Nk-Cy-vm8A2kJg_16_2"/>
      <w:bookmarkStart w:id="122" w:name="Tc_zqqUlOPX7kaPHgO58PNEMQ_16_0"/>
      <w:bookmarkStart w:id="123" w:name="Tc_fD6UQrloFkWN_SZI_EpOeQ_15_0"/>
      <w:bookmarkStart w:id="124" w:name="Tc_-jnz_pSfTk-mHYBZx0O2cg_14_0"/>
      <w:bookmarkStart w:id="125" w:name="Tc_U0Ok9HIrbEm7lQwnRg0woA_12_5"/>
      <w:bookmarkStart w:id="126" w:name="Tc_UEtHzhp1QkOyRfk7pcnz8A_12_2"/>
      <w:bookmarkStart w:id="127" w:name="Tc_GQ8QBkoeiUmY2pqphRnckA_12_0"/>
      <w:bookmarkStart w:id="128" w:name="Tc_pMtnlojP30GPfNKe7auYgQ_11_0"/>
      <w:bookmarkStart w:id="129" w:name="Tc_ArtZzfzhjUa6gE7Sw0l4DQ_10_0"/>
      <w:bookmarkStart w:id="130" w:name="Tc_B0tEFWFJD0GdC1awsPZAnA_9_6"/>
      <w:bookmarkStart w:id="131" w:name="Tc_u7MgIR_4fUWNdYiAc1frTw_9_0"/>
      <w:bookmarkStart w:id="132" w:name="Tc_I7H5IOvEj0qKu2TFTBMGkQ_8_3"/>
      <w:bookmarkStart w:id="133" w:name="Tc_LaRfP8ZtTEuSAVW_b_hGtg_8_0"/>
      <w:bookmarkStart w:id="134" w:name="Tc_JPU1WvAUZE2WQ3JfUgmlAg_7_0"/>
      <w:bookmarkStart w:id="135" w:name="Tc_QS36o1q0WkWYRordsqL41Q_6_0"/>
      <w:bookmarkStart w:id="136" w:name="Tc_MWCkgfYZKE2YecZzxGDPaw_5_6"/>
      <w:bookmarkStart w:id="137" w:name="Tc_O_EyOpc9rE-tXo5cwXun6A_5_5"/>
      <w:bookmarkStart w:id="138" w:name="Tc_KkcJKJbi0kaLeUqO6837Bw_5_3"/>
      <w:bookmarkStart w:id="139" w:name="Tc_4iNEdTAShkClX23C0yU-aQ_5_2"/>
      <w:bookmarkStart w:id="140" w:name="Tc_I2g1mtr8j0uH1ivUrzhDpQ_5_0"/>
      <w:bookmarkStart w:id="141" w:name="Tc_FbXAF3T2BUSs-zrucmYn5A_4_0"/>
      <w:bookmarkStart w:id="142" w:name="Tc_bzbrLtT7FUiEKoYKHS8ang_3_0"/>
      <w:bookmarkStart w:id="143" w:name="Tc_bfxeWcmxiUilipkk_Wu0vg_2_2"/>
      <w:bookmarkStart w:id="144" w:name="Tc_-uCOiCJon0ayHJifS_QKvA_1_5"/>
      <w:bookmarkStart w:id="145" w:name="Tc_hujzMouE2EGhMT5Db7SqhA_1_2"/>
      <w:bookmarkStart w:id="146" w:name="_3c68b537_3aa2_4ee9_85d8_a5869547635c"/>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W w:w="10205" w:type="dxa"/>
        <w:jc w:val="left"/>
        <w:tblInd w:w="0" w:type="dxa"/>
        <w:tblLayout w:type="fixed"/>
        <w:tblCellMar>
          <w:top w:w="0" w:type="dxa"/>
          <w:left w:w="0" w:type="dxa"/>
          <w:bottom w:w="0" w:type="dxa"/>
          <w:right w:w="0" w:type="dxa"/>
        </w:tblCellMar>
      </w:tblPr>
      <w:tblGrid>
        <w:gridCol w:w="6689"/>
        <w:gridCol w:w="326"/>
        <w:gridCol w:w="211"/>
        <w:gridCol w:w="1106"/>
        <w:gridCol w:w="326"/>
        <w:gridCol w:w="241"/>
        <w:gridCol w:w="1306"/>
      </w:tblGrid>
      <w:tr>
        <w:trPr/>
        <w:tc>
          <w:tcPr>
            <w:tcW w:w="6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247515" cy="175260"/>
                      <wp:effectExtent l="0" t="0" r="0" b="0"/>
                      <wp:wrapNone/>
                      <wp:docPr id="2" name="Frame2"/>
                      <a:graphic xmlns:a="http://schemas.openxmlformats.org/drawingml/2006/main">
                        <a:graphicData uri="http://schemas.microsoft.com/office/word/2010/wordprocessingShape">
                          <wps:wsp>
                            <wps:cNvSpPr txBox="1"/>
                            <wps:spPr>
                              <a:xfrm>
                                <a:off x="0" y="0"/>
                                <a:ext cx="424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02310" cy="175260"/>
                      <wp:effectExtent l="0" t="0" r="0" b="0"/>
                      <wp:wrapNone/>
                      <wp:docPr id="5" name="Frame5"/>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3035" cy="175260"/>
                      <wp:effectExtent l="0" t="0" r="0" b="0"/>
                      <wp:wrapNone/>
                      <wp:docPr id="7" name="Frame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829310" cy="175260"/>
                      <wp:effectExtent l="0" t="0" r="0" b="0"/>
                      <wp:wrapNone/>
                      <wp:docPr id="8" name="Frame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6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1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26" w:type="dxa"/>
            <w:tcBorders/>
            <w:vAlign w:val="center"/>
          </w:tcPr>
          <w:p>
            <w:pPr>
              <w:pStyle w:val="TableContents"/>
              <w:bidi w:val="0"/>
              <w:spacing w:before="0" w:after="1"/>
              <w:ind w:left="0" w:right="0" w:hanging="0"/>
              <w:jc w:val="left"/>
              <w:rPr/>
            </w:pPr>
            <w:r>
              <w:rPr/>
              <w:t>​</w:t>
            </w:r>
          </w:p>
        </w:tc>
        <w:tc>
          <w:tcPr>
            <w:tcW w:w="1547" w:type="dxa"/>
            <w:gridSpan w:val="2"/>
            <w:tcBorders/>
            <w:vAlign w:val="center"/>
          </w:tcPr>
          <w:p>
            <w:pPr>
              <w:pStyle w:val="TableContents"/>
              <w:bidi w:val="0"/>
              <w:spacing w:before="0" w:after="1"/>
              <w:ind w:left="0" w:right="0" w:hanging="0"/>
              <w:jc w:val="center"/>
              <w:rPr/>
            </w:pPr>
            <w:r>
              <w:rPr/>
              <w:t>​</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1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center"/>
              <w:rPr/>
            </w:pPr>
            <w:r>
              <w:rPr/>
              <w:t>​</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pPr>
            <w:r>
              <w:rPr/>
              <w:t>​</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26,944</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843,313</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sponsor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109,118</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318,888</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Trust Account - Restricted for Redeeming Shareholders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24,539,002</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45,500</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181,562</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25,701,203</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held in Trust Account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48,885,820</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46,893,175</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49,067,382</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3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72,594,378</w:t>
            </w:r>
          </w:p>
        </w:tc>
      </w:tr>
      <w:tr>
        <w:trPr/>
        <w:tc>
          <w:tcPr>
            <w:tcW w:w="668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pPr>
            <w:r>
              <w:rPr/>
              <w:t>​</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2,530,021</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2,123,846</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tax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35,800</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to Trust Account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109,118</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318,888</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Redeemed stock payable to public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24,539,002</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promissory note - related party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810,345</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sponsor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1,059,551</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283,838</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1,027,644</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Liability - Backstop Subscription Agreement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356,847</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Excise Tax Payable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2,523,150</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2,523,150</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8,462,525</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31,378,675</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underwriting commissions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10,062,500</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10,062,500</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18,525,025</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41,441,175</w:t>
            </w:r>
          </w:p>
        </w:tc>
      </w:tr>
      <w:tr>
        <w:trPr/>
        <w:tc>
          <w:tcPr>
            <w:tcW w:w="6689"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pPr>
            <w:r>
              <w:rPr/>
              <w:t>​</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 subject to possible redemption, 4,345,663 shares at redemption value of approximately $11.19 and $10.81 as of June 30, 2024 and December 31, 2023, respectively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48,638,044</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46,991,932</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$0.0001 par value; 1,000,000 shares authorized; none issued and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 $0.0001 par value; 280,000,000 shares authorized; 10,817,000 shares issued and outstanding (excluding 4,345,663 shares subject to possible redemption) as of June 30, 2024 and 10,817,000 shares issued and outstanding (excluding 4,345,663 shares subject to possible redemption and 2,285,040 shares to be redeemed) as of December 31,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Class B common stock, $0.0001 par value; 20,000,000 shares authorized; 0 shares issued and outstanding as of June 30, 2024 and December 31, 2023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pPr>
            <w:r>
              <w:rPr/>
              <w:t>—</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pPr>
            <w:r>
              <w:rPr/>
              <w:t>—</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(18,096,769)</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(15,839,811)</w:t>
            </w:r>
          </w:p>
        </w:tc>
      </w:tr>
      <w:tr>
        <w:trPr/>
        <w:tc>
          <w:tcPr>
            <w:tcW w:w="668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(18,095,687)</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(15,838,729)</w:t>
            </w:r>
          </w:p>
        </w:tc>
      </w:tr>
      <w:tr>
        <w:trPr/>
        <w:tc>
          <w:tcPr>
            <w:tcW w:w="668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49,067,382</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3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72,594,378</w:t>
            </w:r>
          </w:p>
        </w:tc>
      </w:tr>
    </w:tbl>
    <w:p>
      <w:pPr>
        <w:pStyle w:val="TextBody"/>
        <w:bidi w:val="0"/>
        <w:spacing w:before="0" w:after="240"/>
        <w:ind w:left="0" w:right="0" w:hanging="0"/>
        <w:jc w:val="both"/>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7" w:name="_66cbc815_5ef4_4ae8_bad8_653fe360e524"/>
      <w:bookmarkEnd w:id="147"/>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b/>
          <w:sz w:val="18"/>
        </w:rPr>
      </w:pPr>
      <w:bookmarkStart w:id="148" w:name="CONDENSEDSTATEMENTOFOPERATIONS_937812"/>
      <w:bookmarkStart w:id="149" w:name="_862950"/>
      <w:bookmarkEnd w:id="148"/>
      <w:bookmarkEnd w:id="149"/>
      <w:r>
        <w:rPr>
          <w:rFonts w:ascii="Times New Roman;Times;serif" w:hAnsi="Times New Roman;Times;serif"/>
          <w:b/>
          <w:sz w:val="20"/>
        </w:rPr>
        <w:t xml:space="preserve">CONDENSED </w:t>
      </w:r>
      <w:r>
        <w:rPr>
          <w:rFonts w:ascii="Times New Roman;Times;serif" w:hAnsi="Times New Roman;Times;serif"/>
          <w:b/>
          <w:sz w:val="18"/>
        </w:rPr>
        <w:t xml:space="preserve">CONSOLIDATED </w:t>
      </w:r>
      <w:r>
        <w:rPr>
          <w:rFonts w:ascii="Times New Roman;Times;serif" w:hAnsi="Times New Roman;Times;serif"/>
          <w:b/>
          <w:sz w:val="20"/>
        </w:rPr>
        <w:t>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0" w:name="Tc_vCJfdVTmIUOo0Wfqp2DHRg_22_11"/>
      <w:bookmarkStart w:id="151" w:name="Tc_VwGejSYdokK-CEJg7_hh-g_22_9"/>
      <w:bookmarkStart w:id="152" w:name="Tc_TkQ0_SoxO0WsQZIjp2UXLg_22_8"/>
      <w:bookmarkStart w:id="153" w:name="Tc_LQi3zK_TwEqFz9cExNoyNQ_22_5"/>
      <w:bookmarkStart w:id="154" w:name="Tc_3RAfUq-laU2tLD9yWJbCvQ_22_3"/>
      <w:bookmarkStart w:id="155" w:name="Tc_KMUyHuJfHUqByhD9Q4fNUw_22_2"/>
      <w:bookmarkStart w:id="156" w:name="Tc_bJ2Ryl7cLUKUslWkISyBfA_22_0"/>
      <w:bookmarkStart w:id="157" w:name="Tc_Yf03DSfzIkOQcwrqIXm9xg_21_9"/>
      <w:bookmarkStart w:id="158" w:name="Tc_mfj3IMypM06hJzgijCS6Gw_21_3"/>
      <w:bookmarkStart w:id="159" w:name="Tc_SVUufImgqEmLH3xHOWSjig_21_0"/>
      <w:bookmarkStart w:id="160" w:name="Tc_jkvdogSfHUe_-SHUiIa5WQ_20_11"/>
      <w:bookmarkStart w:id="161" w:name="Tc_OyPWtRd4VU2NvnMKNvO86Q_20_8"/>
      <w:bookmarkStart w:id="162" w:name="Tc_XTH1CaDFwEaExSEyzzD0rQ_20_5"/>
      <w:bookmarkStart w:id="163" w:name="Tc_6ACupwLWJEWW8uNdXd7qfQ_20_2"/>
      <w:bookmarkStart w:id="164" w:name="Tc_fmtXTGeWEki0LKTN7a3Uhw_20_0"/>
      <w:bookmarkStart w:id="165" w:name="Tc_u54sc-yxQE2zVfBZSPWtqQ_19_0"/>
      <w:bookmarkStart w:id="166" w:name="Tc_tkZ9p9-RWkORzIbZ-Z-8OA_18_11"/>
      <w:bookmarkStart w:id="167" w:name="Tc_NSLnSfu7LUGEGnuT-uC93Q_18_8"/>
      <w:bookmarkStart w:id="168" w:name="Tc_kEvYjC_mskytrP03GIOTCA_18_5"/>
      <w:bookmarkStart w:id="169" w:name="Tc_bjs5DTEN_kK8C2Yo8k9f4Q_18_2"/>
      <w:bookmarkStart w:id="170" w:name="Tc_WmCKOXwphk2gcoPfSiS6Yg_18_0"/>
      <w:bookmarkStart w:id="171" w:name="Tc_LM0CyxhELUObHJDgosvPUA_17_0"/>
      <w:bookmarkStart w:id="172" w:name="Tc_AQj6SjqbDEe2t9TmPb-Wew_15_11"/>
      <w:bookmarkStart w:id="173" w:name="Tc_U1GeRpjMaUS4lHXGdaxZTg_15_8"/>
      <w:bookmarkStart w:id="174" w:name="Tc_Dy8Av0oB3UCHH3OBl6-x6w_15_5"/>
      <w:bookmarkStart w:id="175" w:name="Tc_DSDrptZdm0CLsw2KBpxOjQ_15_2"/>
      <w:bookmarkStart w:id="176" w:name="Tc_f21_nlf9tUuuN5Wav21AUw_15_0"/>
      <w:bookmarkStart w:id="177" w:name="Tc_-TW54fZPUku02CNj1V78kw_14_0"/>
      <w:bookmarkStart w:id="178" w:name="Tc_kxqIc0lrok6XLh8Yr245fg_13_0"/>
      <w:bookmarkStart w:id="179" w:name="Tc_urJo6nhdgkijo5NHR6jn0Q_11_0"/>
      <w:bookmarkStart w:id="180" w:name="Tc_05CfyjCRukmXAYDXIZ0brA_10_12"/>
      <w:bookmarkStart w:id="181" w:name="Tc__CGYHLvxkkmMVDWVdhNNKA_10_6"/>
      <w:bookmarkStart w:id="182" w:name="Tc_GzyqiEKepU640IgeOToy0A_10_0"/>
      <w:bookmarkStart w:id="183" w:name="Tc_oysgUP6GsESEgdFHhNVOog_9_0"/>
      <w:bookmarkStart w:id="184" w:name="Tc_3SYNWTFPDE-z83hgQURE4w_8_0"/>
      <w:bookmarkStart w:id="185" w:name="Tc_zOIyEPrTIEOcRxjI7VTV4w_6_0"/>
      <w:bookmarkStart w:id="186" w:name="Tc_D1BcpigNbUikrRNjtUI7Qw_5_0"/>
      <w:bookmarkStart w:id="187" w:name="Tc_P0CUwbKnzEaq9yOT3inXzw_4_11"/>
      <w:bookmarkStart w:id="188" w:name="Tc_ATIcTek-ZEGUfPTJcYfaGg_4_8"/>
      <w:bookmarkStart w:id="189" w:name="Tc_yiwmMbVKHUKhU6fUXeE2Lg_4_5"/>
      <w:bookmarkStart w:id="190" w:name="Tc_MOn2EE3nR0yHTjg03hR5vQ_4_2"/>
      <w:bookmarkStart w:id="191" w:name="Tc_iSeLlT5SQEqnS_c7I2fuCg_4_0"/>
      <w:bookmarkStart w:id="192" w:name="Tc_GaPKZ7atMkS46cd5kgjKiA_3_11"/>
      <w:bookmarkStart w:id="193" w:name="Tc_cYHW9qotxUyCib9dcqpTyw_3_8"/>
      <w:bookmarkStart w:id="194" w:name="Tc_DqNzI2UdeUGmaIBf2L8VJg_3_5"/>
      <w:bookmarkStart w:id="195" w:name="Tc_klz-DX8qUEOAOW-HJfIruA_3_2"/>
      <w:bookmarkStart w:id="196" w:name="Tc_sgR4g471oEeXI2QP_AiOmA_2_8"/>
      <w:bookmarkStart w:id="197" w:name="Tc_EAxbCQRs40muBhYl9095FA_2_2"/>
      <w:bookmarkStart w:id="198" w:name="Tc_nXTkpQEET0ySY3WN5U4gHQ_1_8"/>
      <w:bookmarkStart w:id="199" w:name="Tc_PiTY78RZ40GsmeQMAjI5Uw_1_2"/>
      <w:bookmarkStart w:id="200" w:name="_67b8a6da_1fea_48e6_9f59_6e4ff13d6ba0"/>
      <w:bookmarkStart w:id="201" w:name="_42967f0c_931c_4a80_94b6_9f4e84fdb1b3"/>
      <w:bookmarkStart w:id="202" w:name="Tc_vCJfdVTmIUOo0Wfqp2DHRg_22_11"/>
      <w:bookmarkStart w:id="203" w:name="Tc_VwGejSYdokK-CEJg7_hh-g_22_9"/>
      <w:bookmarkStart w:id="204" w:name="Tc_TkQ0_SoxO0WsQZIjp2UXLg_22_8"/>
      <w:bookmarkStart w:id="205" w:name="Tc_LQi3zK_TwEqFz9cExNoyNQ_22_5"/>
      <w:bookmarkStart w:id="206" w:name="Tc_3RAfUq-laU2tLD9yWJbCvQ_22_3"/>
      <w:bookmarkStart w:id="207" w:name="Tc_KMUyHuJfHUqByhD9Q4fNUw_22_2"/>
      <w:bookmarkStart w:id="208" w:name="Tc_bJ2Ryl7cLUKUslWkISyBfA_22_0"/>
      <w:bookmarkStart w:id="209" w:name="Tc_Yf03DSfzIkOQcwrqIXm9xg_21_9"/>
      <w:bookmarkStart w:id="210" w:name="Tc_mfj3IMypM06hJzgijCS6Gw_21_3"/>
      <w:bookmarkStart w:id="211" w:name="Tc_SVUufImgqEmLH3xHOWSjig_21_0"/>
      <w:bookmarkStart w:id="212" w:name="Tc_jkvdogSfHUe_-SHUiIa5WQ_20_11"/>
      <w:bookmarkStart w:id="213" w:name="Tc_OyPWtRd4VU2NvnMKNvO86Q_20_8"/>
      <w:bookmarkStart w:id="214" w:name="Tc_XTH1CaDFwEaExSEyzzD0rQ_20_5"/>
      <w:bookmarkStart w:id="215" w:name="Tc_6ACupwLWJEWW8uNdXd7qfQ_20_2"/>
      <w:bookmarkStart w:id="216" w:name="Tc_fmtXTGeWEki0LKTN7a3Uhw_20_0"/>
      <w:bookmarkStart w:id="217" w:name="Tc_u54sc-yxQE2zVfBZSPWtqQ_19_0"/>
      <w:bookmarkStart w:id="218" w:name="Tc_tkZ9p9-RWkORzIbZ-Z-8OA_18_11"/>
      <w:bookmarkStart w:id="219" w:name="Tc_NSLnSfu7LUGEGnuT-uC93Q_18_8"/>
      <w:bookmarkStart w:id="220" w:name="Tc_kEvYjC_mskytrP03GIOTCA_18_5"/>
      <w:bookmarkStart w:id="221" w:name="Tc_bjs5DTEN_kK8C2Yo8k9f4Q_18_2"/>
      <w:bookmarkStart w:id="222" w:name="Tc_WmCKOXwphk2gcoPfSiS6Yg_18_0"/>
      <w:bookmarkStart w:id="223" w:name="Tc_LM0CyxhELUObHJDgosvPUA_17_0"/>
      <w:bookmarkStart w:id="224" w:name="Tc_AQj6SjqbDEe2t9TmPb-Wew_15_11"/>
      <w:bookmarkStart w:id="225" w:name="Tc_U1GeRpjMaUS4lHXGdaxZTg_15_8"/>
      <w:bookmarkStart w:id="226" w:name="Tc_Dy8Av0oB3UCHH3OBl6-x6w_15_5"/>
      <w:bookmarkStart w:id="227" w:name="Tc_DSDrptZdm0CLsw2KBpxOjQ_15_2"/>
      <w:bookmarkStart w:id="228" w:name="Tc_f21_nlf9tUuuN5Wav21AUw_15_0"/>
      <w:bookmarkStart w:id="229" w:name="Tc_-TW54fZPUku02CNj1V78kw_14_0"/>
      <w:bookmarkStart w:id="230" w:name="Tc_kxqIc0lrok6XLh8Yr245fg_13_0"/>
      <w:bookmarkStart w:id="231" w:name="Tc_urJo6nhdgkijo5NHR6jn0Q_11_0"/>
      <w:bookmarkStart w:id="232" w:name="Tc_05CfyjCRukmXAYDXIZ0brA_10_12"/>
      <w:bookmarkStart w:id="233" w:name="Tc__CGYHLvxkkmMVDWVdhNNKA_10_6"/>
      <w:bookmarkStart w:id="234" w:name="Tc_GzyqiEKepU640IgeOToy0A_10_0"/>
      <w:bookmarkStart w:id="235" w:name="Tc_oysgUP6GsESEgdFHhNVOog_9_0"/>
      <w:bookmarkStart w:id="236" w:name="Tc_3SYNWTFPDE-z83hgQURE4w_8_0"/>
      <w:bookmarkStart w:id="237" w:name="Tc_zOIyEPrTIEOcRxjI7VTV4w_6_0"/>
      <w:bookmarkStart w:id="238" w:name="Tc_D1BcpigNbUikrRNjtUI7Qw_5_0"/>
      <w:bookmarkStart w:id="239" w:name="Tc_P0CUwbKnzEaq9yOT3inXzw_4_11"/>
      <w:bookmarkStart w:id="240" w:name="Tc_ATIcTek-ZEGUfPTJcYfaGg_4_8"/>
      <w:bookmarkStart w:id="241" w:name="Tc_yiwmMbVKHUKhU6fUXeE2Lg_4_5"/>
      <w:bookmarkStart w:id="242" w:name="Tc_MOn2EE3nR0yHTjg03hR5vQ_4_2"/>
      <w:bookmarkStart w:id="243" w:name="Tc_iSeLlT5SQEqnS_c7I2fuCg_4_0"/>
      <w:bookmarkStart w:id="244" w:name="Tc_GaPKZ7atMkS46cd5kgjKiA_3_11"/>
      <w:bookmarkStart w:id="245" w:name="Tc_cYHW9qotxUyCib9dcqpTyw_3_8"/>
      <w:bookmarkStart w:id="246" w:name="Tc_DqNzI2UdeUGmaIBf2L8VJg_3_5"/>
      <w:bookmarkStart w:id="247" w:name="Tc_klz-DX8qUEOAOW-HJfIruA_3_2"/>
      <w:bookmarkStart w:id="248" w:name="Tc_sgR4g471oEeXI2QP_AiOmA_2_8"/>
      <w:bookmarkStart w:id="249" w:name="Tc_EAxbCQRs40muBhYl9095FA_2_2"/>
      <w:bookmarkStart w:id="250" w:name="Tc_nXTkpQEET0ySY3WN5U4gHQ_1_8"/>
      <w:bookmarkStart w:id="251" w:name="Tc_PiTY78RZ40GsmeQMAjI5Uw_1_2"/>
      <w:bookmarkStart w:id="252" w:name="_67b8a6da_1fea_48e6_9f59_6e4ff13d6ba0"/>
      <w:bookmarkStart w:id="253" w:name="_42967f0c_931c_4a80_94b6_9f4e84fdb1b3"/>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tbl>
      <w:tblPr>
        <w:tblW w:w="10205" w:type="dxa"/>
        <w:jc w:val="left"/>
        <w:tblInd w:w="0" w:type="dxa"/>
        <w:tblLayout w:type="fixed"/>
        <w:tblCellMar>
          <w:top w:w="0" w:type="dxa"/>
          <w:left w:w="0" w:type="dxa"/>
          <w:bottom w:w="0" w:type="dxa"/>
          <w:right w:w="0" w:type="dxa"/>
        </w:tblCellMar>
      </w:tblPr>
      <w:tblGrid>
        <w:gridCol w:w="3962"/>
        <w:gridCol w:w="326"/>
        <w:gridCol w:w="211"/>
        <w:gridCol w:w="1036"/>
        <w:gridCol w:w="326"/>
        <w:gridCol w:w="211"/>
        <w:gridCol w:w="931"/>
        <w:gridCol w:w="326"/>
        <w:gridCol w:w="211"/>
        <w:gridCol w:w="1041"/>
        <w:gridCol w:w="326"/>
        <w:gridCol w:w="211"/>
        <w:gridCol w:w="1087"/>
      </w:tblGrid>
      <w:tr>
        <w:trPr/>
        <w:tc>
          <w:tcPr>
            <w:tcW w:w="3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515870" cy="175260"/>
                      <wp:effectExtent l="0" t="0" r="0" b="0"/>
                      <wp:wrapNone/>
                      <wp:docPr id="9" name="Frame9"/>
                      <a:graphic xmlns:a="http://schemas.openxmlformats.org/drawingml/2006/main">
                        <a:graphicData uri="http://schemas.microsoft.com/office/word/2010/wordprocessingShape">
                          <wps:wsp>
                            <wps:cNvSpPr txBox="1"/>
                            <wps:spPr>
                              <a:xfrm>
                                <a:off x="0" y="0"/>
                                <a:ext cx="2515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5" name="Frame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1035" cy="175260"/>
                      <wp:effectExtent l="0" t="0" r="0" b="0"/>
                      <wp:wrapNone/>
                      <wp:docPr id="18" name="Frame18"/>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0245" cy="175260"/>
                      <wp:effectExtent l="0" t="0" r="0" b="0"/>
                      <wp:wrapNone/>
                      <wp:docPr id="21" name="Frame21"/>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87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287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698,339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506,455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1,117,892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1,207,994</w:t>
            </w:r>
          </w:p>
        </w:tc>
      </w:tr>
      <w:tr>
        <w:trPr/>
        <w:tc>
          <w:tcPr>
            <w:tcW w:w="396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244,271</w:t>
            </w:r>
          </w:p>
        </w:tc>
      </w:tr>
      <w:tr>
        <w:trPr/>
        <w:tc>
          <w:tcPr>
            <w:tcW w:w="396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(748,339)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(556,455)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(1,224,151)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(1,452,265)</w:t>
            </w:r>
          </w:p>
        </w:tc>
      </w:tr>
      <w:tr>
        <w:trPr/>
        <w:tc>
          <w:tcPr>
            <w:tcW w:w="3962"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right"/>
              <w:rPr/>
            </w:pPr>
            <w:r>
              <w:rPr/>
              <w:t>​</w:t>
            </w:r>
          </w:p>
        </w:tc>
      </w:tr>
      <w:tr>
        <w:trPr/>
        <w:tc>
          <w:tcPr>
            <w:tcW w:w="39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pPr>
            <w:r>
              <w:rPr/>
              <w:t>​</w:t>
            </w:r>
          </w:p>
        </w:tc>
      </w:tr>
      <w:tr>
        <w:trPr/>
        <w:tc>
          <w:tcPr>
            <w:tcW w:w="396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earned on Trust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625,916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823,682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1,253,990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3,899,411</w:t>
            </w:r>
          </w:p>
        </w:tc>
      </w:tr>
      <w:tr>
        <w:trPr/>
        <w:tc>
          <w:tcPr>
            <w:tcW w:w="39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 – Backstop Subscription Agreement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(356,847)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(356,847)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6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269,069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823,682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897,143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3,899,411</w:t>
            </w:r>
          </w:p>
        </w:tc>
      </w:tr>
      <w:tr>
        <w:trPr/>
        <w:tc>
          <w:tcPr>
            <w:tcW w:w="3962" w:type="dxa"/>
            <w:tcBorders/>
            <w:shd w:fill="CCEEFF" w:val="clear"/>
            <w:vAlign w:val="center"/>
          </w:tcPr>
          <w:p>
            <w:pPr>
              <w:pStyle w:val="TableContents"/>
              <w:pBdr/>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pPr>
            <w:r>
              <w:rPr/>
              <w:t>​</w:t>
            </w:r>
          </w:p>
        </w:tc>
      </w:tr>
      <w:tr>
        <w:trPr/>
        <w:tc>
          <w:tcPr>
            <w:tcW w:w="396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income before 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(479,270)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267,227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(327,008)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2,447,146</w:t>
            </w:r>
          </w:p>
        </w:tc>
      </w:tr>
      <w:tr>
        <w:trPr/>
        <w:tc>
          <w:tcPr>
            <w:tcW w:w="396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(283,838)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(773,583)</w:t>
            </w:r>
          </w:p>
        </w:tc>
      </w:tr>
      <w:tr>
        <w:trPr/>
        <w:tc>
          <w:tcPr>
            <w:tcW w:w="3962"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(600,213)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98,772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(610,846)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1,673,563</w:t>
            </w:r>
          </w:p>
        </w:tc>
      </w:tr>
      <w:tr>
        <w:trPr/>
        <w:tc>
          <w:tcPr>
            <w:tcW w:w="39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7" w:type="dxa"/>
            <w:tcBorders/>
            <w:shd w:fill="CCEEFF" w:val="clear"/>
            <w:vAlign w:val="center"/>
          </w:tcPr>
          <w:p>
            <w:pPr>
              <w:pStyle w:val="TableContents"/>
              <w:bidi w:val="0"/>
              <w:spacing w:before="0" w:after="1"/>
              <w:ind w:left="0" w:right="0" w:hanging="0"/>
              <w:jc w:val="right"/>
              <w:rPr/>
            </w:pPr>
            <w:r>
              <w:rPr/>
              <w:t>​</w:t>
            </w:r>
          </w:p>
        </w:tc>
      </w:tr>
      <w:tr>
        <w:trPr/>
        <w:tc>
          <w:tcPr>
            <w:tcW w:w="396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of Class A common stock subject to redemption,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4,345,663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6,630,703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4,345,663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29,801,668</w:t>
            </w:r>
          </w:p>
        </w:tc>
      </w:tr>
      <w:tr>
        <w:trPr/>
        <w:tc>
          <w:tcPr>
            <w:tcW w:w="396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(loss) income per common stock, Class A subject to redemption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0.04</w:t>
            </w:r>
          </w:p>
        </w:tc>
      </w:tr>
      <w:tr>
        <w:trPr/>
        <w:tc>
          <w:tcPr>
            <w:tcW w:w="396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of non-redeemable Class A common stock,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10,817,000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10,817,000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1,329,500</w:t>
            </w:r>
          </w:p>
        </w:tc>
      </w:tr>
      <w:tr>
        <w:trPr/>
        <w:tc>
          <w:tcPr>
            <w:tcW w:w="396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(loss) income per common stock, non-redeemable Class 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0.04</w:t>
            </w:r>
          </w:p>
        </w:tc>
      </w:tr>
      <w:tr>
        <w:trPr/>
        <w:tc>
          <w:tcPr>
            <w:tcW w:w="396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of Class B common stock,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9,487,500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4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9,487,500</w:t>
            </w:r>
          </w:p>
        </w:tc>
      </w:tr>
      <w:tr>
        <w:trPr/>
        <w:tc>
          <w:tcPr>
            <w:tcW w:w="396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and diluted net income per Class B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0.04</w:t>
            </w:r>
          </w:p>
        </w:tc>
      </w:tr>
    </w:tbl>
    <w:p>
      <w:pPr>
        <w:pStyle w:val="TextBody"/>
        <w:pBdr/>
        <w:bidi w:val="0"/>
        <w:spacing w:before="0" w:after="240"/>
        <w:ind w:left="0" w:right="0" w:hanging="360"/>
        <w:jc w:val="both"/>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4" w:name="_e6478659_a91f_4499_bad4_b9a3ecab0782"/>
      <w:bookmarkEnd w:id="254"/>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b/>
          <w:sz w:val="18"/>
        </w:rPr>
      </w:pPr>
      <w:bookmarkStart w:id="255" w:name="CONDENSEDSTATEMENTOFCHANGESINSTOCKHOLDER"/>
      <w:bookmarkStart w:id="256" w:name="_803524"/>
      <w:bookmarkEnd w:id="255"/>
      <w:bookmarkEnd w:id="256"/>
      <w:r>
        <w:rPr>
          <w:rFonts w:ascii="Times New Roman;Times;serif" w:hAnsi="Times New Roman;Times;serif"/>
          <w:b/>
          <w:sz w:val="20"/>
        </w:rPr>
        <w:t xml:space="preserve">CONDENSED </w:t>
      </w:r>
      <w:r>
        <w:rPr>
          <w:rFonts w:ascii="Times New Roman;Times;serif" w:hAnsi="Times New Roman;Times;serif"/>
          <w:b/>
          <w:sz w:val="18"/>
        </w:rPr>
        <w:t xml:space="preserve">CONSOLIDATED </w:t>
      </w:r>
      <w:r>
        <w:rPr>
          <w:rFonts w:ascii="Times New Roman;Times;serif" w:hAnsi="Times New Roman;Times;serif"/>
          <w:b/>
          <w:sz w:val="20"/>
        </w:rPr>
        <w:t>STATEMENTS OF CHANGES IN STOCKHOLDERS’ DEFICIT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AND SIX MONTHS ENDED JUNE 30, 2024</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7" w:name="Tc_FqgP3JcqqUKN0237WUS6iw_10_18"/>
      <w:bookmarkStart w:id="258" w:name="Tc_-EkIhWrU3kCA5_RrjuU4ww_10_15"/>
      <w:bookmarkStart w:id="259" w:name="Tc_e7oSwDWpDE2xDmkAcHKMng_10_13"/>
      <w:bookmarkStart w:id="260" w:name="Tc_0tpqS8vLIkiMvD3GWi1ukA_10_12"/>
      <w:bookmarkStart w:id="261" w:name="Tc_FS3jn2udH0yrVxTTb6PbgQ_10_10"/>
      <w:bookmarkStart w:id="262" w:name="Tc_y-JW0jJzsEeigJcLBdBrmg_10_9"/>
      <w:bookmarkStart w:id="263" w:name="Tc_OpyYOsZg5UiRl6Sgv99EEw_10_7"/>
      <w:bookmarkStart w:id="264" w:name="Tc_-X4jpKPerUKQgDUKpqnvDQ_10_4"/>
      <w:bookmarkStart w:id="265" w:name="Tc_JZ1xjZXepky5nwf73vkxng_10_0"/>
      <w:bookmarkStart w:id="266" w:name="Tc_iNfsOh4LI0eV23hcRSA-Rg_9_13"/>
      <w:bookmarkStart w:id="267" w:name="Tc_jVvYqNzDx0CNq5hCRoazMg_9_10"/>
      <w:bookmarkStart w:id="268" w:name="Tc_E3CVhS2dxkqNafg_G1LEsQ_9_7"/>
      <w:bookmarkStart w:id="269" w:name="Tc_w45pxOHwzECxiEKWE1IfCg_9_5"/>
      <w:bookmarkStart w:id="270" w:name="Tc_EnjjqvLIKEWk1MgnL_y5aQ_9_2"/>
      <w:bookmarkStart w:id="271" w:name="Tc_o2A6Up7JBUSDTirivQkg0A_9_0"/>
      <w:bookmarkStart w:id="272" w:name="Tc_EuREs4c-eUqjoha-P1Pxaw_8_13"/>
      <w:bookmarkStart w:id="273" w:name="Tc_emxUEO6gn0qfwfKdqngtTw_8_10"/>
      <w:bookmarkStart w:id="274" w:name="Tc_j7-eWL8ZXUSOAFXUWf8jVg_8_7"/>
      <w:bookmarkStart w:id="275" w:name="Tc_eUvIxtexbkGSXCisnei9Tw_8_5"/>
      <w:bookmarkStart w:id="276" w:name="Tc_FPQCz39q10CYrTtg7JjqHg_8_2"/>
      <w:bookmarkStart w:id="277" w:name="Tc_vIw1IdWPlEqS1mxlKb1icQ_8_0"/>
      <w:bookmarkStart w:id="278" w:name="Tc_Os8YNpFjMU2YYTsxbmWr6Q_7_18"/>
      <w:bookmarkStart w:id="279" w:name="Tc_cRtnPIQlCUy4aWvreZePTQ_7_15"/>
      <w:bookmarkStart w:id="280" w:name="Tc_x2EEWoHM_EafrALUnLozrg_7_13"/>
      <w:bookmarkStart w:id="281" w:name="Tc_Bzj7kAg2FECBghKDBhsQjQ_7_12"/>
      <w:bookmarkStart w:id="282" w:name="Tc_FrH-wrk2p0yHKLlWJV5lYg_7_10"/>
      <w:bookmarkStart w:id="283" w:name="Tc_DiukN6gjD0mI2wNr34ytdA_7_9"/>
      <w:bookmarkStart w:id="284" w:name="Tc_SqesP-Kc70mAuRTBytebpg_7_7"/>
      <w:bookmarkStart w:id="285" w:name="Tc__OMJoEIid0awLk13vGRWqA_7_4"/>
      <w:bookmarkStart w:id="286" w:name="Tc_P3u2rA_iIEKVQwwOOGdCbA_7_0"/>
      <w:bookmarkStart w:id="287" w:name="Tc_qXae6FKM30ib45U7ySWocQ_6_13"/>
      <w:bookmarkStart w:id="288" w:name="Tc_EvwNzFrXZkCOSj7zd-_G7w_6_10"/>
      <w:bookmarkStart w:id="289" w:name="Tc_eMiRnYMaekuH2RhyGLL5HA_6_7"/>
      <w:bookmarkStart w:id="290" w:name="Tc_FSu6VzJc_0az6hhA6cmkUg_6_5"/>
      <w:bookmarkStart w:id="291" w:name="Tc_ks7fSTxEa0CSueOu_sHWQg_6_2"/>
      <w:bookmarkStart w:id="292" w:name="Tc_wbTGnJJPuUi5tq-2phWn4Q_6_0"/>
      <w:bookmarkStart w:id="293" w:name="Tc_FVLbSPCxFUKI10nrEeHGtg_5_13"/>
      <w:bookmarkStart w:id="294" w:name="Tc_53t7VrkRqUSJ3wvZdSsrQQ_5_10"/>
      <w:bookmarkStart w:id="295" w:name="Tc_gFRSOSXwt0C0U3QCjxi9wg_5_7"/>
      <w:bookmarkStart w:id="296" w:name="Tc_4T7julvSe0yP9dGm2-hzpg_5_5"/>
      <w:bookmarkStart w:id="297" w:name="Tc_4wpT1TnXokySBH0GL_To0g_5_2"/>
      <w:bookmarkStart w:id="298" w:name="Tc_yBCHqgmr3EKMIf2Y33TAQA_5_0"/>
      <w:bookmarkStart w:id="299" w:name="Tc_MOVnLUtNBUq577qMLWhzuw_4_18"/>
      <w:bookmarkStart w:id="300" w:name="Tc_fcw-McwhV0-GXKfpdLW5Aw_4_15"/>
      <w:bookmarkStart w:id="301" w:name="Tc_x5gkqoljdEimd2oiizeDHw_4_13"/>
      <w:bookmarkStart w:id="302" w:name="Tc_P0cjxe4O2kiLe8dJRKmv_A_4_12"/>
      <w:bookmarkStart w:id="303" w:name="Tc_vZEAXD15zEGMSIKB-Eza8g_4_10"/>
      <w:bookmarkStart w:id="304" w:name="Tc_6gQBNPF_O0GITef6hWYnVg_4_9"/>
      <w:bookmarkStart w:id="305" w:name="Tc_Hp-AkwXCO0CKxlqLVPmCHA_4_7"/>
      <w:bookmarkStart w:id="306" w:name="Tc_U2bdlR3vIkKpUUJqTaaT7A_4_4"/>
      <w:bookmarkStart w:id="307" w:name="Tc_dUgcNfPxNESK0K8St2kZrw_4_0"/>
      <w:bookmarkStart w:id="308" w:name="Tc_82zFOIqiJU6VNdKpdSawpQ_3_18"/>
      <w:bookmarkStart w:id="309" w:name="Tc_CqZ8LM9qB0eR4ulGGmQKmA_3_15"/>
      <w:bookmarkStart w:id="310" w:name="Tc_hHSgwGKlxUevdkVNu0U1zw_3_12"/>
      <w:bookmarkStart w:id="311" w:name="Tc_TJBaKr04Qk6dkM64XZwUFg_3_9"/>
      <w:bookmarkStart w:id="312" w:name="Tc_rpJO_7du70aa_3a6wN8Ztw_3_7"/>
      <w:bookmarkStart w:id="313" w:name="Tc_-cDeEZRGnUq2VvX_FHRxmw_3_4"/>
      <w:bookmarkStart w:id="314" w:name="Tc_PNfcvICqhEqdh_8_exWFuQ_3_2"/>
      <w:bookmarkStart w:id="315" w:name="Tc_CW-8fYir-Eqlhz7CZJIRig_2_18"/>
      <w:bookmarkStart w:id="316" w:name="Tc_M-0OqChJP0OIN54pQ5LN3g_2_15"/>
      <w:bookmarkStart w:id="317" w:name="Tc_X-YqT12dcEWwi2Pl15BDVg_2_12"/>
      <w:bookmarkStart w:id="318" w:name="Tc_6dr-lhI_Dk2lYkntz1YQ1w_2_7"/>
      <w:bookmarkStart w:id="319" w:name="Tc_HxXTiUJBOkGIFgX9vO17fQ_2_2"/>
      <w:bookmarkStart w:id="320" w:name="Tc_4QmlYym7LU-XPPA8clNxDw_1_18"/>
      <w:bookmarkStart w:id="321" w:name="Tc_cONqJfoiMkCr3Xl9gT-kuw_1_12"/>
      <w:bookmarkStart w:id="322" w:name="Tc_yqlW9kVJ9EWAu2uhA5PM7w_1_7"/>
      <w:bookmarkStart w:id="323" w:name="Tc_uKiy7pFSMESqLY96aKqn9w_1_2"/>
      <w:bookmarkStart w:id="324" w:name="_8a49166c_8d21_4757_a95b_7501d61ad02d"/>
      <w:bookmarkStart w:id="325" w:name="Tc_FqgP3JcqqUKN0237WUS6iw_10_18"/>
      <w:bookmarkStart w:id="326" w:name="Tc_-EkIhWrU3kCA5_RrjuU4ww_10_15"/>
      <w:bookmarkStart w:id="327" w:name="Tc_e7oSwDWpDE2xDmkAcHKMng_10_13"/>
      <w:bookmarkStart w:id="328" w:name="Tc_0tpqS8vLIkiMvD3GWi1ukA_10_12"/>
      <w:bookmarkStart w:id="329" w:name="Tc_FS3jn2udH0yrVxTTb6PbgQ_10_10"/>
      <w:bookmarkStart w:id="330" w:name="Tc_y-JW0jJzsEeigJcLBdBrmg_10_9"/>
      <w:bookmarkStart w:id="331" w:name="Tc_OpyYOsZg5UiRl6Sgv99EEw_10_7"/>
      <w:bookmarkStart w:id="332" w:name="Tc_-X4jpKPerUKQgDUKpqnvDQ_10_4"/>
      <w:bookmarkStart w:id="333" w:name="Tc_JZ1xjZXepky5nwf73vkxng_10_0"/>
      <w:bookmarkStart w:id="334" w:name="Tc_iNfsOh4LI0eV23hcRSA-Rg_9_13"/>
      <w:bookmarkStart w:id="335" w:name="Tc_jVvYqNzDx0CNq5hCRoazMg_9_10"/>
      <w:bookmarkStart w:id="336" w:name="Tc_E3CVhS2dxkqNafg_G1LEsQ_9_7"/>
      <w:bookmarkStart w:id="337" w:name="Tc_w45pxOHwzECxiEKWE1IfCg_9_5"/>
      <w:bookmarkStart w:id="338" w:name="Tc_EnjjqvLIKEWk1MgnL_y5aQ_9_2"/>
      <w:bookmarkStart w:id="339" w:name="Tc_o2A6Up7JBUSDTirivQkg0A_9_0"/>
      <w:bookmarkStart w:id="340" w:name="Tc_EuREs4c-eUqjoha-P1Pxaw_8_13"/>
      <w:bookmarkStart w:id="341" w:name="Tc_emxUEO6gn0qfwfKdqngtTw_8_10"/>
      <w:bookmarkStart w:id="342" w:name="Tc_j7-eWL8ZXUSOAFXUWf8jVg_8_7"/>
      <w:bookmarkStart w:id="343" w:name="Tc_eUvIxtexbkGSXCisnei9Tw_8_5"/>
      <w:bookmarkStart w:id="344" w:name="Tc_FPQCz39q10CYrTtg7JjqHg_8_2"/>
      <w:bookmarkStart w:id="345" w:name="Tc_vIw1IdWPlEqS1mxlKb1icQ_8_0"/>
      <w:bookmarkStart w:id="346" w:name="Tc_Os8YNpFjMU2YYTsxbmWr6Q_7_18"/>
      <w:bookmarkStart w:id="347" w:name="Tc_cRtnPIQlCUy4aWvreZePTQ_7_15"/>
      <w:bookmarkStart w:id="348" w:name="Tc_x2EEWoHM_EafrALUnLozrg_7_13"/>
      <w:bookmarkStart w:id="349" w:name="Tc_Bzj7kAg2FECBghKDBhsQjQ_7_12"/>
      <w:bookmarkStart w:id="350" w:name="Tc_FrH-wrk2p0yHKLlWJV5lYg_7_10"/>
      <w:bookmarkStart w:id="351" w:name="Tc_DiukN6gjD0mI2wNr34ytdA_7_9"/>
      <w:bookmarkStart w:id="352" w:name="Tc_SqesP-Kc70mAuRTBytebpg_7_7"/>
      <w:bookmarkStart w:id="353" w:name="Tc__OMJoEIid0awLk13vGRWqA_7_4"/>
      <w:bookmarkStart w:id="354" w:name="Tc_P3u2rA_iIEKVQwwOOGdCbA_7_0"/>
      <w:bookmarkStart w:id="355" w:name="Tc_qXae6FKM30ib45U7ySWocQ_6_13"/>
      <w:bookmarkStart w:id="356" w:name="Tc_EvwNzFrXZkCOSj7zd-_G7w_6_10"/>
      <w:bookmarkStart w:id="357" w:name="Tc_eMiRnYMaekuH2RhyGLL5HA_6_7"/>
      <w:bookmarkStart w:id="358" w:name="Tc_FSu6VzJc_0az6hhA6cmkUg_6_5"/>
      <w:bookmarkStart w:id="359" w:name="Tc_ks7fSTxEa0CSueOu_sHWQg_6_2"/>
      <w:bookmarkStart w:id="360" w:name="Tc_wbTGnJJPuUi5tq-2phWn4Q_6_0"/>
      <w:bookmarkStart w:id="361" w:name="Tc_FVLbSPCxFUKI10nrEeHGtg_5_13"/>
      <w:bookmarkStart w:id="362" w:name="Tc_53t7VrkRqUSJ3wvZdSsrQQ_5_10"/>
      <w:bookmarkStart w:id="363" w:name="Tc_gFRSOSXwt0C0U3QCjxi9wg_5_7"/>
      <w:bookmarkStart w:id="364" w:name="Tc_4T7julvSe0yP9dGm2-hzpg_5_5"/>
      <w:bookmarkStart w:id="365" w:name="Tc_4wpT1TnXokySBH0GL_To0g_5_2"/>
      <w:bookmarkStart w:id="366" w:name="Tc_yBCHqgmr3EKMIf2Y33TAQA_5_0"/>
      <w:bookmarkStart w:id="367" w:name="Tc_MOVnLUtNBUq577qMLWhzuw_4_18"/>
      <w:bookmarkStart w:id="368" w:name="Tc_fcw-McwhV0-GXKfpdLW5Aw_4_15"/>
      <w:bookmarkStart w:id="369" w:name="Tc_x5gkqoljdEimd2oiizeDHw_4_13"/>
      <w:bookmarkStart w:id="370" w:name="Tc_P0cjxe4O2kiLe8dJRKmv_A_4_12"/>
      <w:bookmarkStart w:id="371" w:name="Tc_vZEAXD15zEGMSIKB-Eza8g_4_10"/>
      <w:bookmarkStart w:id="372" w:name="Tc_6gQBNPF_O0GITef6hWYnVg_4_9"/>
      <w:bookmarkStart w:id="373" w:name="Tc_Hp-AkwXCO0CKxlqLVPmCHA_4_7"/>
      <w:bookmarkStart w:id="374" w:name="Tc_U2bdlR3vIkKpUUJqTaaT7A_4_4"/>
      <w:bookmarkStart w:id="375" w:name="Tc_dUgcNfPxNESK0K8St2kZrw_4_0"/>
      <w:bookmarkStart w:id="376" w:name="Tc_82zFOIqiJU6VNdKpdSawpQ_3_18"/>
      <w:bookmarkStart w:id="377" w:name="Tc_CqZ8LM9qB0eR4ulGGmQKmA_3_15"/>
      <w:bookmarkStart w:id="378" w:name="Tc_hHSgwGKlxUevdkVNu0U1zw_3_12"/>
      <w:bookmarkStart w:id="379" w:name="Tc_TJBaKr04Qk6dkM64XZwUFg_3_9"/>
      <w:bookmarkStart w:id="380" w:name="Tc_rpJO_7du70aa_3a6wN8Ztw_3_7"/>
      <w:bookmarkStart w:id="381" w:name="Tc_-cDeEZRGnUq2VvX_FHRxmw_3_4"/>
      <w:bookmarkStart w:id="382" w:name="Tc_PNfcvICqhEqdh_8_exWFuQ_3_2"/>
      <w:bookmarkStart w:id="383" w:name="Tc_CW-8fYir-Eqlhz7CZJIRig_2_18"/>
      <w:bookmarkStart w:id="384" w:name="Tc_M-0OqChJP0OIN54pQ5LN3g_2_15"/>
      <w:bookmarkStart w:id="385" w:name="Tc_X-YqT12dcEWwi2Pl15BDVg_2_12"/>
      <w:bookmarkStart w:id="386" w:name="Tc_6dr-lhI_Dk2lYkntz1YQ1w_2_7"/>
      <w:bookmarkStart w:id="387" w:name="Tc_HxXTiUJBOkGIFgX9vO17fQ_2_2"/>
      <w:bookmarkStart w:id="388" w:name="Tc_4QmlYym7LU-XPPA8clNxDw_1_18"/>
      <w:bookmarkStart w:id="389" w:name="Tc_cONqJfoiMkCr3Xl9gT-kuw_1_12"/>
      <w:bookmarkStart w:id="390" w:name="Tc_yqlW9kVJ9EWAu2uhA5PM7w_1_7"/>
      <w:bookmarkStart w:id="391" w:name="Tc_uKiy7pFSMESqLY96aKqn9w_1_2"/>
      <w:bookmarkStart w:id="392" w:name="_8a49166c_8d21_4757_a95b_7501d61ad02d"/>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tbl>
      <w:tblPr>
        <w:tblW w:w="10205" w:type="dxa"/>
        <w:jc w:val="left"/>
        <w:tblInd w:w="0" w:type="dxa"/>
        <w:tblLayout w:type="fixed"/>
        <w:tblCellMar>
          <w:top w:w="0" w:type="dxa"/>
          <w:left w:w="0" w:type="dxa"/>
          <w:bottom w:w="0" w:type="dxa"/>
          <w:right w:w="0" w:type="dxa"/>
        </w:tblCellMar>
      </w:tblPr>
      <w:tblGrid>
        <w:gridCol w:w="1739"/>
        <w:gridCol w:w="326"/>
        <w:gridCol w:w="916"/>
        <w:gridCol w:w="326"/>
        <w:gridCol w:w="196"/>
        <w:gridCol w:w="511"/>
        <w:gridCol w:w="326"/>
        <w:gridCol w:w="586"/>
        <w:gridCol w:w="326"/>
        <w:gridCol w:w="249"/>
        <w:gridCol w:w="442"/>
        <w:gridCol w:w="326"/>
        <w:gridCol w:w="314"/>
        <w:gridCol w:w="557"/>
        <w:gridCol w:w="326"/>
        <w:gridCol w:w="196"/>
        <w:gridCol w:w="987"/>
        <w:gridCol w:w="326"/>
        <w:gridCol w:w="196"/>
        <w:gridCol w:w="1034"/>
      </w:tblGrid>
      <w:tr>
        <w:trPr/>
        <w:tc>
          <w:tcPr>
            <w:tcW w:w="1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104265" cy="175260"/>
                      <wp:effectExtent l="0" t="0" r="0" b="0"/>
                      <wp:wrapNone/>
                      <wp:docPr id="22" name="Frame22"/>
                      <a:graphic xmlns:a="http://schemas.openxmlformats.org/drawingml/2006/main">
                        <a:graphicData uri="http://schemas.microsoft.com/office/word/2010/wordprocessingShape">
                          <wps:wsp>
                            <wps:cNvSpPr txBox="1"/>
                            <wps:spPr>
                              <a:xfrm>
                                <a:off x="0" y="0"/>
                                <a:ext cx="1104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81660" cy="175260"/>
                      <wp:effectExtent l="0" t="0" r="0" b="0"/>
                      <wp:wrapNone/>
                      <wp:docPr id="24" name="Frame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24485" cy="175260"/>
                      <wp:effectExtent l="0" t="0" r="0" b="0"/>
                      <wp:wrapNone/>
                      <wp:docPr id="27" name="Frame2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8115" cy="175260"/>
                      <wp:effectExtent l="0" t="0" r="0" b="0"/>
                      <wp:wrapNone/>
                      <wp:docPr id="31" name="Frame3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0670" cy="175260"/>
                      <wp:effectExtent l="0" t="0" r="0" b="0"/>
                      <wp:wrapNone/>
                      <wp:docPr id="32" name="Frame3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99390" cy="175260"/>
                      <wp:effectExtent l="0" t="0" r="0" b="0"/>
                      <wp:wrapNone/>
                      <wp:docPr id="34" name="Frame3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53695" cy="175260"/>
                      <wp:effectExtent l="0" t="0" r="0" b="0"/>
                      <wp:wrapNone/>
                      <wp:docPr id="35" name="Frame35"/>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26745" cy="175260"/>
                      <wp:effectExtent l="0" t="0" r="0" b="0"/>
                      <wp:wrapNone/>
                      <wp:docPr id="38" name="Frame38"/>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56590" cy="175260"/>
                      <wp:effectExtent l="0" t="0" r="0" b="0"/>
                      <wp:wrapNone/>
                      <wp:docPr id="41" name="Frame41"/>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18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7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January 1, 2024</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10,817,000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1,082</w:t>
            </w:r>
          </w:p>
        </w:tc>
        <w:tc>
          <w:tcPr>
            <w:tcW w:w="326"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(15,839,811)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(15,838,729)</w:t>
            </w:r>
          </w:p>
        </w:tc>
      </w:tr>
      <w:tr>
        <w:trPr/>
        <w:tc>
          <w:tcPr>
            <w:tcW w:w="17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for common stock subject to redemption amount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(800,030)</w:t>
            </w:r>
          </w:p>
        </w:tc>
      </w:tr>
      <w:tr>
        <w:trPr/>
        <w:tc>
          <w:tcPr>
            <w:tcW w:w="17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(10,633)</w:t>
            </w:r>
          </w:p>
        </w:tc>
      </w:tr>
      <w:tr>
        <w:trPr/>
        <w:tc>
          <w:tcPr>
            <w:tcW w:w="173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March 31, 2024</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10,817,000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1,082</w:t>
            </w:r>
          </w:p>
        </w:tc>
        <w:tc>
          <w:tcPr>
            <w:tcW w:w="326"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(16,650,474)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(16,649,392)</w:t>
            </w:r>
          </w:p>
        </w:tc>
      </w:tr>
      <w:tr>
        <w:trPr/>
        <w:tc>
          <w:tcPr>
            <w:tcW w:w="17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for common stock subject to redemption amount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(846,082)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(846,082)</w:t>
            </w:r>
          </w:p>
        </w:tc>
      </w:tr>
      <w:tr>
        <w:trPr/>
        <w:tc>
          <w:tcPr>
            <w:tcW w:w="17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(600,213)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(600,213)</w:t>
            </w:r>
          </w:p>
        </w:tc>
      </w:tr>
      <w:tr>
        <w:trPr/>
        <w:tc>
          <w:tcPr>
            <w:tcW w:w="17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10,817,000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1,082</w:t>
            </w:r>
          </w:p>
        </w:tc>
        <w:tc>
          <w:tcPr>
            <w:tcW w:w="326" w:type="dxa"/>
            <w:tcBorders/>
            <w:shd w:fill="CCEEFF" w:val="clear"/>
            <w:vAlign w:val="center"/>
          </w:tcPr>
          <w:p>
            <w:pPr>
              <w:pStyle w:val="TableContents"/>
              <w:bidi w:val="0"/>
              <w:spacing w:before="0" w:after="1"/>
              <w:ind w:left="0" w:right="0" w:hanging="0"/>
              <w:jc w:val="righ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(18,096,769)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(18,095,687)</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AND SIX MONTHS ENDED JUNE 30, 2023</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93" w:name="Tc_V7Xd2nQar02SIb1x5KUmHw_13_18"/>
      <w:bookmarkStart w:id="394" w:name="Tc_KIKHdasCRUK0a7fee-SU6g_13_15"/>
      <w:bookmarkStart w:id="395" w:name="Tc_SQhuW0Eli02AW7wE-gJsfA_13_13"/>
      <w:bookmarkStart w:id="396" w:name="Tc_wXHHcNi8LUq4KxRL6_LG_g_13_12"/>
      <w:bookmarkStart w:id="397" w:name="Tc_Tgh_6qegfUSTR077bZgyhQ_13_9"/>
      <w:bookmarkStart w:id="398" w:name="Tc_azM4a7nPAEm3t-lznYIOoQ_13_4"/>
      <w:bookmarkStart w:id="399" w:name="Tc_fX5bfqqVekC0M9OHjXmLtA_13_0"/>
      <w:bookmarkStart w:id="400" w:name="Tc_WEW9Ta4YbkSnye4vNDkjmQ_12_13"/>
      <w:bookmarkStart w:id="401" w:name="Tc_bYB6qWKfG0GVDpLjcw72JA_12_10"/>
      <w:bookmarkStart w:id="402" w:name="Tc_ey8SfyUtR0uH45VZvMZzHQ_12_7"/>
      <w:bookmarkStart w:id="403" w:name="Tc_oQfaCuOMXkmkXUoLyC_avA_12_5"/>
      <w:bookmarkStart w:id="404" w:name="Tc_zQ5_baxE8UGQKKt2XHHBRA_12_2"/>
      <w:bookmarkStart w:id="405" w:name="Tc_B6lZP9zb7EOwIhtg7yrhkQ_12_0"/>
      <w:bookmarkStart w:id="406" w:name="Tc_dzvSOY2zQUuDLSe2ofatsg_11_13"/>
      <w:bookmarkStart w:id="407" w:name="Tc_S5NE4OLcr0Oen7uM_glqEw_11_10"/>
      <w:bookmarkStart w:id="408" w:name="Tc_LXuWQMxDgEi-r8_2lFckHg_11_7"/>
      <w:bookmarkStart w:id="409" w:name="Tc_dahSZEZo4kK1LWvb_gqR2Q_11_5"/>
      <w:bookmarkStart w:id="410" w:name="Tc_g9oCT2DBK0Cy3Na1Jts_1w_11_2"/>
      <w:bookmarkStart w:id="411" w:name="Tc_X6wVSvLuOEKKWqr8v8KNcg_11_0"/>
      <w:bookmarkStart w:id="412" w:name="Tc_5pY2K1lFOE2WK6H7KWrJEA_10_18"/>
      <w:bookmarkStart w:id="413" w:name="Tc_uVYegytxukSlO25yCsZudg_10_15"/>
      <w:bookmarkStart w:id="414" w:name="Tc_Wq6I_LS9uUGflsHXxi7p1w_10_13"/>
      <w:bookmarkStart w:id="415" w:name="Tc_ivT7GD9J70q2dp_Z_lyQIg_10_12"/>
      <w:bookmarkStart w:id="416" w:name="Tc_MPZ2YAmzo0-5CykLqV_XWQ_10_9"/>
      <w:bookmarkStart w:id="417" w:name="Tc_O3JzjtvV7E6tGumK5D0zFw_10_4"/>
      <w:bookmarkStart w:id="418" w:name="Tc_HlQtKktu_UavrLeF3KCT7Q_10_0"/>
      <w:bookmarkStart w:id="419" w:name="Tc_1tmoDqCKM0GaTJjahf6t3Q_9_13"/>
      <w:bookmarkStart w:id="420" w:name="Tc_ezXhWLMFV060jFC3q306sw_9_10"/>
      <w:bookmarkStart w:id="421" w:name="Tc_85Nmtz8ZRUCL-fbZqukGaw_9_7"/>
      <w:bookmarkStart w:id="422" w:name="Tc_6lXsxjvUtUqW4Dp66u-3tA_9_5"/>
      <w:bookmarkStart w:id="423" w:name="Tc_kBbTgQ5Sc0Ky45Djt1p7vQ_9_2"/>
      <w:bookmarkStart w:id="424" w:name="Tc_uNwlrA31AU2cvlBeEnMBQg_9_0"/>
      <w:bookmarkStart w:id="425" w:name="Tc_7OOHjH8DvUiA6yx-QsA2ag_8_13"/>
      <w:bookmarkStart w:id="426" w:name="Tc_TrcOuMpqEE2Ab9Y4UptqCw_8_10"/>
      <w:bookmarkStart w:id="427" w:name="Tc_FKs7HFh7CEeAZtBUry00DA_8_7"/>
      <w:bookmarkStart w:id="428" w:name="Tc_RIW1vHav6UK_K6yHpfY8bg_8_5"/>
      <w:bookmarkStart w:id="429" w:name="Tc_gLKRJAId-EWK6lI3IH9MAw_8_2"/>
      <w:bookmarkStart w:id="430" w:name="Tc_s7sVdB1arEO9v1g_DQ52Ow_8_0"/>
      <w:bookmarkStart w:id="431" w:name="Tc_87_INuDr8UGdBbHSPcn5og_7_13"/>
      <w:bookmarkStart w:id="432" w:name="Tc_fv9WRsmG2U6GNBW888AICw_7_10"/>
      <w:bookmarkStart w:id="433" w:name="Tc_i7ov_51PCkSxMCyqbBjrMQ_7_7"/>
      <w:bookmarkStart w:id="434" w:name="Tc_2nPVvQhp80Gk6GfplJF1kA_7_5"/>
      <w:bookmarkStart w:id="435" w:name="Tc_ERG0WaFTrEuwdz9InH4fzw_7_2"/>
      <w:bookmarkStart w:id="436" w:name="Tc_thsUyRF7xUOUwBBylBY1jw_7_0"/>
      <w:bookmarkStart w:id="437" w:name="Tc_GoudSX8CbkiP8eV61Rc-Yw_6_13"/>
      <w:bookmarkStart w:id="438" w:name="Tc_aau2fRLSPU2l-fiz3GwxTQ_6_10"/>
      <w:bookmarkStart w:id="439" w:name="Tc_mnbqX1BgOkijA-OtnSuyHA_6_7"/>
      <w:bookmarkStart w:id="440" w:name="Tc_dv9MDZbdKEeamyzIv6ApbA_6_5"/>
      <w:bookmarkStart w:id="441" w:name="Tc_rFWs9NztnUWySesNkCxEqA_6_2"/>
      <w:bookmarkStart w:id="442" w:name="Tc_oWSko3clXEC7Ma8N23u5Fg_6_0"/>
      <w:bookmarkStart w:id="443" w:name="Tc_JA-7H-yxB0eByA9ZMZZDUw_5_13"/>
      <w:bookmarkStart w:id="444" w:name="Tc_wch2dl-FVkK6ov8EEGv1GQ_5_10"/>
      <w:bookmarkStart w:id="445" w:name="Tc_UfOQ2gcnEk-Tss9y_GsQjw_5_7"/>
      <w:bookmarkStart w:id="446" w:name="Tc_rlTv2GFtk0CrnhPLgfjB8Q_5_5"/>
      <w:bookmarkStart w:id="447" w:name="Tc_7s1U691M-k-VQxKGrkeYog_5_2"/>
      <w:bookmarkStart w:id="448" w:name="Tc_zv4XWBlabU6YzOrJzXAVzw_5_0"/>
      <w:bookmarkStart w:id="449" w:name="Tc_IlhrAd6rg0-Y19F-TRIorA_4_18"/>
      <w:bookmarkStart w:id="450" w:name="Tc_JN7QafZITU2d5A8DM7kApA_4_15"/>
      <w:bookmarkStart w:id="451" w:name="Tc_BzoQo70Z-0y80vmCBWODeQ_4_13"/>
      <w:bookmarkStart w:id="452" w:name="Tc_wKXBdfWFUU63eBySnAwN4w_4_12"/>
      <w:bookmarkStart w:id="453" w:name="Tc_ekwYtLOfq0uuDH2enmEaMw_4_9"/>
      <w:bookmarkStart w:id="454" w:name="Tc_fouwNJreHkShFEMOThhd7g_4_4"/>
      <w:bookmarkStart w:id="455" w:name="Tc_HlpBL1ebbU2MBs68kx-zKg_4_0"/>
      <w:bookmarkStart w:id="456" w:name="Tc_ECT1tN1Ii0SvqsoDt7BUlg_3_18"/>
      <w:bookmarkStart w:id="457" w:name="Tc_QRgC7g9i6UmrIArKFTRqTw_3_15"/>
      <w:bookmarkStart w:id="458" w:name="Tc_aCAqBisPWEm18Y647eHSAw_3_12"/>
      <w:bookmarkStart w:id="459" w:name="Tc_nVtnm25Smk2QKKBiuxLSnA_3_9"/>
      <w:bookmarkStart w:id="460" w:name="Tc_GCljxf0amU-gdIrOE7zd5w_3_7"/>
      <w:bookmarkStart w:id="461" w:name="Tc_lLqxywN6p0uCReX35MLvIA_3_4"/>
      <w:bookmarkStart w:id="462" w:name="Tc_Twvs-SWZokyU0oaWzPfsCg_3_2"/>
      <w:bookmarkStart w:id="463" w:name="Tc_iOPlJUCWiUChV44joSPOvw_2_18"/>
      <w:bookmarkStart w:id="464" w:name="Tc_iWg7uQzlVk-41YkxNwqoHQ_2_15"/>
      <w:bookmarkStart w:id="465" w:name="Tc_yXgMgsNroU6B9kca0fn-GQ_2_12"/>
      <w:bookmarkStart w:id="466" w:name="Tc_JjXTVAefXkWXk8l1o9WFJA_2_7"/>
      <w:bookmarkStart w:id="467" w:name="Tc_LZh8Be-jhUqgEgqx0OgDRQ_2_2"/>
      <w:bookmarkStart w:id="468" w:name="Tc_tnYjn144a0eWyg65RR_kKA_1_18"/>
      <w:bookmarkStart w:id="469" w:name="Tc_ggu6jMTYZk6H4g7glxsgkQ_1_12"/>
      <w:bookmarkStart w:id="470" w:name="Tc_C4cVwZXW-EWC6V4_k7TrmQ_1_7"/>
      <w:bookmarkStart w:id="471" w:name="Tc_VFaHLg6UjUSk1GHKCZjxZQ_1_2"/>
      <w:bookmarkStart w:id="472" w:name="_5ed3685c_f136_4fbb_8beb_00f7bedeea05"/>
      <w:bookmarkStart w:id="473" w:name="Tc_V7Xd2nQar02SIb1x5KUmHw_13_18"/>
      <w:bookmarkStart w:id="474" w:name="Tc_KIKHdasCRUK0a7fee-SU6g_13_15"/>
      <w:bookmarkStart w:id="475" w:name="Tc_SQhuW0Eli02AW7wE-gJsfA_13_13"/>
      <w:bookmarkStart w:id="476" w:name="Tc_wXHHcNi8LUq4KxRL6_LG_g_13_12"/>
      <w:bookmarkStart w:id="477" w:name="Tc_Tgh_6qegfUSTR077bZgyhQ_13_9"/>
      <w:bookmarkStart w:id="478" w:name="Tc_azM4a7nPAEm3t-lznYIOoQ_13_4"/>
      <w:bookmarkStart w:id="479" w:name="Tc_fX5bfqqVekC0M9OHjXmLtA_13_0"/>
      <w:bookmarkStart w:id="480" w:name="Tc_WEW9Ta4YbkSnye4vNDkjmQ_12_13"/>
      <w:bookmarkStart w:id="481" w:name="Tc_bYB6qWKfG0GVDpLjcw72JA_12_10"/>
      <w:bookmarkStart w:id="482" w:name="Tc_ey8SfyUtR0uH45VZvMZzHQ_12_7"/>
      <w:bookmarkStart w:id="483" w:name="Tc_oQfaCuOMXkmkXUoLyC_avA_12_5"/>
      <w:bookmarkStart w:id="484" w:name="Tc_zQ5_baxE8UGQKKt2XHHBRA_12_2"/>
      <w:bookmarkStart w:id="485" w:name="Tc_B6lZP9zb7EOwIhtg7yrhkQ_12_0"/>
      <w:bookmarkStart w:id="486" w:name="Tc_dzvSOY2zQUuDLSe2ofatsg_11_13"/>
      <w:bookmarkStart w:id="487" w:name="Tc_S5NE4OLcr0Oen7uM_glqEw_11_10"/>
      <w:bookmarkStart w:id="488" w:name="Tc_LXuWQMxDgEi-r8_2lFckHg_11_7"/>
      <w:bookmarkStart w:id="489" w:name="Tc_dahSZEZo4kK1LWvb_gqR2Q_11_5"/>
      <w:bookmarkStart w:id="490" w:name="Tc_g9oCT2DBK0Cy3Na1Jts_1w_11_2"/>
      <w:bookmarkStart w:id="491" w:name="Tc_X6wVSvLuOEKKWqr8v8KNcg_11_0"/>
      <w:bookmarkStart w:id="492" w:name="Tc_5pY2K1lFOE2WK6H7KWrJEA_10_18"/>
      <w:bookmarkStart w:id="493" w:name="Tc_uVYegytxukSlO25yCsZudg_10_15"/>
      <w:bookmarkStart w:id="494" w:name="Tc_Wq6I_LS9uUGflsHXxi7p1w_10_13"/>
      <w:bookmarkStart w:id="495" w:name="Tc_ivT7GD9J70q2dp_Z_lyQIg_10_12"/>
      <w:bookmarkStart w:id="496" w:name="Tc_MPZ2YAmzo0-5CykLqV_XWQ_10_9"/>
      <w:bookmarkStart w:id="497" w:name="Tc_O3JzjtvV7E6tGumK5D0zFw_10_4"/>
      <w:bookmarkStart w:id="498" w:name="Tc_HlQtKktu_UavrLeF3KCT7Q_10_0"/>
      <w:bookmarkStart w:id="499" w:name="Tc_1tmoDqCKM0GaTJjahf6t3Q_9_13"/>
      <w:bookmarkStart w:id="500" w:name="Tc_ezXhWLMFV060jFC3q306sw_9_10"/>
      <w:bookmarkStart w:id="501" w:name="Tc_85Nmtz8ZRUCL-fbZqukGaw_9_7"/>
      <w:bookmarkStart w:id="502" w:name="Tc_6lXsxjvUtUqW4Dp66u-3tA_9_5"/>
      <w:bookmarkStart w:id="503" w:name="Tc_kBbTgQ5Sc0Ky45Djt1p7vQ_9_2"/>
      <w:bookmarkStart w:id="504" w:name="Tc_uNwlrA31AU2cvlBeEnMBQg_9_0"/>
      <w:bookmarkStart w:id="505" w:name="Tc_7OOHjH8DvUiA6yx-QsA2ag_8_13"/>
      <w:bookmarkStart w:id="506" w:name="Tc_TrcOuMpqEE2Ab9Y4UptqCw_8_10"/>
      <w:bookmarkStart w:id="507" w:name="Tc_FKs7HFh7CEeAZtBUry00DA_8_7"/>
      <w:bookmarkStart w:id="508" w:name="Tc_RIW1vHav6UK_K6yHpfY8bg_8_5"/>
      <w:bookmarkStart w:id="509" w:name="Tc_gLKRJAId-EWK6lI3IH9MAw_8_2"/>
      <w:bookmarkStart w:id="510" w:name="Tc_s7sVdB1arEO9v1g_DQ52Ow_8_0"/>
      <w:bookmarkStart w:id="511" w:name="Tc_87_INuDr8UGdBbHSPcn5og_7_13"/>
      <w:bookmarkStart w:id="512" w:name="Tc_fv9WRsmG2U6GNBW888AICw_7_10"/>
      <w:bookmarkStart w:id="513" w:name="Tc_i7ov_51PCkSxMCyqbBjrMQ_7_7"/>
      <w:bookmarkStart w:id="514" w:name="Tc_2nPVvQhp80Gk6GfplJF1kA_7_5"/>
      <w:bookmarkStart w:id="515" w:name="Tc_ERG0WaFTrEuwdz9InH4fzw_7_2"/>
      <w:bookmarkStart w:id="516" w:name="Tc_thsUyRF7xUOUwBBylBY1jw_7_0"/>
      <w:bookmarkStart w:id="517" w:name="Tc_GoudSX8CbkiP8eV61Rc-Yw_6_13"/>
      <w:bookmarkStart w:id="518" w:name="Tc_aau2fRLSPU2l-fiz3GwxTQ_6_10"/>
      <w:bookmarkStart w:id="519" w:name="Tc_mnbqX1BgOkijA-OtnSuyHA_6_7"/>
      <w:bookmarkStart w:id="520" w:name="Tc_dv9MDZbdKEeamyzIv6ApbA_6_5"/>
      <w:bookmarkStart w:id="521" w:name="Tc_rFWs9NztnUWySesNkCxEqA_6_2"/>
      <w:bookmarkStart w:id="522" w:name="Tc_oWSko3clXEC7Ma8N23u5Fg_6_0"/>
      <w:bookmarkStart w:id="523" w:name="Tc_JA-7H-yxB0eByA9ZMZZDUw_5_13"/>
      <w:bookmarkStart w:id="524" w:name="Tc_wch2dl-FVkK6ov8EEGv1GQ_5_10"/>
      <w:bookmarkStart w:id="525" w:name="Tc_UfOQ2gcnEk-Tss9y_GsQjw_5_7"/>
      <w:bookmarkStart w:id="526" w:name="Tc_rlTv2GFtk0CrnhPLgfjB8Q_5_5"/>
      <w:bookmarkStart w:id="527" w:name="Tc_7s1U691M-k-VQxKGrkeYog_5_2"/>
      <w:bookmarkStart w:id="528" w:name="Tc_zv4XWBlabU6YzOrJzXAVzw_5_0"/>
      <w:bookmarkStart w:id="529" w:name="Tc_IlhrAd6rg0-Y19F-TRIorA_4_18"/>
      <w:bookmarkStart w:id="530" w:name="Tc_JN7QafZITU2d5A8DM7kApA_4_15"/>
      <w:bookmarkStart w:id="531" w:name="Tc_BzoQo70Z-0y80vmCBWODeQ_4_13"/>
      <w:bookmarkStart w:id="532" w:name="Tc_wKXBdfWFUU63eBySnAwN4w_4_12"/>
      <w:bookmarkStart w:id="533" w:name="Tc_ekwYtLOfq0uuDH2enmEaMw_4_9"/>
      <w:bookmarkStart w:id="534" w:name="Tc_fouwNJreHkShFEMOThhd7g_4_4"/>
      <w:bookmarkStart w:id="535" w:name="Tc_HlpBL1ebbU2MBs68kx-zKg_4_0"/>
      <w:bookmarkStart w:id="536" w:name="Tc_ECT1tN1Ii0SvqsoDt7BUlg_3_18"/>
      <w:bookmarkStart w:id="537" w:name="Tc_QRgC7g9i6UmrIArKFTRqTw_3_15"/>
      <w:bookmarkStart w:id="538" w:name="Tc_aCAqBisPWEm18Y647eHSAw_3_12"/>
      <w:bookmarkStart w:id="539" w:name="Tc_nVtnm25Smk2QKKBiuxLSnA_3_9"/>
      <w:bookmarkStart w:id="540" w:name="Tc_GCljxf0amU-gdIrOE7zd5w_3_7"/>
      <w:bookmarkStart w:id="541" w:name="Tc_lLqxywN6p0uCReX35MLvIA_3_4"/>
      <w:bookmarkStart w:id="542" w:name="Tc_Twvs-SWZokyU0oaWzPfsCg_3_2"/>
      <w:bookmarkStart w:id="543" w:name="Tc_iOPlJUCWiUChV44joSPOvw_2_18"/>
      <w:bookmarkStart w:id="544" w:name="Tc_iWg7uQzlVk-41YkxNwqoHQ_2_15"/>
      <w:bookmarkStart w:id="545" w:name="Tc_yXgMgsNroU6B9kca0fn-GQ_2_12"/>
      <w:bookmarkStart w:id="546" w:name="Tc_JjXTVAefXkWXk8l1o9WFJA_2_7"/>
      <w:bookmarkStart w:id="547" w:name="Tc_LZh8Be-jhUqgEgqx0OgDRQ_2_2"/>
      <w:bookmarkStart w:id="548" w:name="Tc_tnYjn144a0eWyg65RR_kKA_1_18"/>
      <w:bookmarkStart w:id="549" w:name="Tc_ggu6jMTYZk6H4g7glxsgkQ_1_12"/>
      <w:bookmarkStart w:id="550" w:name="Tc_C4cVwZXW-EWC6V4_k7TrmQ_1_7"/>
      <w:bookmarkStart w:id="551" w:name="Tc_VFaHLg6UjUSk1GHKCZjxZQ_1_2"/>
      <w:bookmarkStart w:id="552" w:name="_5ed3685c_f136_4fbb_8beb_00f7bedeea05"/>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tbl>
      <w:tblPr>
        <w:tblW w:w="10205" w:type="dxa"/>
        <w:jc w:val="left"/>
        <w:tblInd w:w="0" w:type="dxa"/>
        <w:tblLayout w:type="fixed"/>
        <w:tblCellMar>
          <w:top w:w="0" w:type="dxa"/>
          <w:left w:w="0" w:type="dxa"/>
          <w:bottom w:w="0" w:type="dxa"/>
          <w:right w:w="0" w:type="dxa"/>
        </w:tblCellMar>
      </w:tblPr>
      <w:tblGrid>
        <w:gridCol w:w="1617"/>
        <w:gridCol w:w="326"/>
        <w:gridCol w:w="826"/>
        <w:gridCol w:w="326"/>
        <w:gridCol w:w="236"/>
        <w:gridCol w:w="455"/>
        <w:gridCol w:w="326"/>
        <w:gridCol w:w="826"/>
        <w:gridCol w:w="326"/>
        <w:gridCol w:w="236"/>
        <w:gridCol w:w="455"/>
        <w:gridCol w:w="326"/>
        <w:gridCol w:w="314"/>
        <w:gridCol w:w="557"/>
        <w:gridCol w:w="326"/>
        <w:gridCol w:w="196"/>
        <w:gridCol w:w="981"/>
        <w:gridCol w:w="326"/>
        <w:gridCol w:w="196"/>
        <w:gridCol w:w="1028"/>
      </w:tblGrid>
      <w:tr>
        <w:trPr/>
        <w:tc>
          <w:tcPr>
            <w:tcW w:w="1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026795" cy="175260"/>
                      <wp:effectExtent l="0" t="0" r="0" b="0"/>
                      <wp:wrapNone/>
                      <wp:docPr id="42" name="Frame42"/>
                      <a:graphic xmlns:a="http://schemas.openxmlformats.org/drawingml/2006/main">
                        <a:graphicData uri="http://schemas.microsoft.com/office/word/2010/wordprocessingShape">
                          <wps:wsp>
                            <wps:cNvSpPr txBox="1"/>
                            <wps:spPr>
                              <a:xfrm>
                                <a:off x="0" y="0"/>
                                <a:ext cx="1026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24510" cy="175260"/>
                      <wp:effectExtent l="0" t="0" r="0" b="0"/>
                      <wp:wrapNone/>
                      <wp:docPr id="44" name="Frame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9860" cy="175260"/>
                      <wp:effectExtent l="0" t="0" r="0" b="0"/>
                      <wp:wrapNone/>
                      <wp:docPr id="46" name="Frame4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88925" cy="175260"/>
                      <wp:effectExtent l="0" t="0" r="0" b="0"/>
                      <wp:wrapNone/>
                      <wp:docPr id="47" name="Frame4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4510" cy="175260"/>
                      <wp:effectExtent l="0" t="0" r="0" b="0"/>
                      <wp:wrapNone/>
                      <wp:docPr id="49" name="Frame4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9860" cy="175260"/>
                      <wp:effectExtent l="0" t="0" r="0" b="0"/>
                      <wp:wrapNone/>
                      <wp:docPr id="51" name="Frame5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88925" cy="175260"/>
                      <wp:effectExtent l="0" t="0" r="0" b="0"/>
                      <wp:wrapNone/>
                      <wp:docPr id="52" name="Frame52"/>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9390" cy="175260"/>
                      <wp:effectExtent l="0" t="0" r="0" b="0"/>
                      <wp:wrapNone/>
                      <wp:docPr id="54" name="Frame5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53695" cy="175260"/>
                      <wp:effectExtent l="0" t="0" r="0" b="0"/>
                      <wp:wrapNone/>
                      <wp:docPr id="55" name="Frame55"/>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22935" cy="175260"/>
                      <wp:effectExtent l="0" t="0" r="0" b="0"/>
                      <wp:wrapNone/>
                      <wp:docPr id="58" name="Frame58"/>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60"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52780" cy="175260"/>
                      <wp:effectExtent l="0" t="0" r="0" b="0"/>
                      <wp:wrapNone/>
                      <wp:docPr id="61" name="Frame61"/>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4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1"/>
              <w:ind w:left="0" w:right="0" w:hanging="0"/>
              <w:jc w:val="center"/>
              <w:rPr/>
            </w:pPr>
            <w:r>
              <w:rPr/>
              <w:t>​</w:t>
            </w:r>
          </w:p>
        </w:tc>
        <w:tc>
          <w:tcPr>
            <w:tcW w:w="184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2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17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84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84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1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1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61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January 1, 2023</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1,329,500</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133</w:t>
            </w:r>
          </w:p>
        </w:tc>
        <w:tc>
          <w:tcPr>
            <w:tcW w:w="32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9,487,500</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949</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(10,145,752)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(10,144,670)</w:t>
            </w:r>
          </w:p>
        </w:tc>
      </w:tr>
      <w:tr>
        <w:trPr/>
        <w:tc>
          <w:tcPr>
            <w:tcW w:w="161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 Non-Redemption Agreement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4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8,758,683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8,758,683</w:t>
            </w:r>
          </w:p>
        </w:tc>
      </w:tr>
      <w:tr>
        <w:trPr/>
        <w:tc>
          <w:tcPr>
            <w:tcW w:w="161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 Non-Redemption Agreement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(8,758,683)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(8,758,683)</w:t>
            </w:r>
          </w:p>
        </w:tc>
      </w:tr>
      <w:tr>
        <w:trPr/>
        <w:tc>
          <w:tcPr>
            <w:tcW w:w="161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Excise tax liability arising from redemption of Class A shares</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(2,277,760)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(2,277,760)</w:t>
            </w:r>
          </w:p>
        </w:tc>
      </w:tr>
      <w:tr>
        <w:trPr/>
        <w:tc>
          <w:tcPr>
            <w:tcW w:w="161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for common stock subject to redemption amount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45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(2,276,329)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(2,276,329)</w:t>
            </w:r>
          </w:p>
        </w:tc>
      </w:tr>
      <w:tr>
        <w:trPr/>
        <w:tc>
          <w:tcPr>
            <w:tcW w:w="161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1,574,791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1,574,791</w:t>
            </w:r>
          </w:p>
        </w:tc>
      </w:tr>
      <w:tr>
        <w:trPr/>
        <w:tc>
          <w:tcPr>
            <w:tcW w:w="1617"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1,329,500</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133</w:t>
            </w:r>
          </w:p>
        </w:tc>
        <w:tc>
          <w:tcPr>
            <w:tcW w:w="326" w:type="dxa"/>
            <w:tcBorders/>
            <w:shd w:fill="CCEEFF" w:val="clear"/>
            <w:vAlign w:val="center"/>
          </w:tcPr>
          <w:p>
            <w:pPr>
              <w:pStyle w:val="TableContents"/>
              <w:bidi w:val="0"/>
              <w:spacing w:before="0" w:after="1"/>
              <w:ind w:left="0" w:right="0" w:hanging="0"/>
              <w:jc w:val="righ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9,487,500</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949</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(13,125,050)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(13,123,968)</w:t>
            </w:r>
          </w:p>
        </w:tc>
      </w:tr>
      <w:tr>
        <w:trPr/>
        <w:tc>
          <w:tcPr>
            <w:tcW w:w="1617"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for common stock subject to redemption amount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(605,227)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(605,227)</w:t>
            </w:r>
          </w:p>
        </w:tc>
      </w:tr>
      <w:tr>
        <w:trPr/>
        <w:tc>
          <w:tcPr>
            <w:tcW w:w="161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98,772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98,772</w:t>
            </w:r>
          </w:p>
        </w:tc>
      </w:tr>
      <w:tr>
        <w:trPr/>
        <w:tc>
          <w:tcPr>
            <w:tcW w:w="1617"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2023</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1,329,500</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133</w:t>
            </w:r>
          </w:p>
        </w:tc>
        <w:tc>
          <w:tcPr>
            <w:tcW w:w="326" w:type="dxa"/>
            <w:tcBorders/>
            <w:vAlign w:val="center"/>
          </w:tcPr>
          <w:p>
            <w:pPr>
              <w:pStyle w:val="TableContents"/>
              <w:bidi w:val="0"/>
              <w:spacing w:before="0" w:after="1"/>
              <w:ind w:left="0" w:right="0" w:hanging="0"/>
              <w:jc w:val="righ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9,487,500</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4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949</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5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(13,631,505)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(13,630,423)</w:t>
            </w:r>
          </w:p>
        </w:tc>
      </w:tr>
    </w:tbl>
    <w:p>
      <w:pPr>
        <w:pStyle w:val="TextBody"/>
        <w:bidi w:val="0"/>
        <w:spacing w:before="0" w:after="240"/>
        <w:ind w:left="0" w:right="0" w:hanging="0"/>
        <w:jc w:val="both"/>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53" w:name="_f329c1e8_e3e0_4354_bf21_ab7b2ea877ba"/>
      <w:bookmarkEnd w:id="553"/>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b/>
          <w:sz w:val="18"/>
        </w:rPr>
      </w:pPr>
      <w:bookmarkStart w:id="554" w:name="CONDENSEDSTATEMENTOFCASHFLOWS_499767"/>
      <w:bookmarkStart w:id="555" w:name="_676047"/>
      <w:bookmarkEnd w:id="554"/>
      <w:bookmarkEnd w:id="555"/>
      <w:r>
        <w:rPr>
          <w:rFonts w:ascii="Times New Roman;Times;serif" w:hAnsi="Times New Roman;Times;serif"/>
          <w:b/>
          <w:sz w:val="20"/>
        </w:rPr>
        <w:t xml:space="preserve">CONDENSED </w:t>
      </w:r>
      <w:r>
        <w:rPr>
          <w:rFonts w:ascii="Times New Roman;Times;serif" w:hAnsi="Times New Roman;Times;serif"/>
          <w:b/>
          <w:sz w:val="18"/>
        </w:rPr>
        <w:t xml:space="preserve">CONSOLIDATED </w:t>
      </w:r>
      <w:r>
        <w:rPr>
          <w:rFonts w:ascii="Times New Roman;Times;serif" w:hAnsi="Times New Roman;Times;serif"/>
          <w:b/>
          <w:sz w:val="20"/>
        </w:rPr>
        <w:t>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56" w:name="Tc_O0YsEXZva06AD-JIiiwEsg_45_5"/>
      <w:bookmarkStart w:id="557" w:name="Tc_-YzVhAEsQ0KakdZ_k5viNg_45_2"/>
      <w:bookmarkStart w:id="558" w:name="Tc_Lf_I5URNK0-A_rHc5HAwJA_45_0"/>
      <w:bookmarkStart w:id="559" w:name="Tc_FxXeavDGbkKMogBKGhzOdg_44_6"/>
      <w:bookmarkStart w:id="560" w:name="Tc_2lIYzx-uMkaVjDzf9lwZ1w_44_5"/>
      <w:bookmarkStart w:id="561" w:name="Tc_9iABuwJgtkqJmz9eg18XVw_44_2"/>
      <w:bookmarkStart w:id="562" w:name="Tc_W4IyfoEj0EeI1b1KE5sQbQ_44_0"/>
      <w:bookmarkStart w:id="563" w:name="Tc_hkzK4JWHmU-XwNZvG_5PWw_43_5"/>
      <w:bookmarkStart w:id="564" w:name="Tc_eZcMGqoo0EKQnsUINy6qwA_43_3"/>
      <w:bookmarkStart w:id="565" w:name="Tc_2WaDjt4INkSg68etQxgdSg_43_2"/>
      <w:bookmarkStart w:id="566" w:name="Tc_3y4_HfS7aUGQPX3TpDD6eg_43_0"/>
      <w:bookmarkStart w:id="567" w:name="Tc_0dIgTYlb302yvnrY4T6xzQ_42_5"/>
      <w:bookmarkStart w:id="568" w:name="Tc_lWMXPIA1wk2fwEQlgtYkkQ_42_2"/>
      <w:bookmarkStart w:id="569" w:name="Tc_xWZtF_cbXEqqpJ9GbrCd3A_42_0"/>
      <w:bookmarkStart w:id="570" w:name="Tc_3jq0rALE-02wwlRMtU3V-w_40_6"/>
      <w:bookmarkStart w:id="571" w:name="Tc_VaiK3JytjU6BRQXlkARk1Q_40_5"/>
      <w:bookmarkStart w:id="572" w:name="Tc_1X_P_mgsUEyhNXSp_DFRcw_40_2"/>
      <w:bookmarkStart w:id="573" w:name="Tc_JjffSW9uu06K1rMzmYqj3A_40_0"/>
      <w:bookmarkStart w:id="574" w:name="Tc_RU_IvogOKUaFKH7KUT_eEw_39_5"/>
      <w:bookmarkStart w:id="575" w:name="Tc_fsY2bvr0s0C-POt4JZ-BDg_39_3"/>
      <w:bookmarkStart w:id="576" w:name="Tc_Fb6fYjkAtEORjIxi9sUFcA_39_2"/>
      <w:bookmarkStart w:id="577" w:name="Tc_j6GVyBygh0u3oOMikKw6Pw_39_0"/>
      <w:bookmarkStart w:id="578" w:name="Tc_AN_XH3N69kK8l2pgHLRU2Q_38_0"/>
      <w:bookmarkStart w:id="579" w:name="Tc_8WOMmWuKgEy7_Q7SV1W3Uw_36_5"/>
      <w:bookmarkStart w:id="580" w:name="Tc_rf-egM3iSESQ06A8gbFlVg_36_2"/>
      <w:bookmarkStart w:id="581" w:name="Tc_qXRlgsBX-0mO1Kc2s56B2g_36_0"/>
      <w:bookmarkStart w:id="582" w:name="Tc_bRDRsxdLgU6CJBLwO3gYmQ_35_5"/>
      <w:bookmarkStart w:id="583" w:name="Tc_0y4yMYfhPUOH_P7MMCUaQQ_35_3"/>
      <w:bookmarkStart w:id="584" w:name="Tc_UDXqvtfUsUOblCUotRYjPw_35_2"/>
      <w:bookmarkStart w:id="585" w:name="Tc_SYpLZpAgXEawC49-qYA3Rg_35_0"/>
      <w:bookmarkStart w:id="586" w:name="Tc_0XfRLyYggUWrYL_yF5kayA_34_0"/>
      <w:bookmarkStart w:id="587" w:name="Tc_vhDqhMuKHU2srNVGNv9mwQ_32_6"/>
      <w:bookmarkStart w:id="588" w:name="Tc_2M-AmlN9GEi7_19fBoXidQ_32_5"/>
      <w:bookmarkStart w:id="589" w:name="Tc_y0qgcsUxuE6olUqVxECl1Q_32_2"/>
      <w:bookmarkStart w:id="590" w:name="Tc_bORnFGVGiUysi05hiRJ-sQ_32_0"/>
      <w:bookmarkStart w:id="591" w:name="Tc_X5GXhFNfCESeyaIaMLIVmQ_31_0"/>
      <w:bookmarkStart w:id="592" w:name="Tc_AK5_WsxVN0CUt8ndGgew1Q_29_5"/>
      <w:bookmarkStart w:id="593" w:name="Tc_dRDkJEW6Kk2FUs1MjtzOXA_29_2"/>
      <w:bookmarkStart w:id="594" w:name="Tc_09e_ZujBSkSA81PPoIwpNA_29_0"/>
      <w:bookmarkStart w:id="595" w:name="Tc_9sskt1LHxU-79Ta2yq5KOw_28_0"/>
      <w:bookmarkStart w:id="596" w:name="Tc_QiRwnthyoU2QW2JLarjFEw_27_0"/>
      <w:bookmarkStart w:id="597" w:name="Tc_cDk6tyQ7QUGLrob4a7Q21w_25_0"/>
      <w:bookmarkStart w:id="598" w:name="Tc_yNz-aVH8MUWSTvccUl-5ow_24_0"/>
      <w:bookmarkStart w:id="599" w:name="Tc_C4eStl2CWEqOoPoWx0ee-w_23_0"/>
      <w:bookmarkStart w:id="600" w:name="Tc_znn230SRoE-04W0_MdYBxQ_22_6"/>
      <w:bookmarkStart w:id="601" w:name="Tc_AzxKdXHS3Ui3lUH3Wl_nbw_22_0"/>
      <w:bookmarkStart w:id="602" w:name="Tc_BFextIoeS0-VPYyaoThXWg_21_0"/>
      <w:bookmarkStart w:id="603" w:name="Tc_f841DTfVUE-0YZdk21uS2w_19_0"/>
      <w:bookmarkStart w:id="604" w:name="Tc_oUb_4Tn43k2P0FTfU-ijpw_18_0"/>
      <w:bookmarkStart w:id="605" w:name="Tc_vQcMyxnlP0qH9uHqBdS7qQ_17_6"/>
      <w:bookmarkStart w:id="606" w:name="Tc_FYkmmJ8YCEGHJ5NtQHYN0Q_17_0"/>
      <w:bookmarkStart w:id="607" w:name="Tc_NFvz80e10UyG6pF2-MM_9Q_16_0"/>
      <w:bookmarkStart w:id="608" w:name="Tc_DREpifZL4kqrzJFi5reDDA_15_0"/>
      <w:bookmarkStart w:id="609" w:name="Tc_QTr-gxtlvEOTuOzDk0uOUA_13_0"/>
      <w:bookmarkStart w:id="610" w:name="Tc_HrI4r3IpXUmpyLDhlnLw7Q_12_0"/>
      <w:bookmarkStart w:id="611" w:name="Tc_QaWCCtW6dkK7i2q2vr8p9Q_11_0"/>
      <w:bookmarkStart w:id="612" w:name="Tc_TIb1XriYgEeJoZh-k0I_eg_10_3"/>
      <w:bookmarkStart w:id="613" w:name="Tc_IhqhhdelfkOR4MY-rO45VQ_10_0"/>
      <w:bookmarkStart w:id="614" w:name="Tc_eFSI0BV8V0yDnqAeu3nPhA_9_0"/>
      <w:bookmarkStart w:id="615" w:name="Tc_y_xcaJ4eZ0aoIRaSEOfYoQ_8_0"/>
      <w:bookmarkStart w:id="616" w:name="Tc_gbThG-4gK0KTSqGz8346Lg_7_6"/>
      <w:bookmarkStart w:id="617" w:name="Tc_JAcx2YiKbUaNdr7GJRLgug_7_0"/>
      <w:bookmarkStart w:id="618" w:name="Tc_cBVihoT02UyxOIgtUQTLrg_6_0"/>
      <w:bookmarkStart w:id="619" w:name="Tc_8hWU4GF_3k6w2XGkX10UDQ_5_0"/>
      <w:bookmarkStart w:id="620" w:name="Tc_Rs3-3po1vES3-CUD_LLQfw_4_5"/>
      <w:bookmarkStart w:id="621" w:name="Tc_kU2M8N0tQkC-RCUkhcMaPQ_4_2"/>
      <w:bookmarkStart w:id="622" w:name="Tc_crakDw7E2Euflhd7K7q7lw_4_0"/>
      <w:bookmarkStart w:id="623" w:name="Tc_3D7y_5oqC0a1IpIshjIVyw_3_0"/>
      <w:bookmarkStart w:id="624" w:name="Tc_QTH1E4gP2UyXov5AkQ2oow_2_5"/>
      <w:bookmarkStart w:id="625" w:name="Tc_qkHu-az5d0mZsNIQGplpCQ_2_2"/>
      <w:bookmarkStart w:id="626" w:name="Tc_603oA3WWBUGY_7oZlGJF1g_1_2"/>
      <w:bookmarkStart w:id="627" w:name="_065ce1a5_62e3_42f9_a2d1_d9064e5b5e97"/>
      <w:bookmarkStart w:id="628" w:name="Tc_O0YsEXZva06AD-JIiiwEsg_45_5"/>
      <w:bookmarkStart w:id="629" w:name="Tc_-YzVhAEsQ0KakdZ_k5viNg_45_2"/>
      <w:bookmarkStart w:id="630" w:name="Tc_Lf_I5URNK0-A_rHc5HAwJA_45_0"/>
      <w:bookmarkStart w:id="631" w:name="Tc_FxXeavDGbkKMogBKGhzOdg_44_6"/>
      <w:bookmarkStart w:id="632" w:name="Tc_2lIYzx-uMkaVjDzf9lwZ1w_44_5"/>
      <w:bookmarkStart w:id="633" w:name="Tc_9iABuwJgtkqJmz9eg18XVw_44_2"/>
      <w:bookmarkStart w:id="634" w:name="Tc_W4IyfoEj0EeI1b1KE5sQbQ_44_0"/>
      <w:bookmarkStart w:id="635" w:name="Tc_hkzK4JWHmU-XwNZvG_5PWw_43_5"/>
      <w:bookmarkStart w:id="636" w:name="Tc_eZcMGqoo0EKQnsUINy6qwA_43_3"/>
      <w:bookmarkStart w:id="637" w:name="Tc_2WaDjt4INkSg68etQxgdSg_43_2"/>
      <w:bookmarkStart w:id="638" w:name="Tc_3y4_HfS7aUGQPX3TpDD6eg_43_0"/>
      <w:bookmarkStart w:id="639" w:name="Tc_0dIgTYlb302yvnrY4T6xzQ_42_5"/>
      <w:bookmarkStart w:id="640" w:name="Tc_lWMXPIA1wk2fwEQlgtYkkQ_42_2"/>
      <w:bookmarkStart w:id="641" w:name="Tc_xWZtF_cbXEqqpJ9GbrCd3A_42_0"/>
      <w:bookmarkStart w:id="642" w:name="Tc_3jq0rALE-02wwlRMtU3V-w_40_6"/>
      <w:bookmarkStart w:id="643" w:name="Tc_VaiK3JytjU6BRQXlkARk1Q_40_5"/>
      <w:bookmarkStart w:id="644" w:name="Tc_1X_P_mgsUEyhNXSp_DFRcw_40_2"/>
      <w:bookmarkStart w:id="645" w:name="Tc_JjffSW9uu06K1rMzmYqj3A_40_0"/>
      <w:bookmarkStart w:id="646" w:name="Tc_RU_IvogOKUaFKH7KUT_eEw_39_5"/>
      <w:bookmarkStart w:id="647" w:name="Tc_fsY2bvr0s0C-POt4JZ-BDg_39_3"/>
      <w:bookmarkStart w:id="648" w:name="Tc_Fb6fYjkAtEORjIxi9sUFcA_39_2"/>
      <w:bookmarkStart w:id="649" w:name="Tc_j6GVyBygh0u3oOMikKw6Pw_39_0"/>
      <w:bookmarkStart w:id="650" w:name="Tc_AN_XH3N69kK8l2pgHLRU2Q_38_0"/>
      <w:bookmarkStart w:id="651" w:name="Tc_8WOMmWuKgEy7_Q7SV1W3Uw_36_5"/>
      <w:bookmarkStart w:id="652" w:name="Tc_rf-egM3iSESQ06A8gbFlVg_36_2"/>
      <w:bookmarkStart w:id="653" w:name="Tc_qXRlgsBX-0mO1Kc2s56B2g_36_0"/>
      <w:bookmarkStart w:id="654" w:name="Tc_bRDRsxdLgU6CJBLwO3gYmQ_35_5"/>
      <w:bookmarkStart w:id="655" w:name="Tc_0y4yMYfhPUOH_P7MMCUaQQ_35_3"/>
      <w:bookmarkStart w:id="656" w:name="Tc_UDXqvtfUsUOblCUotRYjPw_35_2"/>
      <w:bookmarkStart w:id="657" w:name="Tc_SYpLZpAgXEawC49-qYA3Rg_35_0"/>
      <w:bookmarkStart w:id="658" w:name="Tc_0XfRLyYggUWrYL_yF5kayA_34_0"/>
      <w:bookmarkStart w:id="659" w:name="Tc_vhDqhMuKHU2srNVGNv9mwQ_32_6"/>
      <w:bookmarkStart w:id="660" w:name="Tc_2M-AmlN9GEi7_19fBoXidQ_32_5"/>
      <w:bookmarkStart w:id="661" w:name="Tc_y0qgcsUxuE6olUqVxECl1Q_32_2"/>
      <w:bookmarkStart w:id="662" w:name="Tc_bORnFGVGiUysi05hiRJ-sQ_32_0"/>
      <w:bookmarkStart w:id="663" w:name="Tc_X5GXhFNfCESeyaIaMLIVmQ_31_0"/>
      <w:bookmarkStart w:id="664" w:name="Tc_AK5_WsxVN0CUt8ndGgew1Q_29_5"/>
      <w:bookmarkStart w:id="665" w:name="Tc_dRDkJEW6Kk2FUs1MjtzOXA_29_2"/>
      <w:bookmarkStart w:id="666" w:name="Tc_09e_ZujBSkSA81PPoIwpNA_29_0"/>
      <w:bookmarkStart w:id="667" w:name="Tc_9sskt1LHxU-79Ta2yq5KOw_28_0"/>
      <w:bookmarkStart w:id="668" w:name="Tc_QiRwnthyoU2QW2JLarjFEw_27_0"/>
      <w:bookmarkStart w:id="669" w:name="Tc_cDk6tyQ7QUGLrob4a7Q21w_25_0"/>
      <w:bookmarkStart w:id="670" w:name="Tc_yNz-aVH8MUWSTvccUl-5ow_24_0"/>
      <w:bookmarkStart w:id="671" w:name="Tc_C4eStl2CWEqOoPoWx0ee-w_23_0"/>
      <w:bookmarkStart w:id="672" w:name="Tc_znn230SRoE-04W0_MdYBxQ_22_6"/>
      <w:bookmarkStart w:id="673" w:name="Tc_AzxKdXHS3Ui3lUH3Wl_nbw_22_0"/>
      <w:bookmarkStart w:id="674" w:name="Tc_BFextIoeS0-VPYyaoThXWg_21_0"/>
      <w:bookmarkStart w:id="675" w:name="Tc_f841DTfVUE-0YZdk21uS2w_19_0"/>
      <w:bookmarkStart w:id="676" w:name="Tc_oUb_4Tn43k2P0FTfU-ijpw_18_0"/>
      <w:bookmarkStart w:id="677" w:name="Tc_vQcMyxnlP0qH9uHqBdS7qQ_17_6"/>
      <w:bookmarkStart w:id="678" w:name="Tc_FYkmmJ8YCEGHJ5NtQHYN0Q_17_0"/>
      <w:bookmarkStart w:id="679" w:name="Tc_NFvz80e10UyG6pF2-MM_9Q_16_0"/>
      <w:bookmarkStart w:id="680" w:name="Tc_DREpifZL4kqrzJFi5reDDA_15_0"/>
      <w:bookmarkStart w:id="681" w:name="Tc_QTr-gxtlvEOTuOzDk0uOUA_13_0"/>
      <w:bookmarkStart w:id="682" w:name="Tc_HrI4r3IpXUmpyLDhlnLw7Q_12_0"/>
      <w:bookmarkStart w:id="683" w:name="Tc_QaWCCtW6dkK7i2q2vr8p9Q_11_0"/>
      <w:bookmarkStart w:id="684" w:name="Tc_TIb1XriYgEeJoZh-k0I_eg_10_3"/>
      <w:bookmarkStart w:id="685" w:name="Tc_IhqhhdelfkOR4MY-rO45VQ_10_0"/>
      <w:bookmarkStart w:id="686" w:name="Tc_eFSI0BV8V0yDnqAeu3nPhA_9_0"/>
      <w:bookmarkStart w:id="687" w:name="Tc_y_xcaJ4eZ0aoIRaSEOfYoQ_8_0"/>
      <w:bookmarkStart w:id="688" w:name="Tc_gbThG-4gK0KTSqGz8346Lg_7_6"/>
      <w:bookmarkStart w:id="689" w:name="Tc_JAcx2YiKbUaNdr7GJRLgug_7_0"/>
      <w:bookmarkStart w:id="690" w:name="Tc_cBVihoT02UyxOIgtUQTLrg_6_0"/>
      <w:bookmarkStart w:id="691" w:name="Tc_8hWU4GF_3k6w2XGkX10UDQ_5_0"/>
      <w:bookmarkStart w:id="692" w:name="Tc_Rs3-3po1vES3-CUD_LLQfw_4_5"/>
      <w:bookmarkStart w:id="693" w:name="Tc_kU2M8N0tQkC-RCUkhcMaPQ_4_2"/>
      <w:bookmarkStart w:id="694" w:name="Tc_crakDw7E2Euflhd7K7q7lw_4_0"/>
      <w:bookmarkStart w:id="695" w:name="Tc_3D7y_5oqC0a1IpIshjIVyw_3_0"/>
      <w:bookmarkStart w:id="696" w:name="Tc_QTH1E4gP2UyXov5AkQ2oow_2_5"/>
      <w:bookmarkStart w:id="697" w:name="Tc_qkHu-az5d0mZsNIQGplpCQ_2_2"/>
      <w:bookmarkStart w:id="698" w:name="Tc_603oA3WWBUGY_7oZlGJF1g_1_2"/>
      <w:bookmarkStart w:id="699" w:name="_065ce1a5_62e3_42f9_a2d1_d9064e5b5e9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tbl>
      <w:tblPr>
        <w:tblW w:w="10205" w:type="dxa"/>
        <w:jc w:val="left"/>
        <w:tblInd w:w="0" w:type="dxa"/>
        <w:tblLayout w:type="fixed"/>
        <w:tblCellMar>
          <w:top w:w="0" w:type="dxa"/>
          <w:left w:w="0" w:type="dxa"/>
          <w:bottom w:w="0" w:type="dxa"/>
          <w:right w:w="0" w:type="dxa"/>
        </w:tblCellMar>
      </w:tblPr>
      <w:tblGrid>
        <w:gridCol w:w="6671"/>
        <w:gridCol w:w="326"/>
        <w:gridCol w:w="211"/>
        <w:gridCol w:w="1154"/>
        <w:gridCol w:w="326"/>
        <w:gridCol w:w="211"/>
        <w:gridCol w:w="1306"/>
      </w:tblGrid>
      <w:tr>
        <w:trPr/>
        <w:tc>
          <w:tcPr>
            <w:tcW w:w="6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236085" cy="175260"/>
                      <wp:effectExtent l="0" t="0" r="0" b="0"/>
                      <wp:wrapNone/>
                      <wp:docPr id="62" name="Frame62"/>
                      <a:graphic xmlns:a="http://schemas.openxmlformats.org/drawingml/2006/main">
                        <a:graphicData uri="http://schemas.microsoft.com/office/word/2010/wordprocessingShape">
                          <wps:wsp>
                            <wps:cNvSpPr txBox="1"/>
                            <wps:spPr>
                              <a:xfrm>
                                <a:off x="0" y="0"/>
                                <a:ext cx="423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32790" cy="175260"/>
                      <wp:effectExtent l="0" t="0" r="0" b="0"/>
                      <wp:wrapNone/>
                      <wp:docPr id="65" name="Frame65"/>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829310" cy="175260"/>
                      <wp:effectExtent l="0" t="0" r="0" b="0"/>
                      <wp:wrapNone/>
                      <wp:docPr id="68" name="Frame6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6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5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center"/>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(610,846)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1,673,563</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income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cash and investments held in Trust Account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(1,253,990)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(3,899,411)</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Change in fair value of derivative liability – Backstop Subscription Agreement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current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pPr>
            <w:r>
              <w:rPr/>
              <w:t>  </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56,245</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401,831</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tax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(373,431)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773,583</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(1,826,920)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(894,189)</w:t>
            </w:r>
          </w:p>
        </w:tc>
      </w:tr>
      <w:tr>
        <w:trPr/>
        <w:tc>
          <w:tcPr>
            <w:tcW w:w="6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withdrawn from Trust Account to pay franchise and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2,039,910</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deposits into Trust Account for Extension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(782,219)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withdrawn from Trust Account in connection with redemptions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24,539,002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227,776,035</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23,800,347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229,815,945</w:t>
            </w:r>
          </w:p>
        </w:tc>
      </w:tr>
      <w:tr>
        <w:trPr/>
        <w:tc>
          <w:tcPr>
            <w:tcW w:w="6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lef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Advances from sponsor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1,059,551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convertible promissory note - related party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689,655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99,975</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of 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(24,539,002)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(227,776,035)</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(22,789,796)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(227,676,060)</w:t>
            </w:r>
          </w:p>
        </w:tc>
      </w:tr>
      <w:tr>
        <w:trPr/>
        <w:tc>
          <w:tcPr>
            <w:tcW w:w="6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change in cash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(816,369)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1,245,696</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beginning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843,313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22,232</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restricted cash,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26,944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1,267,928</w:t>
            </w:r>
          </w:p>
        </w:tc>
      </w:tr>
      <w:tr>
        <w:trPr/>
        <w:tc>
          <w:tcPr>
            <w:tcW w:w="6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1,027,644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liability arising from redemption of Class A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2,277,760</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Class A common stock subject to possible redemption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1,646,112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2,881,556</w:t>
            </w:r>
          </w:p>
        </w:tc>
      </w:tr>
      <w:tr>
        <w:trPr/>
        <w:tc>
          <w:tcPr>
            <w:tcW w:w="66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Cash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22,232</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843,313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843,313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22,232</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1,267,928</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pPr>
            <w:r>
              <w:rPr/>
              <w:t>—</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Restricted Cash –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1,267,928</w:t>
            </w:r>
          </w:p>
        </w:tc>
      </w:tr>
    </w:tbl>
    <w:p>
      <w:pPr>
        <w:pStyle w:val="TextBody"/>
        <w:bidi w:val="0"/>
        <w:spacing w:before="0" w:after="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00" w:name="_48f9dd49_c726_48f3_b77f_83a785e2d03b"/>
      <w:bookmarkEnd w:id="700"/>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18"/>
        </w:rPr>
      </w:pPr>
      <w:bookmarkStart w:id="701" w:name="NOTESTOCONDENSEDCONSOLIDATEDFINANCIALSTA"/>
      <w:bookmarkEnd w:id="701"/>
      <w:r>
        <w:rPr>
          <w:rFonts w:ascii="Times New Roman;Times;serif" w:hAnsi="Times New Roman;Times;serif"/>
          <w:b/>
          <w:sz w:val="20"/>
        </w:rPr>
        <w:t>NOTES TO C</w:t>
      </w:r>
      <w:r>
        <w:rPr>
          <w:rFonts w:ascii="Times New Roman;Times;serif" w:hAnsi="Times New Roman;Times;serif"/>
          <w:b/>
          <w:caps/>
          <w:sz w:val="20"/>
        </w:rPr>
        <w:t xml:space="preserve">ONDENSED </w:t>
      </w:r>
      <w:r>
        <w:rPr>
          <w:rFonts w:ascii="Times New Roman;Times;serif" w:hAnsi="Times New Roman;Times;serif"/>
          <w:b/>
          <w:sz w:val="18"/>
        </w:rPr>
        <w:t>CONSOLIDATED</w:t>
      </w:r>
      <w:r>
        <w:rPr>
          <w:rFonts w:ascii="Times New Roman;Times;serif" w:hAnsi="Times New Roman;Times;serif"/>
          <w:caps/>
          <w:sz w:val="18"/>
        </w:rPr>
        <w:t xml:space="preserve"> </w:t>
      </w:r>
      <w:r>
        <w:rPr>
          <w:rFonts w:ascii="Times New Roman;Times;serif" w:hAnsi="Times New Roman;Times;serif"/>
          <w:b/>
          <w:caps/>
          <w:sz w:val="20"/>
        </w:rPr>
        <w:t>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caps/>
          <w:sz w:val="20"/>
        </w:rPr>
        <w:t>(Unaudited</w:t>
      </w:r>
      <w:r>
        <w:rPr>
          <w:rFonts w:ascii="Times New Roman;Times;serif" w:hAnsi="Times New Roman;Times;serif"/>
          <w:b/>
          <w:sz w:val="20"/>
        </w:rPr>
        <w:t>)</w:t>
      </w:r>
    </w:p>
    <w:p>
      <w:pPr>
        <w:pStyle w:val="TextBody"/>
        <w:bidi w:val="0"/>
        <w:spacing w:before="0" w:after="240"/>
        <w:ind w:left="0" w:right="0" w:hanging="0"/>
        <w:jc w:val="both"/>
        <w:rPr>
          <w:rFonts w:ascii="Times New Roman;Times;serif" w:hAnsi="Times New Roman;Times;serif"/>
          <w:b/>
          <w:sz w:val="20"/>
        </w:rPr>
      </w:pPr>
      <w:bookmarkStart w:id="702" w:name="_300573"/>
      <w:bookmarkEnd w:id="702"/>
      <w:r>
        <w:rPr>
          <w:rFonts w:ascii="Times New Roman;Times;serif" w:hAnsi="Times New Roman;Times;serif"/>
          <w:b/>
          <w:sz w:val="20"/>
        </w:rPr>
        <w:t>Note 1-Organization, Business Operation, 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one wholly owned inactive subsidiary, Burtech Merger Sub Inc. (the “Merger Sub”), a Delaware corporation, formed on December 6,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the Company had not commenced any operations. All activity for the period from March 2, 2021 (inception) through June 30,2024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sponsor is BurTech LP LLC, (the “Sponsor”).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 The Underwriting Agreement was amended subsequent to the balance sheet date, refer to Note 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10, 2023, the Company and Sponsor entered into a non-redemption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30, 2023, the Company’s non-binding letter of intent for a potential business combination with CleanBay Renewables Inc. expired. Following thorough initial negotiations, the Company has chosen not to pursue the 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w:t>
      </w:r>
      <w:r>
        <w:rPr>
          <w:rFonts w:ascii="Times New Roman;Times;serif" w:hAnsi="Times New Roman;Times;serif"/>
          <w:b w:val="false"/>
          <w:i w:val="false"/>
          <w:caps w:val="false"/>
          <w:smallCaps w:val="false"/>
          <w:sz w:val="20"/>
        </w:rPr>
        <w:t>1</w:t>
      </w:r>
      <w:r>
        <w:rPr>
          <w:rFonts w:ascii="Times New Roman;Times;serif" w:hAnsi="Times New Roman;Times;serif"/>
          <w:sz w:val="20"/>
        </w:rPr>
        <w:t>)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and March 12, 2024, the Sponsor deposited $130,370 on each date into the Trust account to extend the life of the Company from January 15, 2024 to April 15,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10, 2024, May 10, 2024 and June 12, 2024 the Sponsor deposited $130,370 on each date into the Trust account to extend the life of the Company from April 15, 2024 to July 15, 2024. On July 12, 2024, the Sponsor deposited $130,370 into the Trust account to extend the life of the Company from July 15, 2024 to August 15,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3, 2024, the Company received a notification letter from the Listing Qualifications Department of Nasdaq indicating that, as a result of the Company’s delay in filing its Quarterly Report on Form 10-Q for the period ended June 30, 2024 with SEC, the Company was not in compliance with the requirements for continued listing under Nasdaq Listing Rule 5250(c)(1).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703" w:name="_Hlk103308764"/>
      <w:bookmarkEnd w:id="703"/>
      <w:r>
        <w:rPr>
          <w:rFonts w:ascii="Times New Roman;Times;serif" w:hAnsi="Times New Roman;Times;serif"/>
          <w:sz w:val="20"/>
        </w:rPr>
        <w:t>The notification letter has no immediate effect on the listing or trading of the Company’s common stock on the Nasdaq Global Market. The Notice states that the Company has 60 calendar days from the date of the Notice, or August 2, 2024, to submit a plan to regain compliance with the Listing Rule. If Nasdaq accepts the Company’s plan to regain compliance, then Nasdaq may grant the Company up to 180 calendar days from the prescribed due date of the 10-Q, or November 8, 2024, to file the 10-Q to regain compliance.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the Company had $26,944 in its restricted cash account and $48,885,820 in investments held in trust. Restricted cash is held exclusively for payment of current tax liabilities. As of June 30, 2024, $3,995,122 of the amount on deposit in the Trust Account represents 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liquidity needs up to June 30,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June 30, 2024, the Company had $1,500,000 outstanding under a Convertible Promissory Note and $1,059,551 outstanding as advances from sponsor.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less than seven months from its mandatory liquidation as of the time of filing of Annual Report on Form 10-K and the Company has extended its liquidation date to December 15, 2024.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condensed consolidated financial statements are issued.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conditions raise substantial doubt about the Company’s ability to continue as a going concern. These condensed consolidated financial statements do not include any adjustments relating to the recovery of the recorded assets or the classification of the liabilities that might be necessary should the Company be unable to continue as a going concern.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cash, due from sponsor and trust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the Trust agreement, the Company is permitted to withdraw funds from the trust account to pay its tax obligations, including income and franchise taxes. During the six months ended June 30, 2024, the Company withdrew $43,564 from the trust account for the purposes of settling its current tax liabilities. During the year ended December 31, 2023 the Company identified that $318,888 was erroneously withdrawn from the trust account and used for operating expenses. The sponsor has committed to reimburse the Company for this amount, ensuring that the trust account will be made whole. The amounts due from the sponsor and related payable to the trust account at June 30, 2024 and December 31, 2023 amounted to $109,118 and $318,888, respectively. As of June 30, 2024 and December 31, 2023, the balance in restricted cash in the amount of $26,944 and $843,313, respectively, on the accompanying condensed consolidated balance sheets, represents amounts withheld from the trust account available exclusively for payment of current tax liabilities.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2-Summary of Significant Accounting Policies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consolidated financial statements reflect all adjustments, which include only normal recurring adjustments necessary for the fair statement of the balances and results for the periods presented. The interim results for the three and six months ended June 30, 2024 are not necessarily indicative of the results to be expected for the year ending December 31, 2024 or for any future interim periods.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accompanying unaudited condensed consolidated financial statements should be read in conjunction with the audited financial statements and notes thereto included in the Company’s Annual Report on Form 10-K as of and for the year ended December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the Company and its wholly owned subsidiary. All significant intercompany balances and transactions have been eliminated in consolidation.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Emerging Growth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 the more significant accounting estimates included in these condensed consolidated financial statements is the determination of fair value of the warrant liabilities and the derivative liability - Backstop Subscription Agreement. Such estimates may be subject to change as more current information becomes available and accordingly, the actual results could differ significantly from those estimates.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all short-term investments with an original maturity of three months or less when purchased to be cash equivalents. As of June 30, 2024 and December 31, 2023, the Company had no cash and no cash equivalents. At June 30, 2024 and December 31, 2023, the Company also had $26,944 and $843,313 of restricted cash, respectively, related to funds withdrawn from the Trust Account reserved to the payment of taxes.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Investments Held in Trust Account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At June 30, 2024 and December 31, 2023, the Company had $48,885,820</w:t>
      </w:r>
      <w:r>
        <w:rPr>
          <w:rFonts w:ascii="Times New Roman;Times;serif" w:hAnsi="Times New Roman;Times;serif"/>
          <w:b/>
          <w:sz w:val="20"/>
        </w:rPr>
        <w:t xml:space="preserve"> </w:t>
      </w:r>
      <w:r>
        <w:rPr>
          <w:rFonts w:ascii="Times New Roman;Times;serif" w:hAnsi="Times New Roman;Times;serif"/>
          <w:b w:val="false"/>
          <w:sz w:val="20"/>
        </w:rPr>
        <w:t>and $71,432,177</w:t>
      </w:r>
      <w:r>
        <w:rPr>
          <w:rFonts w:ascii="Times New Roman;Times;serif" w:hAnsi="Times New Roman;Times;serif"/>
          <w:b/>
          <w:sz w:val="20"/>
        </w:rPr>
        <w:t xml:space="preserve"> </w:t>
      </w:r>
      <w:r>
        <w:rPr>
          <w:rFonts w:ascii="Times New Roman;Times;serif" w:hAnsi="Times New Roman;Times;serif"/>
          <w:b w:val="false"/>
          <w:sz w:val="20"/>
        </w:rPr>
        <w:t>(as of December 31, 2023, $24,539,002</w:t>
      </w:r>
      <w:r>
        <w:rPr>
          <w:rFonts w:ascii="Times New Roman;Times;serif" w:hAnsi="Times New Roman;Times;serif"/>
          <w:b/>
          <w:sz w:val="20"/>
        </w:rPr>
        <w:t xml:space="preserve"> </w:t>
      </w:r>
      <w:r>
        <w:rPr>
          <w:rFonts w:ascii="Times New Roman;Times;serif" w:hAnsi="Times New Roman;Times;serif"/>
          <w:b w:val="false"/>
          <w:sz w:val="20"/>
        </w:rPr>
        <w:t>of this amount was restricted for redeeming shareholders, which were redeemed in December 2023 and subsequently distributed in January 2024.)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Common Stock Subject to Possible Redemption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June 30, 2024 and December 31, 2023, 4,345,663</w:t>
      </w:r>
      <w:r>
        <w:rPr>
          <w:rFonts w:ascii="Times New Roman;Times;serif" w:hAnsi="Times New Roman;Times;serif"/>
          <w:b/>
          <w:sz w:val="20"/>
        </w:rPr>
        <w:t xml:space="preserve"> </w:t>
      </w:r>
      <w:r>
        <w:rPr>
          <w:rFonts w:ascii="Times New Roman;Times;serif" w:hAnsi="Times New Roman;Times;serif"/>
          <w:b w:val="false"/>
          <w:sz w:val="20"/>
        </w:rPr>
        <w:t>Class A common stock subject to possible redemption are presented at redemption value as temporary equity, outside of the stockholders’ deficit section of the Company’s balance sheets.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Offering Costs associated with the Initial Public Offering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w:t>
      </w:r>
      <w:r>
        <w:rPr>
          <w:rFonts w:ascii="Times New Roman;Times;serif" w:hAnsi="Times New Roman;Times;serif"/>
          <w:b/>
          <w:sz w:val="20"/>
        </w:rPr>
        <w:t xml:space="preserve"> </w:t>
      </w:r>
      <w:r>
        <w:rPr>
          <w:rFonts w:ascii="Times New Roman;Times;serif" w:hAnsi="Times New Roman;Times;serif"/>
          <w:b w:val="false"/>
          <w:sz w:val="20"/>
        </w:rPr>
        <w:t>as a result of the IPO (consisting of $2,875,000</w:t>
      </w:r>
      <w:r>
        <w:rPr>
          <w:rFonts w:ascii="Times New Roman;Times;serif" w:hAnsi="Times New Roman;Times;serif"/>
          <w:b/>
          <w:sz w:val="20"/>
        </w:rPr>
        <w:t xml:space="preserve"> </w:t>
      </w:r>
      <w:r>
        <w:rPr>
          <w:rFonts w:ascii="Times New Roman;Times;serif" w:hAnsi="Times New Roman;Times;serif"/>
          <w:b w:val="false"/>
          <w:sz w:val="20"/>
        </w:rPr>
        <w:t>of underwriting fees, $10,062,500</w:t>
      </w:r>
      <w:r>
        <w:rPr>
          <w:rFonts w:ascii="Times New Roman;Times;serif" w:hAnsi="Times New Roman;Times;serif"/>
          <w:b/>
          <w:sz w:val="20"/>
        </w:rPr>
        <w:t xml:space="preserve"> </w:t>
      </w:r>
      <w:r>
        <w:rPr>
          <w:rFonts w:ascii="Times New Roman;Times;serif" w:hAnsi="Times New Roman;Times;serif"/>
          <w:b w:val="false"/>
          <w:sz w:val="20"/>
        </w:rPr>
        <w:t>of deferred underwriting fees, $3,456,652</w:t>
      </w:r>
      <w:r>
        <w:rPr>
          <w:rFonts w:ascii="Times New Roman;Times;serif" w:hAnsi="Times New Roman;Times;serif"/>
          <w:b/>
          <w:sz w:val="20"/>
        </w:rPr>
        <w:t xml:space="preserve"> </w:t>
      </w:r>
      <w:r>
        <w:rPr>
          <w:rFonts w:ascii="Times New Roman;Times;serif" w:hAnsi="Times New Roman;Times;serif"/>
          <w:b w:val="false"/>
          <w:sz w:val="20"/>
        </w:rPr>
        <w:t>fair value of the Class A common stock issued to the underwriters and $525,467</w:t>
      </w:r>
      <w:r>
        <w:rPr>
          <w:rFonts w:ascii="Times New Roman;Times;serif" w:hAnsi="Times New Roman;Times;serif"/>
          <w:b/>
          <w:sz w:val="20"/>
        </w:rPr>
        <w:t xml:space="preserve"> </w:t>
      </w:r>
      <w:r>
        <w:rPr>
          <w:rFonts w:ascii="Times New Roman;Times;serif" w:hAnsi="Times New Roman;Times;serif"/>
          <w:b w:val="false"/>
          <w:sz w:val="20"/>
        </w:rPr>
        <w:t>of other offering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June 30, 2024 and December 31, 2023, the Company’s deferred tax asset had a full valuation allowance recorded against 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accrued interest and penalties related to income taxes and unrecognized tax benefits as income tax expense. There were no unrecognized tax benefits as of June 30, 2024 and December 31, 2023. During the three and six months ended June 30, 2024, the Company’s provision for income taxes included $41,498 for interest and penalties. The $41,498 is included in income taxes payable on the Company’s condensed balance sheets as of June 30, 2024. The Company is currently not aware of any issues under review that could result in significant payments, accruals or material deviation from its 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704" w:name="Tc_8XPDCgu-hEmuSSGZi2HuqQ_12_17"/>
      <w:bookmarkStart w:id="705" w:name="Tc_tGADeO2TskqJfYb37rYrlQ_12_14"/>
      <w:bookmarkStart w:id="706" w:name="Tc_oYwFCJP7BEGDCHIbYpuBmQ_12_11"/>
      <w:bookmarkStart w:id="707" w:name="Tc_hKcvBCDgOECDquTNAkCHvQ_12_9"/>
      <w:bookmarkStart w:id="708" w:name="Tc_RV1xVbcvVUGoRNEn7meqog_12_8"/>
      <w:bookmarkStart w:id="709" w:name="Tc_mwKk3PjVuEm5jrVYbHC4Bg_12_5"/>
      <w:bookmarkStart w:id="710" w:name="Tc_KYkN6cKy9UOevRTRtOJeeg_12_2"/>
      <w:bookmarkStart w:id="711" w:name="Tc_LilwtL0Q9EOdjiKZy02Ztg_12_0"/>
      <w:bookmarkStart w:id="712" w:name="Tc_5-zo43-ZXkW5mYG8VCkJtA_11_9"/>
      <w:bookmarkStart w:id="713" w:name="Tc_-NZ8frK5ukaTciE66r-5yA_11_0"/>
      <w:bookmarkStart w:id="714" w:name="Tc_o1Kl8pXYUk6wYnZVNADdVQ_10_0"/>
      <w:bookmarkStart w:id="715" w:name="Tc_I6PNaQQSkkG1YScxk8_LyA_8_17"/>
      <w:bookmarkStart w:id="716" w:name="Tc_cO_kpWHde0SSQnt59a2JSQ_8_14"/>
      <w:bookmarkStart w:id="717" w:name="Tc_Sa26zv2MQ0iR31ec_pfi9g_8_11"/>
      <w:bookmarkStart w:id="718" w:name="Tc_rPLDHHvumEqC0LmPC6iDSA_8_9"/>
      <w:bookmarkStart w:id="719" w:name="Tc_cJTNVI3DHU6MgZSIJddUFg_8_8"/>
      <w:bookmarkStart w:id="720" w:name="Tc_1cobAOjtiEuy40_lnpN21g_8_5"/>
      <w:bookmarkStart w:id="721" w:name="Tc_5nvEi6c-4E6lkwfjRj-vFw_8_2"/>
      <w:bookmarkStart w:id="722" w:name="Tc_G8ZxWfa4EUm-gHafWEaPPw_8_0"/>
      <w:bookmarkStart w:id="723" w:name="Tc_58Ptsd8zqEGqzVRvJrXuzw_7_0"/>
      <w:bookmarkStart w:id="724" w:name="Tc_Gw17mOSUjE2-kaOpgpo74Q_6_0"/>
      <w:bookmarkStart w:id="725" w:name="Tc_gcsmyRIAPEOZPgWSeAsR1w_5_17"/>
      <w:bookmarkStart w:id="726" w:name="Tc_wIMR_aLLCkiRbq0zBxbEYA_5_14"/>
      <w:bookmarkStart w:id="727" w:name="Tc_aVuCyjsIE0u90yOEnfArzQ_5_11"/>
      <w:bookmarkStart w:id="728" w:name="Tc_bYjFqhG-NEKk37qV3P0lSw_5_8"/>
      <w:bookmarkStart w:id="729" w:name="Tc_4zlb1mLaVkeMEgBD19tipw_5_5"/>
      <w:bookmarkStart w:id="730" w:name="Tc_LWNnzXRI3U2-6ypyQbgruw_5_2"/>
      <w:bookmarkStart w:id="731" w:name="Tc_c4--L7r7c0Ww0CA-KCSswA_4_17"/>
      <w:bookmarkStart w:id="732" w:name="Tc_sGQb5T1EJEWtDFvgkyBH8Q_4_14"/>
      <w:bookmarkStart w:id="733" w:name="Tc_47sL3CwH_USi7QqmiUL-vg_4_11"/>
      <w:bookmarkStart w:id="734" w:name="Tc_xf77gFZoEEqxfyltw4ll3w_4_8"/>
      <w:bookmarkStart w:id="735" w:name="Tc_LOI2yMgCrUKRpXPiVAputA_4_5"/>
      <w:bookmarkStart w:id="736" w:name="Tc_ji54nKraxEq2ZFkVJVc8xA_4_2"/>
      <w:bookmarkStart w:id="737" w:name="Tc_AMklMmMl3UmvfKGnQYzgjA_3_17"/>
      <w:bookmarkStart w:id="738" w:name="Tc_Q0-57L-1wEKdBVXaC5BQbA_3_11"/>
      <w:bookmarkStart w:id="739" w:name="Tc_d-6_skVom0G-kMuq29v2gw_3_8"/>
      <w:bookmarkStart w:id="740" w:name="Tc_cqPgiD7iI0-0cCMkdrEYhw_3_2"/>
      <w:bookmarkStart w:id="741" w:name="Tc_RJnjDnKGe0S7EWctc8w8iw_2_11"/>
      <w:bookmarkStart w:id="742" w:name="Tc_JMsCbJDadUyM2ivvrJhrtA_2_2"/>
      <w:bookmarkStart w:id="743" w:name="Tc_urMLlrnNhkmvFuTX-amACA_1_11"/>
      <w:bookmarkStart w:id="744" w:name="Tc_jWJng03SgkqnxUjCjHWkqA_1_2"/>
      <w:bookmarkStart w:id="745" w:name="_945e3672_578e_4309_866f_7c6f432728a7"/>
      <w:bookmarkStart w:id="746" w:name="_8c2d58bc_61eb_4992_b4a7_55804d2028bd"/>
      <w:bookmarkStart w:id="747" w:name="Tc_wEMNa8fNJEq5BAtQC5xQ_w_12_17"/>
      <w:bookmarkStart w:id="748" w:name="Tc_-nn3YenFM0Wc6QDtQZpWlA_12_14"/>
      <w:bookmarkStart w:id="749" w:name="Tc_Y5BciK92Q0u9ij1WMps9gQ_12_11"/>
      <w:bookmarkStart w:id="750" w:name="Tc_m0MeEinTt0yLyMeO9-fxxg_12_9"/>
      <w:bookmarkStart w:id="751" w:name="Tc_xBLO6GbJl0GNLiHsKWw-7Q_12_8"/>
      <w:bookmarkStart w:id="752" w:name="Tc_lKJb2dl7oEO_HCHSWGKL-w_12_5"/>
      <w:bookmarkStart w:id="753" w:name="Tc_Zb2QdLIUU0usr6EKlAaPeg_12_2"/>
      <w:bookmarkStart w:id="754" w:name="Tc_JijKn9JzfEyQ-D5R6ndqig_12_0"/>
      <w:bookmarkStart w:id="755" w:name="Tc_PmdOOcCd9UKFD6Pr8ILj6Q_11_9"/>
      <w:bookmarkStart w:id="756" w:name="Tc_0jXeEZQXOUehgjEE1_Uxqg_11_0"/>
      <w:bookmarkStart w:id="757" w:name="Tc_fG75kCtokEWKgpX-Vsmk5g_10_0"/>
      <w:bookmarkStart w:id="758" w:name="Tc_FnLj2i8WHkC10Jqc0uaTqw_8_17"/>
      <w:bookmarkStart w:id="759" w:name="Tc_cvRD9AzBkUSGVZIl0kjYuw_8_14"/>
      <w:bookmarkStart w:id="760" w:name="Tc_bRdWuMWRtU-86Lx7mZF68Q_8_11"/>
      <w:bookmarkStart w:id="761" w:name="Tc_TeSwZrxVdkSjND9WRkMysA_8_9"/>
      <w:bookmarkStart w:id="762" w:name="Tc_YMAqdpH6fE62QAlUFRUncw_8_8"/>
      <w:bookmarkStart w:id="763" w:name="Tc_mrhsiMgM-06H-UPWPSN95w_8_5"/>
      <w:bookmarkStart w:id="764" w:name="Tc_9xJ-74lm6UaftEvubzU5NA_8_2"/>
      <w:bookmarkStart w:id="765" w:name="Tc_0c350XSIwE-kEghbVvu3ww_8_0"/>
      <w:bookmarkStart w:id="766" w:name="Tc_olpwDZrsikSHSsOZcVOsIA_7_0"/>
      <w:bookmarkStart w:id="767" w:name="Tc_2AyOSPf33Um7MK43O9KpJQ_6_0"/>
      <w:bookmarkStart w:id="768" w:name="Tc_-bph6zcONE25RYLGyseJag_5_17"/>
      <w:bookmarkStart w:id="769" w:name="Tc_-fvv7djkaUa5ArkWPOCr-A_5_14"/>
      <w:bookmarkStart w:id="770" w:name="Tc_H1yWcQ0yZUyLXtmXpKUZYw_5_11"/>
      <w:bookmarkStart w:id="771" w:name="Tc_9j1z1tzqUE2FQZRwcBLLqA_5_8"/>
      <w:bookmarkStart w:id="772" w:name="Tc_c4vtVv35o0ednbMqB1UO9g_5_5"/>
      <w:bookmarkStart w:id="773" w:name="Tc_YKxn8cG3CUK9zjGOi-4UCA_5_2"/>
      <w:bookmarkStart w:id="774" w:name="Tc_NIVLgE4baEam6EeJrZ3hZg_4_17"/>
      <w:bookmarkStart w:id="775" w:name="Tc_z4AQsgJfJU6X19WOocHVtw_4_14"/>
      <w:bookmarkStart w:id="776" w:name="Tc_qB1ZT2wv5U2SUIs_NI-MJw_4_11"/>
      <w:bookmarkStart w:id="777" w:name="Tc_IJHViDuZZECohyAjVvevBA_4_8"/>
      <w:bookmarkStart w:id="778" w:name="Tc_aRRH9QC170aD4b5u1TcMHA_4_5"/>
      <w:bookmarkStart w:id="779" w:name="Tc_Vr6XuGgmH0ub2_UabNuq2g_4_2"/>
      <w:bookmarkStart w:id="780" w:name="Tc_znE-XjVH90SCqPjILHt9KQ_3_17"/>
      <w:bookmarkStart w:id="781" w:name="Tc_mF4QZmNdTEWea6pKZPcKRA_3_11"/>
      <w:bookmarkStart w:id="782" w:name="Tc_JcHRpS3NSU60oHWtR38-Ew_3_8"/>
      <w:bookmarkStart w:id="783" w:name="Tc_6qA-VAmPU0efbBgLUyinQg_3_2"/>
      <w:bookmarkStart w:id="784" w:name="Tc_i6y3074fY0uAXseEC8JRgA_2_11"/>
      <w:bookmarkStart w:id="785" w:name="Tc_MekKKTMS8UyqmUqM1Cpuxg_2_2"/>
      <w:bookmarkStart w:id="786" w:name="Tc_Iu4YPsCg_EWeaQnNCioFCA_1_11"/>
      <w:bookmarkStart w:id="787" w:name="Tc_eRKT5fePEEuqe7RfRXUN6A_1_2"/>
      <w:bookmarkStart w:id="788" w:name="_b082e082_c9e0_44f0_a205_1bf05b8483bb"/>
      <w:bookmarkStart w:id="789" w:name="_24ed9030_81cd_4f9e_aa65_449fc8d2ee0e"/>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r>
        <w:rPr>
          <w:rFonts w:ascii="Times New Roman;Times;serif" w:hAnsi="Times New Roman;Times;serif"/>
          <w:sz w:val="20"/>
        </w:rPr>
        <w:t>The Company’s effective tax rate was (25.23)% and 63.04% for the three months ended June 30, 2024 and 2023, respectively, and (86.80)% and 31.61% for the six months ended June 30, 2024 and 2023, respectively. The effective tax rate differs from the statutory tax rate of 21% due to the valuation allowance on the deferred tax assets and the deductibility of penalties on tax obligations and merger and acquisition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Income or Loss Per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and six months ended June 30, 2024 and 2023 because the warrants are contingently exercisable, and the contingencies have not yet been met and its inclusion would be anti- dilutive. As a result, diluted net income or loss per common stock is the same as basic net income or loss per common stock for the periods. The table below presents a reconciliation of the numerator and denominator used to compute basic and diluted net income or loss per share for each class of common stock: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18"/>
        <w:gridCol w:w="326"/>
        <w:gridCol w:w="196"/>
        <w:gridCol w:w="750"/>
        <w:gridCol w:w="326"/>
        <w:gridCol w:w="203"/>
        <w:gridCol w:w="863"/>
        <w:gridCol w:w="326"/>
        <w:gridCol w:w="364"/>
        <w:gridCol w:w="702"/>
        <w:gridCol w:w="326"/>
        <w:gridCol w:w="202"/>
        <w:gridCol w:w="774"/>
        <w:gridCol w:w="326"/>
        <w:gridCol w:w="221"/>
        <w:gridCol w:w="845"/>
        <w:gridCol w:w="326"/>
        <w:gridCol w:w="219"/>
        <w:gridCol w:w="892"/>
      </w:tblGrid>
      <w:tr>
        <w:trPr/>
        <w:tc>
          <w:tcPr>
            <w:tcW w:w="2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81430" cy="175260"/>
                      <wp:effectExtent l="0" t="0" r="0" b="0"/>
                      <wp:wrapNone/>
                      <wp:docPr id="69" name="Frame69"/>
                      <a:graphic xmlns:a="http://schemas.openxmlformats.org/drawingml/2006/main">
                        <a:graphicData uri="http://schemas.microsoft.com/office/word/2010/wordprocessingShape">
                          <wps:wsp>
                            <wps:cNvSpPr txBox="1"/>
                            <wps:spPr>
                              <a:xfrm>
                                <a:off x="0" y="0"/>
                                <a:ext cx="1281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71"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76250" cy="175260"/>
                      <wp:effectExtent l="0" t="0" r="0" b="0"/>
                      <wp:wrapNone/>
                      <wp:docPr id="72" name="Frame72"/>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8905" cy="175260"/>
                      <wp:effectExtent l="0" t="0" r="0" b="0"/>
                      <wp:wrapNone/>
                      <wp:docPr id="74" name="Frame74"/>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48005" cy="175260"/>
                      <wp:effectExtent l="0" t="0" r="0" b="0"/>
                      <wp:wrapNone/>
                      <wp:docPr id="75" name="Frame75"/>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1140" cy="175260"/>
                      <wp:effectExtent l="0" t="0" r="0" b="0"/>
                      <wp:wrapNone/>
                      <wp:docPr id="77" name="Frame77"/>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45770" cy="175260"/>
                      <wp:effectExtent l="0" t="0" r="0" b="0"/>
                      <wp:wrapNone/>
                      <wp:docPr id="78" name="Frame78"/>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8270" cy="175260"/>
                      <wp:effectExtent l="0" t="0" r="0" b="0"/>
                      <wp:wrapNone/>
                      <wp:docPr id="80" name="Frame80"/>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1490" cy="175260"/>
                      <wp:effectExtent l="0" t="0" r="0" b="0"/>
                      <wp:wrapNone/>
                      <wp:docPr id="81" name="Frame81"/>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0335" cy="175260"/>
                      <wp:effectExtent l="0" t="0" r="0" b="0"/>
                      <wp:wrapNone/>
                      <wp:docPr id="83" name="Frame8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36575" cy="175260"/>
                      <wp:effectExtent l="0" t="0" r="0" b="0"/>
                      <wp:wrapNone/>
                      <wp:docPr id="84" name="Frame84"/>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9065" cy="175260"/>
                      <wp:effectExtent l="0" t="0" r="0" b="0"/>
                      <wp:wrapNone/>
                      <wp:docPr id="86" name="Frame8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66420" cy="175260"/>
                      <wp:effectExtent l="0" t="0" r="0" b="0"/>
                      <wp:wrapNone/>
                      <wp:docPr id="87" name="Frame87"/>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30" w:type="dxa"/>
            <w:gridSpan w:val="8"/>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For the Three Months Ended</w:t>
            </w:r>
          </w:p>
        </w:tc>
        <w:tc>
          <w:tcPr>
            <w:tcW w:w="326" w:type="dxa"/>
            <w:tcBorders/>
            <w:vAlign w:val="center"/>
          </w:tcPr>
          <w:p>
            <w:pPr>
              <w:pStyle w:val="TableContents"/>
              <w:bidi w:val="0"/>
              <w:spacing w:before="0" w:after="1"/>
              <w:ind w:left="0" w:right="0" w:hanging="0"/>
              <w:jc w:val="center"/>
              <w:rPr/>
            </w:pPr>
            <w:r>
              <w:rPr/>
              <w:t>​</w:t>
            </w:r>
          </w:p>
        </w:tc>
        <w:tc>
          <w:tcPr>
            <w:tcW w:w="3805" w:type="dxa"/>
            <w:gridSpan w:val="8"/>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For the Three Months Ended</w:t>
            </w:r>
          </w:p>
        </w:tc>
      </w:tr>
      <w:tr>
        <w:trPr/>
        <w:tc>
          <w:tcPr>
            <w:tcW w:w="2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3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June 30, 2024</w:t>
            </w:r>
          </w:p>
        </w:tc>
        <w:tc>
          <w:tcPr>
            <w:tcW w:w="326" w:type="dxa"/>
            <w:tcBorders/>
            <w:vAlign w:val="center"/>
          </w:tcPr>
          <w:p>
            <w:pPr>
              <w:pStyle w:val="TableContents"/>
              <w:bidi w:val="0"/>
              <w:spacing w:before="0" w:after="1"/>
              <w:ind w:left="0" w:right="0" w:hanging="0"/>
              <w:jc w:val="center"/>
              <w:rPr/>
            </w:pPr>
            <w:r>
              <w:rPr/>
              <w:t>​</w:t>
            </w:r>
          </w:p>
        </w:tc>
        <w:tc>
          <w:tcPr>
            <w:tcW w:w="380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June 30, 2023</w:t>
            </w:r>
          </w:p>
        </w:tc>
      </w:tr>
      <w:tr>
        <w:trPr/>
        <w:tc>
          <w:tcPr>
            <w:tcW w:w="2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A</w:t>
            </w:r>
          </w:p>
        </w:tc>
        <w:tc>
          <w:tcPr>
            <w:tcW w:w="326" w:type="dxa"/>
            <w:tcBorders/>
            <w:vAlign w:val="center"/>
          </w:tcPr>
          <w:p>
            <w:pPr>
              <w:pStyle w:val="TableContents"/>
              <w:bidi w:val="0"/>
              <w:spacing w:before="0" w:after="1"/>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B</w:t>
            </w:r>
          </w:p>
        </w:tc>
        <w:tc>
          <w:tcPr>
            <w:tcW w:w="326" w:type="dxa"/>
            <w:tcBorders/>
            <w:vAlign w:val="center"/>
          </w:tcPr>
          <w:p>
            <w:pPr>
              <w:pStyle w:val="TableContents"/>
              <w:bidi w:val="0"/>
              <w:spacing w:before="0" w:after="1"/>
              <w:ind w:left="0" w:right="0" w:hanging="0"/>
              <w:jc w:val="center"/>
              <w:rPr/>
            </w:pPr>
            <w:r>
              <w:rPr/>
              <w:t>​</w:t>
            </w:r>
          </w:p>
        </w:tc>
        <w:tc>
          <w:tcPr>
            <w:tcW w:w="23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A</w:t>
            </w:r>
          </w:p>
        </w:tc>
        <w:tc>
          <w:tcPr>
            <w:tcW w:w="32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B</w:t>
            </w:r>
          </w:p>
        </w:tc>
      </w:tr>
      <w:tr>
        <w:trPr/>
        <w:tc>
          <w:tcPr>
            <w:tcW w:w="2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Redeemable</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Non-redeemable</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Non-redeemable</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Redeemable</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Non-redeemable</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Non-redeemable</w:t>
            </w:r>
          </w:p>
        </w:tc>
      </w:tr>
      <w:tr>
        <w:trPr/>
        <w:tc>
          <w:tcPr>
            <w:tcW w:w="2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r>
      <w:tr>
        <w:trPr/>
        <w:tc>
          <w:tcPr>
            <w:tcW w:w="201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Basic and diluted net (loss) income per share:</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50"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03" w:type="dxa"/>
            <w:tcBorders/>
            <w:shd w:fill="CCEEFF" w:val="clear"/>
            <w:vAlign w:val="center"/>
          </w:tcPr>
          <w:p>
            <w:pPr>
              <w:pStyle w:val="TableContents"/>
              <w:bidi w:val="0"/>
              <w:spacing w:before="0" w:after="1"/>
              <w:ind w:left="0" w:right="0" w:hanging="0"/>
              <w:jc w:val="center"/>
              <w:rPr/>
            </w:pPr>
            <w:r>
              <w:rPr/>
              <w:t>​</w:t>
            </w:r>
          </w:p>
        </w:tc>
        <w:tc>
          <w:tcPr>
            <w:tcW w:w="86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64" w:type="dxa"/>
            <w:tcBorders/>
            <w:shd w:fill="CCEEFF" w:val="clear"/>
            <w:vAlign w:val="center"/>
          </w:tcPr>
          <w:p>
            <w:pPr>
              <w:pStyle w:val="TableContents"/>
              <w:bidi w:val="0"/>
              <w:spacing w:before="0" w:after="1"/>
              <w:ind w:left="0" w:right="0" w:hanging="0"/>
              <w:jc w:val="center"/>
              <w:rPr/>
            </w:pPr>
            <w:r>
              <w:rPr/>
              <w:t>​</w:t>
            </w:r>
          </w:p>
        </w:tc>
        <w:tc>
          <w:tcPr>
            <w:tcW w:w="70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02" w:type="dxa"/>
            <w:tcBorders/>
            <w:shd w:fill="CCEEFF" w:val="clear"/>
            <w:vAlign w:val="center"/>
          </w:tcPr>
          <w:p>
            <w:pPr>
              <w:pStyle w:val="TableContents"/>
              <w:bidi w:val="0"/>
              <w:spacing w:before="0" w:after="1"/>
              <w:ind w:left="0" w:right="0" w:hanging="0"/>
              <w:jc w:val="center"/>
              <w:rPr/>
            </w:pPr>
            <w:r>
              <w:rPr/>
              <w:t>​</w:t>
            </w:r>
          </w:p>
        </w:tc>
        <w:tc>
          <w:tcPr>
            <w:tcW w:w="77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1" w:type="dxa"/>
            <w:tcBorders/>
            <w:shd w:fill="CCEEFF" w:val="clear"/>
            <w:vAlign w:val="center"/>
          </w:tcPr>
          <w:p>
            <w:pPr>
              <w:pStyle w:val="TableContents"/>
              <w:bidi w:val="0"/>
              <w:spacing w:before="0" w:after="1"/>
              <w:ind w:left="0" w:right="0" w:hanging="0"/>
              <w:jc w:val="center"/>
              <w:rPr/>
            </w:pPr>
            <w:r>
              <w:rPr/>
              <w:t>​</w:t>
            </w:r>
          </w:p>
        </w:tc>
        <w:tc>
          <w:tcPr>
            <w:tcW w:w="84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9" w:type="dxa"/>
            <w:tcBorders/>
            <w:shd w:fill="CCEEFF" w:val="clear"/>
            <w:vAlign w:val="center"/>
          </w:tcPr>
          <w:p>
            <w:pPr>
              <w:pStyle w:val="TableContents"/>
              <w:bidi w:val="0"/>
              <w:spacing w:before="0" w:after="1"/>
              <w:ind w:left="0" w:right="0" w:hanging="0"/>
              <w:jc w:val="center"/>
              <w:rPr/>
            </w:pPr>
            <w:r>
              <w:rPr/>
              <w:t>​</w:t>
            </w:r>
          </w:p>
        </w:tc>
        <w:tc>
          <w:tcPr>
            <w:tcW w:w="892" w:type="dxa"/>
            <w:tcBorders/>
            <w:shd w:fill="CCEEFF" w:val="clear"/>
            <w:vAlign w:val="center"/>
          </w:tcPr>
          <w:p>
            <w:pPr>
              <w:pStyle w:val="TableContents"/>
              <w:bidi w:val="0"/>
              <w:spacing w:before="0" w:after="1"/>
              <w:ind w:left="0" w:right="0" w:hanging="0"/>
              <w:jc w:val="center"/>
              <w:rPr/>
            </w:pPr>
            <w:r>
              <w:rPr/>
              <w:t>​</w:t>
            </w:r>
          </w:p>
        </w:tc>
      </w:tr>
      <w:tr>
        <w:trPr/>
        <w:tc>
          <w:tcPr>
            <w:tcW w:w="2018"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Numerator:</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left"/>
              <w:rPr/>
            </w:pPr>
            <w:r>
              <w:rPr/>
              <w:t>​</w:t>
            </w:r>
          </w:p>
        </w:tc>
      </w:tr>
      <w:tr>
        <w:trPr/>
        <w:tc>
          <w:tcPr>
            <w:tcW w:w="20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Allocation of net (loss)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(172,023)</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(428,190)</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37,537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7,526</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53,709</w:t>
            </w:r>
          </w:p>
        </w:tc>
      </w:tr>
      <w:tr>
        <w:trPr/>
        <w:tc>
          <w:tcPr>
            <w:tcW w:w="2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left"/>
              <w:rPr/>
            </w:pPr>
            <w:r>
              <w:rPr/>
              <w:t>​</w:t>
            </w:r>
          </w:p>
        </w:tc>
      </w:tr>
      <w:tr>
        <w:trPr/>
        <w:tc>
          <w:tcPr>
            <w:tcW w:w="201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8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pPr>
            <w:r>
              <w:rPr/>
              <w:t>​</w:t>
            </w:r>
          </w:p>
        </w:tc>
      </w:tr>
      <w:tr>
        <w:trPr/>
        <w:tc>
          <w:tcPr>
            <w:tcW w:w="2018"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Weighted-average shares outstanding including common stock subject to redemption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4,345,663</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10,817,000</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6,630,703</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1,329,500</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9,487,500</w:t>
            </w:r>
          </w:p>
        </w:tc>
      </w:tr>
      <w:tr>
        <w:trPr/>
        <w:tc>
          <w:tcPr>
            <w:tcW w:w="201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Basic and diluted net (loss) income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0.01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0.01</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892" w:type="dxa"/>
            <w:tcBorders/>
            <w:shd w:fill="CCEEFF" w:val="clear"/>
            <w:vAlign w:val="center"/>
          </w:tcPr>
          <w:p>
            <w:pPr>
              <w:pStyle w:val="TableContents"/>
              <w:bidi w:val="0"/>
              <w:spacing w:before="0" w:after="1"/>
              <w:ind w:left="0" w:right="45" w:hanging="0"/>
              <w:jc w:val="right"/>
              <w:rPr>
                <w:rFonts w:ascii="Times New Roman;Times;serif" w:hAnsi="Times New Roman;Times;serif"/>
                <w:b/>
                <w:sz w:val="13"/>
              </w:rPr>
            </w:pPr>
            <w:r>
              <w:rPr>
                <w:rFonts w:ascii="Times New Roman;Times;serif" w:hAnsi="Times New Roman;Times;serif"/>
                <w:b/>
                <w:sz w:val="13"/>
              </w:rPr>
              <w:t>0.01</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78"/>
        <w:gridCol w:w="326"/>
        <w:gridCol w:w="208"/>
        <w:gridCol w:w="798"/>
        <w:gridCol w:w="326"/>
        <w:gridCol w:w="203"/>
        <w:gridCol w:w="863"/>
        <w:gridCol w:w="326"/>
        <w:gridCol w:w="419"/>
        <w:gridCol w:w="707"/>
        <w:gridCol w:w="326"/>
        <w:gridCol w:w="198"/>
        <w:gridCol w:w="838"/>
        <w:gridCol w:w="326"/>
        <w:gridCol w:w="221"/>
        <w:gridCol w:w="845"/>
        <w:gridCol w:w="326"/>
        <w:gridCol w:w="231"/>
        <w:gridCol w:w="940"/>
      </w:tblGrid>
      <w:tr>
        <w:trPr/>
        <w:tc>
          <w:tcPr>
            <w:tcW w:w="1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129030" cy="175260"/>
                      <wp:effectExtent l="0" t="0" r="0" b="0"/>
                      <wp:wrapNone/>
                      <wp:docPr id="88" name="Frame88"/>
                      <a:graphic xmlns:a="http://schemas.openxmlformats.org/drawingml/2006/main">
                        <a:graphicData uri="http://schemas.microsoft.com/office/word/2010/wordprocessingShape">
                          <wps:wsp>
                            <wps:cNvSpPr txBox="1"/>
                            <wps:spPr>
                              <a:xfrm>
                                <a:off x="0" y="0"/>
                                <a:ext cx="1129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2080" cy="175260"/>
                      <wp:effectExtent l="0" t="0" r="0" b="0"/>
                      <wp:wrapNone/>
                      <wp:docPr id="90" name="Frame90"/>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06730" cy="175260"/>
                      <wp:effectExtent l="0" t="0" r="0" b="0"/>
                      <wp:wrapNone/>
                      <wp:docPr id="91" name="Frame91"/>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8905" cy="175260"/>
                      <wp:effectExtent l="0" t="0" r="0" b="0"/>
                      <wp:wrapNone/>
                      <wp:docPr id="93" name="Frame93"/>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48005" cy="175260"/>
                      <wp:effectExtent l="0" t="0" r="0" b="0"/>
                      <wp:wrapNone/>
                      <wp:docPr id="94" name="Frame94"/>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66065" cy="175260"/>
                      <wp:effectExtent l="0" t="0" r="0" b="0"/>
                      <wp:wrapNone/>
                      <wp:docPr id="96" name="Frame96"/>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48945" cy="175260"/>
                      <wp:effectExtent l="0" t="0" r="0" b="0"/>
                      <wp:wrapNone/>
                      <wp:docPr id="97" name="Frame97"/>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5730" cy="175260"/>
                      <wp:effectExtent l="0" t="0" r="0" b="0"/>
                      <wp:wrapNone/>
                      <wp:docPr id="99" name="Frame99"/>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32130" cy="175260"/>
                      <wp:effectExtent l="0" t="0" r="0" b="0"/>
                      <wp:wrapNone/>
                      <wp:docPr id="100" name="Frame100"/>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0335" cy="175260"/>
                      <wp:effectExtent l="0" t="0" r="0" b="0"/>
                      <wp:wrapNone/>
                      <wp:docPr id="102" name="Frame10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36575" cy="175260"/>
                      <wp:effectExtent l="0" t="0" r="0" b="0"/>
                      <wp:wrapNone/>
                      <wp:docPr id="103" name="Frame103"/>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6685" cy="175260"/>
                      <wp:effectExtent l="0" t="0" r="0" b="0"/>
                      <wp:wrapNone/>
                      <wp:docPr id="105" name="Frame10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6900" cy="175260"/>
                      <wp:effectExtent l="0" t="0" r="0" b="0"/>
                      <wp:wrapNone/>
                      <wp:docPr id="106" name="Frame106"/>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50" w:type="dxa"/>
            <w:gridSpan w:val="8"/>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For the Six Months Ended </w:t>
            </w:r>
          </w:p>
        </w:tc>
        <w:tc>
          <w:tcPr>
            <w:tcW w:w="326" w:type="dxa"/>
            <w:tcBorders/>
            <w:vAlign w:val="center"/>
          </w:tcPr>
          <w:p>
            <w:pPr>
              <w:pStyle w:val="TableContents"/>
              <w:bidi w:val="0"/>
              <w:spacing w:before="0" w:after="1"/>
              <w:ind w:left="0" w:right="0" w:hanging="0"/>
              <w:jc w:val="left"/>
              <w:rPr/>
            </w:pPr>
            <w:r>
              <w:rPr/>
              <w:t>​</w:t>
            </w:r>
          </w:p>
        </w:tc>
        <w:tc>
          <w:tcPr>
            <w:tcW w:w="3925" w:type="dxa"/>
            <w:gridSpan w:val="8"/>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For the Six Months Ended </w:t>
            </w:r>
          </w:p>
        </w:tc>
      </w:tr>
      <w:tr>
        <w:trPr/>
        <w:tc>
          <w:tcPr>
            <w:tcW w:w="1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5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June 30, 2024</w:t>
            </w:r>
          </w:p>
        </w:tc>
        <w:tc>
          <w:tcPr>
            <w:tcW w:w="326" w:type="dxa"/>
            <w:tcBorders/>
            <w:vAlign w:val="center"/>
          </w:tcPr>
          <w:p>
            <w:pPr>
              <w:pStyle w:val="TableContents"/>
              <w:bidi w:val="0"/>
              <w:spacing w:before="0" w:after="1"/>
              <w:ind w:left="0" w:right="0" w:hanging="0"/>
              <w:jc w:val="left"/>
              <w:rPr/>
            </w:pPr>
            <w:r>
              <w:rPr/>
              <w:t>​</w:t>
            </w:r>
          </w:p>
        </w:tc>
        <w:tc>
          <w:tcPr>
            <w:tcW w:w="392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June 30, 2023</w:t>
            </w:r>
          </w:p>
        </w:tc>
      </w:tr>
      <w:tr>
        <w:trPr/>
        <w:tc>
          <w:tcPr>
            <w:tcW w:w="1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A</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B</w:t>
            </w:r>
          </w:p>
        </w:tc>
        <w:tc>
          <w:tcPr>
            <w:tcW w:w="326" w:type="dxa"/>
            <w:tcBorders/>
            <w:vAlign w:val="center"/>
          </w:tcPr>
          <w:p>
            <w:pPr>
              <w:pStyle w:val="TableContents"/>
              <w:bidi w:val="0"/>
              <w:spacing w:before="0" w:after="1"/>
              <w:ind w:left="0" w:right="0" w:hanging="0"/>
              <w:jc w:val="center"/>
              <w:rPr/>
            </w:pPr>
            <w:r>
              <w:rPr/>
              <w:t>​</w:t>
            </w:r>
          </w:p>
        </w:tc>
        <w:tc>
          <w:tcPr>
            <w:tcW w:w="24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A</w:t>
            </w:r>
          </w:p>
        </w:tc>
        <w:tc>
          <w:tcPr>
            <w:tcW w:w="326" w:type="dxa"/>
            <w:tcBorders/>
            <w:vAlign w:val="center"/>
          </w:tcPr>
          <w:p>
            <w:pPr>
              <w:pStyle w:val="TableContents"/>
              <w:bidi w:val="0"/>
              <w:spacing w:before="0" w:after="1"/>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Class B</w:t>
            </w:r>
          </w:p>
        </w:tc>
      </w:tr>
      <w:tr>
        <w:trPr/>
        <w:tc>
          <w:tcPr>
            <w:tcW w:w="1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3"/>
              </w:rPr>
              <w:t>Redeemable</w:t>
            </w:r>
          </w:p>
        </w:tc>
        <w:tc>
          <w:tcPr>
            <w:tcW w:w="326" w:type="dxa"/>
            <w:tcBorders/>
            <w:vAlign w:val="center"/>
          </w:tcPr>
          <w:p>
            <w:pPr>
              <w:pStyle w:val="TableContents"/>
              <w:bidi w:val="0"/>
              <w:spacing w:before="0" w:after="1"/>
              <w:ind w:left="0" w:right="0" w:hanging="0"/>
              <w:jc w:val="center"/>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Non-redeemable</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3"/>
              </w:rPr>
              <w:t>Non-redeemable</w:t>
            </w:r>
          </w:p>
        </w:tc>
        <w:tc>
          <w:tcPr>
            <w:tcW w:w="326" w:type="dxa"/>
            <w:tcBorders/>
            <w:vAlign w:val="center"/>
          </w:tcPr>
          <w:p>
            <w:pPr>
              <w:pStyle w:val="TableContents"/>
              <w:bidi w:val="0"/>
              <w:spacing w:before="0" w:after="1"/>
              <w:ind w:left="0" w:right="0" w:hanging="0"/>
              <w:jc w:val="center"/>
              <w:rPr/>
            </w:pPr>
            <w:r>
              <w:rPr/>
              <w:t>​</w:t>
            </w:r>
          </w:p>
        </w:tc>
        <w:tc>
          <w:tcPr>
            <w:tcW w:w="103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3"/>
              </w:rPr>
              <w:t>Redeemable</w:t>
            </w:r>
          </w:p>
        </w:tc>
        <w:tc>
          <w:tcPr>
            <w:tcW w:w="326" w:type="dxa"/>
            <w:tcBorders/>
            <w:vAlign w:val="center"/>
          </w:tcPr>
          <w:p>
            <w:pPr>
              <w:pStyle w:val="TableContents"/>
              <w:bidi w:val="0"/>
              <w:spacing w:before="0" w:after="1"/>
              <w:ind w:left="0" w:right="0" w:hanging="0"/>
              <w:jc w:val="center"/>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Non-redeemable</w:t>
            </w:r>
          </w:p>
        </w:tc>
        <w:tc>
          <w:tcPr>
            <w:tcW w:w="326" w:type="dxa"/>
            <w:tcBorders/>
            <w:vAlign w:val="center"/>
          </w:tcPr>
          <w:p>
            <w:pPr>
              <w:pStyle w:val="TableContents"/>
              <w:bidi w:val="0"/>
              <w:spacing w:before="0" w:after="1"/>
              <w:ind w:left="0" w:right="0" w:hanging="0"/>
              <w:jc w:val="center"/>
              <w:rPr/>
            </w:pPr>
            <w:r>
              <w:rPr/>
              <w:t>​</w:t>
            </w:r>
          </w:p>
        </w:tc>
        <w:tc>
          <w:tcPr>
            <w:tcW w:w="117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3"/>
              </w:rPr>
              <w:t>Non-redeemable</w:t>
            </w:r>
          </w:p>
        </w:tc>
      </w:tr>
      <w:tr>
        <w:trPr/>
        <w:tc>
          <w:tcPr>
            <w:tcW w:w="1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1"/>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3"/>
              </w:rPr>
              <w:t>common stock</w:t>
            </w:r>
          </w:p>
        </w:tc>
      </w:tr>
      <w:tr>
        <w:trPr/>
        <w:tc>
          <w:tcPr>
            <w:tcW w:w="177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Basic and diluted net (loss) income per share:</w:t>
            </w:r>
          </w:p>
        </w:tc>
        <w:tc>
          <w:tcPr>
            <w:tcW w:w="326" w:type="dxa"/>
            <w:tcBorders/>
            <w:shd w:fill="CCEEFF" w:val="clear"/>
            <w:vAlign w:val="center"/>
          </w:tcPr>
          <w:p>
            <w:pPr>
              <w:pStyle w:val="TableContents"/>
              <w:bidi w:val="0"/>
              <w:spacing w:before="0" w:after="1"/>
              <w:ind w:left="0" w:right="0" w:hanging="0"/>
              <w:jc w:val="center"/>
              <w:rPr/>
            </w:pPr>
            <w:r>
              <w:rPr/>
              <w:t>​</w:t>
            </w:r>
          </w:p>
        </w:tc>
        <w:tc>
          <w:tcPr>
            <w:tcW w:w="208" w:type="dxa"/>
            <w:tcBorders/>
            <w:shd w:fill="CCEEFF" w:val="clear"/>
            <w:vAlign w:val="center"/>
          </w:tcPr>
          <w:p>
            <w:pPr>
              <w:pStyle w:val="TableContents"/>
              <w:bidi w:val="0"/>
              <w:spacing w:before="0" w:after="1"/>
              <w:ind w:left="0" w:right="0" w:hanging="0"/>
              <w:jc w:val="center"/>
              <w:rPr/>
            </w:pPr>
            <w:r>
              <w:rPr/>
              <w:t>​</w:t>
            </w:r>
          </w:p>
        </w:tc>
        <w:tc>
          <w:tcPr>
            <w:tcW w:w="79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03" w:type="dxa"/>
            <w:tcBorders/>
            <w:shd w:fill="CCEEFF" w:val="clear"/>
            <w:vAlign w:val="center"/>
          </w:tcPr>
          <w:p>
            <w:pPr>
              <w:pStyle w:val="TableContents"/>
              <w:bidi w:val="0"/>
              <w:spacing w:before="0" w:after="1"/>
              <w:ind w:left="0" w:right="0" w:hanging="0"/>
              <w:jc w:val="center"/>
              <w:rPr/>
            </w:pPr>
            <w:r>
              <w:rPr/>
              <w:t>​</w:t>
            </w:r>
          </w:p>
        </w:tc>
        <w:tc>
          <w:tcPr>
            <w:tcW w:w="86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419" w:type="dxa"/>
            <w:tcBorders/>
            <w:shd w:fill="CCEEFF" w:val="clear"/>
            <w:vAlign w:val="center"/>
          </w:tcPr>
          <w:p>
            <w:pPr>
              <w:pStyle w:val="TableContents"/>
              <w:bidi w:val="0"/>
              <w:spacing w:before="0" w:after="1"/>
              <w:ind w:left="0" w:right="0" w:hanging="0"/>
              <w:jc w:val="center"/>
              <w:rPr/>
            </w:pPr>
            <w:r>
              <w:rPr/>
              <w:t>​</w:t>
            </w:r>
          </w:p>
        </w:tc>
        <w:tc>
          <w:tcPr>
            <w:tcW w:w="70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  </w:t>
            </w:r>
          </w:p>
        </w:tc>
        <w:tc>
          <w:tcPr>
            <w:tcW w:w="198" w:type="dxa"/>
            <w:tcBorders/>
            <w:shd w:fill="CCEEFF" w:val="clear"/>
            <w:vAlign w:val="center"/>
          </w:tcPr>
          <w:p>
            <w:pPr>
              <w:pStyle w:val="TableContents"/>
              <w:bidi w:val="0"/>
              <w:spacing w:before="0" w:after="1"/>
              <w:ind w:left="0" w:right="0" w:hanging="0"/>
              <w:jc w:val="center"/>
              <w:rPr/>
            </w:pPr>
            <w:r>
              <w:rPr/>
              <w:t> </w:t>
            </w:r>
          </w:p>
        </w:tc>
        <w:tc>
          <w:tcPr>
            <w:tcW w:w="83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1" w:type="dxa"/>
            <w:tcBorders/>
            <w:shd w:fill="CCEEFF" w:val="clear"/>
            <w:vAlign w:val="center"/>
          </w:tcPr>
          <w:p>
            <w:pPr>
              <w:pStyle w:val="TableContents"/>
              <w:bidi w:val="0"/>
              <w:spacing w:before="0" w:after="1"/>
              <w:ind w:left="0" w:right="0" w:hanging="0"/>
              <w:jc w:val="center"/>
              <w:rPr/>
            </w:pPr>
            <w:r>
              <w:rPr/>
              <w:t>​</w:t>
            </w:r>
          </w:p>
        </w:tc>
        <w:tc>
          <w:tcPr>
            <w:tcW w:w="84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940" w:type="dxa"/>
            <w:tcBorders/>
            <w:shd w:fill="CCEEFF" w:val="clear"/>
            <w:vAlign w:val="center"/>
          </w:tcPr>
          <w:p>
            <w:pPr>
              <w:pStyle w:val="TableContents"/>
              <w:bidi w:val="0"/>
              <w:spacing w:before="0" w:after="1"/>
              <w:ind w:left="0" w:right="0" w:hanging="0"/>
              <w:jc w:val="center"/>
              <w:rPr/>
            </w:pPr>
            <w:r>
              <w:rPr/>
              <w:t>​</w:t>
            </w:r>
          </w:p>
        </w:tc>
      </w:tr>
      <w:tr>
        <w:trPr/>
        <w:tc>
          <w:tcPr>
            <w:tcW w:w="1778"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Numerator:</w:t>
            </w:r>
          </w:p>
        </w:tc>
        <w:tc>
          <w:tcPr>
            <w:tcW w:w="326" w:type="dxa"/>
            <w:tcBorders/>
            <w:vAlign w:val="center"/>
          </w:tcPr>
          <w:p>
            <w:pPr>
              <w:pStyle w:val="TableContents"/>
              <w:bidi w:val="0"/>
              <w:spacing w:before="0" w:after="1"/>
              <w:ind w:left="0" w:right="0" w:hanging="0"/>
              <w:jc w:val="center"/>
              <w:rPr/>
            </w:pPr>
            <w:r>
              <w:rPr/>
              <w:t>​</w:t>
            </w:r>
          </w:p>
        </w:tc>
        <w:tc>
          <w:tcPr>
            <w:tcW w:w="208" w:type="dxa"/>
            <w:tcBorders/>
            <w:vAlign w:val="center"/>
          </w:tcPr>
          <w:p>
            <w:pPr>
              <w:pStyle w:val="TableContents"/>
              <w:bidi w:val="0"/>
              <w:spacing w:before="0" w:after="1"/>
              <w:ind w:left="0" w:right="0" w:hanging="0"/>
              <w:jc w:val="center"/>
              <w:rPr/>
            </w:pPr>
            <w:r>
              <w:rPr/>
              <w:t>​</w:t>
            </w:r>
          </w:p>
        </w:tc>
        <w:tc>
          <w:tcPr>
            <w:tcW w:w="7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3" w:type="dxa"/>
            <w:tcBorders/>
            <w:vAlign w:val="center"/>
          </w:tcPr>
          <w:p>
            <w:pPr>
              <w:pStyle w:val="TableContents"/>
              <w:bidi w:val="0"/>
              <w:spacing w:before="0" w:after="1"/>
              <w:ind w:left="0" w:right="0" w:hanging="0"/>
              <w:jc w:val="center"/>
              <w:rPr/>
            </w:pPr>
            <w:r>
              <w:rPr/>
              <w:t>​</w:t>
            </w:r>
          </w:p>
        </w:tc>
        <w:tc>
          <w:tcPr>
            <w:tcW w:w="86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19" w:type="dxa"/>
            <w:tcBorders/>
            <w:vAlign w:val="center"/>
          </w:tcPr>
          <w:p>
            <w:pPr>
              <w:pStyle w:val="TableContents"/>
              <w:bidi w:val="0"/>
              <w:spacing w:before="0" w:after="1"/>
              <w:ind w:left="0" w:right="0" w:hanging="0"/>
              <w:jc w:val="center"/>
              <w:rPr/>
            </w:pPr>
            <w:r>
              <w:rPr/>
              <w:t>​</w:t>
            </w:r>
          </w:p>
        </w:tc>
        <w:tc>
          <w:tcPr>
            <w:tcW w:w="7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98" w:type="dxa"/>
            <w:tcBorders/>
            <w:vAlign w:val="center"/>
          </w:tcPr>
          <w:p>
            <w:pPr>
              <w:pStyle w:val="TableContents"/>
              <w:bidi w:val="0"/>
              <w:spacing w:before="0" w:after="1"/>
              <w:ind w:left="0" w:right="0" w:hanging="0"/>
              <w:jc w:val="center"/>
              <w:rPr/>
            </w:pPr>
            <w:r>
              <w:rPr/>
              <w:t> </w:t>
            </w:r>
          </w:p>
        </w:tc>
        <w:tc>
          <w:tcPr>
            <w:tcW w:w="83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center"/>
              <w:rPr/>
            </w:pPr>
            <w:r>
              <w:rPr/>
              <w:t>​</w:t>
            </w:r>
          </w:p>
        </w:tc>
        <w:tc>
          <w:tcPr>
            <w:tcW w:w="940" w:type="dxa"/>
            <w:tcBorders/>
            <w:vAlign w:val="center"/>
          </w:tcPr>
          <w:p>
            <w:pPr>
              <w:pStyle w:val="TableContents"/>
              <w:bidi w:val="0"/>
              <w:spacing w:before="0" w:after="1"/>
              <w:ind w:left="0" w:right="0" w:hanging="0"/>
              <w:jc w:val="center"/>
              <w:rPr/>
            </w:pPr>
            <w:r>
              <w:rPr/>
              <w:t>​</w:t>
            </w:r>
          </w:p>
        </w:tc>
      </w:tr>
      <w:tr>
        <w:trPr/>
        <w:tc>
          <w:tcPr>
            <w:tcW w:w="17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 xml:space="preserve">Allocation of net (loss)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(175,070)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(435,776)</w:t>
            </w:r>
          </w:p>
        </w:tc>
        <w:tc>
          <w:tcPr>
            <w:tcW w:w="326" w:type="dxa"/>
            <w:tcBorders/>
            <w:shd w:fill="CCEEFF" w:val="clear"/>
            <w:vAlign w:val="center"/>
          </w:tcPr>
          <w:p>
            <w:pPr>
              <w:pStyle w:val="TableContents"/>
              <w:bidi w:val="0"/>
              <w:spacing w:before="0" w:after="1"/>
              <w:ind w:left="0" w:right="0" w:hanging="0"/>
              <w:jc w:val="left"/>
              <w:rPr/>
            </w:pPr>
            <w:r>
              <w:rPr/>
              <w:t> </w:t>
            </w:r>
          </w:p>
        </w:tc>
        <w:tc>
          <w:tcPr>
            <w:tcW w:w="419"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70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1,227,883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54,778</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3"/>
              </w:rPr>
            </w:pPr>
            <w:r>
              <w:rPr>
                <w:rFonts w:ascii="Times New Roman;Times;serif" w:hAnsi="Times New Roman;Times;serif"/>
                <w:sz w:val="13"/>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390,902</w:t>
            </w:r>
          </w:p>
        </w:tc>
      </w:tr>
      <w:tr>
        <w:trPr/>
        <w:tc>
          <w:tcPr>
            <w:tcW w:w="1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7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left"/>
              <w:rPr/>
            </w:pPr>
            <w:r>
              <w:rPr/>
              <w:t>​</w:t>
            </w:r>
          </w:p>
        </w:tc>
      </w:tr>
      <w:tr>
        <w:trPr/>
        <w:tc>
          <w:tcPr>
            <w:tcW w:w="177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19" w:type="dxa"/>
            <w:tcBorders/>
            <w:shd w:fill="CCEEFF" w:val="clear"/>
            <w:vAlign w:val="center"/>
          </w:tcPr>
          <w:p>
            <w:pPr>
              <w:pStyle w:val="TableContents"/>
              <w:bidi w:val="0"/>
              <w:spacing w:before="0" w:after="1"/>
              <w:ind w:left="0" w:right="0" w:hanging="0"/>
              <w:jc w:val="right"/>
              <w:rPr/>
            </w:pPr>
            <w:r>
              <w:rPr/>
              <w:t>  </w:t>
            </w:r>
          </w:p>
        </w:tc>
        <w:tc>
          <w:tcPr>
            <w:tcW w:w="7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left"/>
              <w:rPr/>
            </w:pPr>
            <w:r>
              <w:rPr/>
              <w:t>​</w:t>
            </w:r>
          </w:p>
        </w:tc>
      </w:tr>
      <w:tr>
        <w:trPr/>
        <w:tc>
          <w:tcPr>
            <w:tcW w:w="1778"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Weighted-average shares outstanding including common stock subject to redemption</w:t>
            </w:r>
          </w:p>
        </w:tc>
        <w:tc>
          <w:tcPr>
            <w:tcW w:w="326" w:type="dxa"/>
            <w:tcBorders/>
            <w:vAlign w:val="center"/>
          </w:tcPr>
          <w:p>
            <w:pPr>
              <w:pStyle w:val="TableContents"/>
              <w:bidi w:val="0"/>
              <w:spacing w:before="0" w:after="1"/>
              <w:ind w:left="0" w:right="0" w:hanging="0"/>
              <w:jc w:val="left"/>
              <w:rPr/>
            </w:pPr>
            <w:r>
              <w:rPr/>
              <w:t>​</w:t>
            </w:r>
          </w:p>
        </w:tc>
        <w:tc>
          <w:tcPr>
            <w:tcW w:w="208"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4,345,663</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863"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10,817,000</w:t>
            </w:r>
          </w:p>
        </w:tc>
        <w:tc>
          <w:tcPr>
            <w:tcW w:w="326" w:type="dxa"/>
            <w:tcBorders/>
            <w:vAlign w:val="center"/>
          </w:tcPr>
          <w:p>
            <w:pPr>
              <w:pStyle w:val="TableContents"/>
              <w:bidi w:val="0"/>
              <w:spacing w:before="0" w:after="1"/>
              <w:ind w:left="0" w:right="0" w:hanging="0"/>
              <w:jc w:val="left"/>
              <w:rPr/>
            </w:pPr>
            <w:r>
              <w:rPr/>
              <w:t> </w:t>
            </w:r>
          </w:p>
        </w:tc>
        <w:tc>
          <w:tcPr>
            <w:tcW w:w="419" w:type="dxa"/>
            <w:tcBorders/>
            <w:vAlign w:val="center"/>
          </w:tcPr>
          <w:p>
            <w:pPr>
              <w:pStyle w:val="TableContents"/>
              <w:bidi w:val="0"/>
              <w:spacing w:before="0" w:after="1"/>
              <w:ind w:left="0" w:right="0" w:hanging="0"/>
              <w:jc w:val="right"/>
              <w:rPr/>
            </w:pPr>
            <w:r>
              <w:rPr/>
              <w:t>​</w:t>
            </w:r>
          </w:p>
        </w:tc>
        <w:tc>
          <w:tcPr>
            <w:tcW w:w="70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  </w:t>
            </w:r>
          </w:p>
        </w:tc>
        <w:tc>
          <w:tcPr>
            <w:tcW w:w="198"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29,801,668</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1,329,500</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9,487,500</w:t>
            </w:r>
          </w:p>
        </w:tc>
      </w:tr>
      <w:tr>
        <w:trPr/>
        <w:tc>
          <w:tcPr>
            <w:tcW w:w="177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Basic and diluted net (loss) income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08"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(0.04)</w:t>
            </w:r>
          </w:p>
        </w:tc>
        <w:tc>
          <w:tcPr>
            <w:tcW w:w="326" w:type="dxa"/>
            <w:tcBorders/>
            <w:shd w:fill="CCEEFF" w:val="clear"/>
            <w:vAlign w:val="center"/>
          </w:tcPr>
          <w:p>
            <w:pPr>
              <w:pStyle w:val="TableContents"/>
              <w:bidi w:val="0"/>
              <w:spacing w:before="0" w:after="1"/>
              <w:ind w:left="0" w:right="0" w:hanging="0"/>
              <w:jc w:val="left"/>
              <w:rPr/>
            </w:pPr>
            <w:r>
              <w:rPr/>
              <w:t> </w:t>
            </w:r>
          </w:p>
        </w:tc>
        <w:tc>
          <w:tcPr>
            <w:tcW w:w="419"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70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0.04</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w:t>
            </w:r>
          </w:p>
        </w:tc>
        <w:tc>
          <w:tcPr>
            <w:tcW w:w="940" w:type="dxa"/>
            <w:tcBorders/>
            <w:shd w:fill="CCEEFF" w:val="clear"/>
            <w:vAlign w:val="center"/>
          </w:tcPr>
          <w:p>
            <w:pPr>
              <w:pStyle w:val="TableContents"/>
              <w:bidi w:val="0"/>
              <w:spacing w:before="0" w:after="1"/>
              <w:ind w:left="0" w:right="45" w:hanging="0"/>
              <w:jc w:val="right"/>
              <w:rPr>
                <w:rFonts w:ascii="Times New Roman;Times;serif" w:hAnsi="Times New Roman;Times;serif"/>
                <w:b/>
                <w:sz w:val="13"/>
              </w:rPr>
            </w:pPr>
            <w:r>
              <w:rPr>
                <w:rFonts w:ascii="Times New Roman;Times;serif" w:hAnsi="Times New Roman;Times;serif"/>
                <w:b/>
                <w:sz w:val="13"/>
              </w:rPr>
              <w:t>0.04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Financial instruments that potentially subject the Company to concentration of credit risk consist of a cash account in a financial institution which, at times may exceed the Federal Deposit Insurance Corporation coverage of $250,000. At June 30, 2024 and December 31, 2023, the Company had not experienced losses on this account and management believes the Company is not exposed to significant risks on such account.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Company’s assets and liabilities, which qualify as financial instruments under the FASB ASC 820, “Fair Value Measurements and Disclosures,” approximates the carrying amounts represented in the condensed consolidated balance sheets, primarily due to its short-term 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1—Assets and liabilities with unadjusted, quoted prices listed on active market exchanges. Inputs to the fair value measurement are observable inputs, such as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3—Inputs to the fair value measurement are unobservable inputs, such as estimates, assumptions, and valuation techniques when little or no market data exists for the assets or liabilities.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of Derivative Liabilities – Backstop Subscription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its Backstop Subscription Agreement (see Note 6)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The Backstop Subscription Agreement is valued using a Probability Weighted Expected Return Method (“PWERM”).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 Classification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2016, the FASB issued Accounting Standards Update (“ASU”) 2016-13 – </w:t>
      </w:r>
      <w:r>
        <w:rPr>
          <w:rFonts w:ascii="Times New Roman;Times;serif" w:hAnsi="Times New Roman;Times;serif"/>
          <w:i/>
          <w:sz w:val="20"/>
        </w:rPr>
        <w:t>Financial Instruments – Credit Losses (Topic 326): Measurement of Credit Losses on Financial Instruments (“ASU 2016-13”).</w:t>
      </w:r>
      <w:r>
        <w:rPr>
          <w:rFonts w:ascii="Times New Roman;Times;serif" w:hAnsi="Times New Roman;Times;serif"/>
          <w:sz w:val="20"/>
        </w:rPr>
        <w:t xml:space="preserve"> This 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condensed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management does not believe that any other recently issued, but not yet effective, accounting standards if currently adopted would have a material effect on the accompanying financial statement.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INITIAL PUBLIC OFFERING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Public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790" w:name="Tc_GWQ7s7VCAkuOpgVhprcw6w_12_0"/>
      <w:bookmarkStart w:id="791" w:name="Tc_nlzgKxhAD02pu7khtBurGA_11_0"/>
      <w:bookmarkStart w:id="792" w:name="Tc_XDq5oiTD0k-EnNROOypjEw_10_0"/>
      <w:bookmarkStart w:id="793" w:name="Tc_AZD-t1twOUGvgi6Waoj_dQ_9_0"/>
      <w:bookmarkStart w:id="794" w:name="Tc_xOc2uM32pEe-qguZWXRiXg_8_0"/>
      <w:bookmarkStart w:id="795" w:name="Tc_nFV403c-YEWmArhIbHl6NQ_7_0"/>
      <w:bookmarkStart w:id="796" w:name="Tc_DaYNeoSkZ0e4DpluxUKzUg_6_0"/>
      <w:bookmarkStart w:id="797" w:name="Tc_CnslCYq9AUiHqsURC0JH3g_5_0"/>
      <w:bookmarkStart w:id="798" w:name="Tc_OnF5XddTHEWJplDI3GZXIA_4_0"/>
      <w:bookmarkStart w:id="799" w:name="Tc_U0yc0jyft02u7gO-Wry9-A_3_0"/>
      <w:bookmarkStart w:id="800" w:name="Tc_H2N_jDZaTkyIMqX4J6odUg_2_0"/>
      <w:bookmarkStart w:id="801" w:name="Tc_9uve1C_phE-hSXQoYnC56A_1_0"/>
      <w:bookmarkEnd w:id="790"/>
      <w:bookmarkEnd w:id="791"/>
      <w:bookmarkEnd w:id="792"/>
      <w:bookmarkEnd w:id="793"/>
      <w:bookmarkEnd w:id="794"/>
      <w:bookmarkEnd w:id="795"/>
      <w:bookmarkEnd w:id="796"/>
      <w:bookmarkEnd w:id="797"/>
      <w:bookmarkEnd w:id="798"/>
      <w:bookmarkEnd w:id="799"/>
      <w:bookmarkEnd w:id="800"/>
      <w:bookmarkEnd w:id="801"/>
      <w:r>
        <w:rPr>
          <w:rFonts w:ascii="Times New Roman;Times;serif" w:hAnsi="Times New Roman;Times;serif"/>
          <w:sz w:val="20"/>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common stock is subject to SEC and its staff’s guidance on redeemable equity instruments, which has been codified in ASC 480- 10-S99.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2024 and December 31, 2023, the common stock subject to redemption reflected on the balance sheet are reconciled in the following table:</w:t>
      </w:r>
    </w:p>
    <w:p>
      <w:pPr>
        <w:pStyle w:val="TextBody"/>
        <w:bidi w:val="0"/>
        <w:spacing w:before="0" w:after="0"/>
        <w:ind w:left="0" w:right="0" w:hanging="0"/>
        <w:jc w:val="left"/>
        <w:rPr/>
      </w:pPr>
      <w:r>
        <w:rPr/>
        <w:t>​</w:t>
      </w:r>
    </w:p>
    <w:tbl>
      <w:tblPr>
        <w:tblW w:w="7716" w:type="dxa"/>
        <w:jc w:val="left"/>
        <w:tblInd w:w="0" w:type="dxa"/>
        <w:tblLayout w:type="fixed"/>
        <w:tblCellMar>
          <w:top w:w="0" w:type="dxa"/>
          <w:left w:w="0" w:type="dxa"/>
          <w:bottom w:w="0" w:type="dxa"/>
          <w:right w:w="0" w:type="dxa"/>
        </w:tblCellMar>
      </w:tblPr>
      <w:tblGrid>
        <w:gridCol w:w="6301"/>
        <w:gridCol w:w="109"/>
        <w:gridCol w:w="1306"/>
      </w:tblGrid>
      <w:tr>
        <w:trPr/>
        <w:tc>
          <w:tcPr>
            <w:tcW w:w="6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001135" cy="175260"/>
                      <wp:effectExtent l="0" t="0" r="0" b="0"/>
                      <wp:wrapNone/>
                      <wp:docPr id="107" name="Frame107"/>
                      <a:graphic xmlns:a="http://schemas.openxmlformats.org/drawingml/2006/main">
                        <a:graphicData uri="http://schemas.microsoft.com/office/word/2010/wordprocessingShape">
                          <wps:wsp>
                            <wps:cNvSpPr txBox="1"/>
                            <wps:spPr>
                              <a:xfrm>
                                <a:off x="0" y="0"/>
                                <a:ext cx="400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829310" cy="175260"/>
                      <wp:effectExtent l="0" t="0" r="0" b="0"/>
                      <wp:wrapNone/>
                      <wp:docPr id="109" name="Frame10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A common stock subject to possible redemption, January 1, 2023</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294,796,918</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Redemptions</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(252,315,037)</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carrying value to redemption value</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4,510,051</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A common stock subject to possible redemption, December 31, 2023</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46,991,932</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carrying value to redemption value</w:t>
            </w:r>
          </w:p>
        </w:tc>
        <w:tc>
          <w:tcPr>
            <w:tcW w:w="109" w:type="dxa"/>
            <w:tcBorders/>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800,030</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A common stock subject to possible redemption, March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47,791,962</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6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carrying value to redemption value</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846,082</w:t>
            </w:r>
          </w:p>
        </w:tc>
      </w:tr>
      <w:tr>
        <w:trPr/>
        <w:tc>
          <w:tcPr>
            <w:tcW w:w="6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Class A common stock subject to possible redemption, June 30, 2024</w:t>
            </w:r>
          </w:p>
        </w:tc>
        <w:tc>
          <w:tcPr>
            <w:tcW w:w="109" w:type="dxa"/>
            <w:tcBorders/>
            <w:vAlign w:val="center"/>
          </w:tcPr>
          <w:p>
            <w:pPr>
              <w:pStyle w:val="TableContents"/>
              <w:bidi w:val="0"/>
              <w:spacing w:before="0" w:after="0"/>
              <w:ind w:left="0" w:right="0" w:hanging="0"/>
              <w:jc w:val="left"/>
              <w:rPr/>
            </w:pPr>
            <w:r>
              <w:rPr/>
              <w:t>​</w:t>
            </w:r>
          </w:p>
        </w:tc>
        <w:tc>
          <w:tcPr>
            <w:tcW w:w="13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48,638,044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Private Placement Unit will consist of one share of Class A common stock and one redeemable warrant. Each private warrant entitles the holder to purchase one share of Common Stock at a purchase price of $11.50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Sponsor and the Company’s officers and directors agreed, subject to limited exceptions, not to transfer, assign or sell any of their Private Placement Units until 30 days after the completion of the initial Business Combination.</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RELATED PARTY TRANSACTIONS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Founder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Administrative Support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For the three and six months ended June 30, 2024, the Company incurred $30,000 and $60,000 for the administrative service fees, respectively, of which $60,000 are recorded as accrued expenses in the balance sheets. For the three and six months ended June 30, 2023, the Company incurred and paid $30,000 and $60,000 for the administrative service fees.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Working Capital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June 30, 2024 and December 31, 2023, $1,500,000 and $810,345 in working capital loans were outstanding,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Advances from Sponsor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2024, the Sponsor provided working capital and extension deposits on behalf of the Company. These amounts are reflected on the condensed consolidated balance sheets as advances from Sponsor. The advances are non-interest bearing and are payable on demand. At June 30, 2024, the Company had advances owed to the Sponsor in the amount of $1,059,551. At </w:t>
      </w:r>
      <w:r>
        <w:rPr>
          <w:rFonts w:ascii="Times New Roman;Times;serif" w:hAnsi="Times New Roman;Times;serif"/>
          <w:b w:val="false"/>
          <w:i w:val="false"/>
          <w:caps w:val="false"/>
          <w:smallCaps w:val="false"/>
          <w:sz w:val="20"/>
        </w:rPr>
        <w:t>December 31, 2023</w:t>
      </w:r>
      <w:r>
        <w:rPr>
          <w:rFonts w:ascii="Times New Roman;Times;serif" w:hAnsi="Times New Roman;Times;serif"/>
          <w:sz w:val="20"/>
        </w:rPr>
        <w:t>, the Company had no such advances owed to the Sponsor.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COMMITMENTS AND CONTINGENCIES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Registration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Underwriting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15, 2021, the Company paid a cash underwriting discount of 1.0% per Unit, or $2,875,000, as part of the underwriting fee.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underwriter is entitled to a deferred underwriting discount of 3.5% of the IPO gross proceeds or $10,062,500, as a result of the underwriter’s over-allotment exercised in full upon the completion of the Company’s initial Business Combination.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Representative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Right of First Refusal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Non-redemption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Non-Redeeming Stockholders not to redeem the Non-Redeemed Shares, with a corresponding charge to additional paid-in capital to recognize the fair value of the Founder Shares subject to transfer as an offering cost.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Inflation Reduction Act of 2022 (the “IR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 the amounts redeemed were paid out to stockholders on January 5,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the current status and probability of completing a Business Combination as of June 30, 2024 and concluded that it is probable that a contingent liability should be recorded. As of June 30, 2024, the Company recorded $2,523,150 of excise tax liability calculated as 1% of shares redeemed on March 10, 2023 and December 15,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second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22, 2023, the Company, entered into an Agreement and Plan of Merger (the “Merger Agreement”) by and among the Company, BurTech Merger Sub Inc., a Delaware corporation and a direct, wholly owned subsidiary of the Company (“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Company Support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Sponsor Support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22, 2023, concurrently with the execution of the Merger Agreement, the Company and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Registration Rights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Lock-up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contemplates that, at the Closing, New Blaize will enter into lock-up agreements (the “Lock-up Agreements”)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Amendment to the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22,2024, the Company entered into an amendment of its Merger Agreement which modified certain terms and conditions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additional letter agreement which modified its convertible note financing and certain lock-up provisions which will exist in the closing of the Company’s Business Combination.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additional letter agreement in connection with its convertible note financing subject to funding conditions which will exist in the closing of the Company’s Business Combination.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Sponsor and the Company entered into an additional letter agreement, under which the Sponsor agreed to forfeit 2,000,000</w:t>
            </w:r>
            <w:r>
              <w:rPr>
                <w:caps w:val="false"/>
                <w:smallCaps w:val="false"/>
              </w:rPr>
              <w:t xml:space="preserve"> </w:t>
            </w:r>
            <w:r>
              <w:rPr>
                <w:rFonts w:ascii="Times New Roman;Times;serif" w:hAnsi="Times New Roman;Times;serif"/>
                <w:b w:val="false"/>
                <w:i w:val="false"/>
                <w:caps w:val="false"/>
                <w:smallCaps w:val="false"/>
                <w:sz w:val="20"/>
              </w:rPr>
              <w:t>Company Shares to be effective immediately prior to the closing of the Business Combination.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802" w:name="_Hlk166797392"/>
      <w:bookmarkStart w:id="803" w:name="_Hlk166797392"/>
      <w:bookmarkEnd w:id="80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Amendment also revised the aggregate reserve size under the Equity Incentive Plan and ESPP to 20% and the evergreen percentage for the Equity Incentive Plan to 7%.</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Merger Sub, Blaize and Burkhan amended the Agreement and Plan of Merger, amending the original Merger Agreement to make the following adjustments:</w:t>
            </w:r>
          </w:p>
        </w:tc>
      </w:tr>
    </w:tbl>
    <w:tbl>
      <w:tblPr>
        <w:tblW w:w="6216" w:type="dxa"/>
        <w:jc w:val="left"/>
        <w:tblInd w:w="0" w:type="dxa"/>
        <w:tblLayout w:type="fixed"/>
        <w:tblCellMar>
          <w:top w:w="28" w:type="dxa"/>
          <w:left w:w="28" w:type="dxa"/>
          <w:bottom w:w="28" w:type="dxa"/>
          <w:right w:w="28" w:type="dxa"/>
        </w:tblCellMar>
      </w:tblPr>
      <w:tblGrid>
        <w:gridCol w:w="124"/>
        <w:gridCol w:w="22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86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Increasing the Base Purchase Price from $700</w:t>
            </w:r>
            <w:r>
              <w:rPr>
                <w:caps w:val="false"/>
                <w:smallCaps w:val="false"/>
              </w:rPr>
              <w:t xml:space="preserve"> </w:t>
            </w:r>
            <w:r>
              <w:rPr>
                <w:rFonts w:ascii="Times New Roman;Times;serif" w:hAnsi="Times New Roman;Times;serif"/>
                <w:b w:val="false"/>
                <w:i w:val="false"/>
                <w:caps w:val="false"/>
                <w:smallCaps w:val="false"/>
                <w:sz w:val="20"/>
              </w:rPr>
              <w:t>million to $767</w:t>
            </w:r>
            <w:r>
              <w:rPr>
                <w:caps w:val="false"/>
                <w:smallCaps w:val="false"/>
              </w:rPr>
              <w:t xml:space="preserve"> </w:t>
            </w:r>
            <w:r>
              <w:rPr>
                <w:rFonts w:ascii="Times New Roman;Times;serif" w:hAnsi="Times New Roman;Times;serif"/>
                <w:b w:val="false"/>
                <w:i w:val="false"/>
                <w:caps w:val="false"/>
                <w:smallCaps w:val="false"/>
                <w:sz w:val="20"/>
              </w:rPr>
              <w:t>million.</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that the Blaize Note Financing and the Blaize Warrant Financing constitute a Company Financing for all purposes of the Merger Agreement.</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Added a new component to the definition of “Base Merger Consideration”, which is the product of (a) the number of shares of the Excluded Company Stock multiplied by (b) the Per Company Share Merger Consideration.</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Added a new definition of “Proportionate Shares Number,” which means (a) 325,000</w:t>
            </w:r>
            <w:r>
              <w:rPr>
                <w:caps w:val="false"/>
                <w:smallCaps w:val="false"/>
              </w:rPr>
              <w:t xml:space="preserve"> </w:t>
            </w:r>
            <w:r>
              <w:rPr>
                <w:rFonts w:ascii="Times New Roman;Times;serif" w:hAnsi="Times New Roman;Times;serif"/>
                <w:b w:val="false"/>
                <w:i w:val="false"/>
                <w:caps w:val="false"/>
                <w:smallCaps w:val="false"/>
                <w:sz w:val="20"/>
              </w:rPr>
              <w:t>Company Shares multiplied by (b.) the Cash Ratio; (viii) Added a closing condition for the benefit of Blaize requiring that the sum of the Trust Amount plus the amount of funds received pursuant to the Backstop Subscription Agreement shall be no less than the Backstop Amount.</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Amendment to Underwriting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Backstop Subscription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22, 2024, the Sponsor entered into a backstop subscription agreement (the “Backstop Subscription Agreement”) with the Company and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STOCKHOLDERS’ DEFICIT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Preferred Stock</w:t>
      </w:r>
      <w:r>
        <w:rPr>
          <w:rFonts w:ascii="Times New Roman;Times;serif" w:hAnsi="Times New Roman;Times;serif"/>
          <w:sz w:val="20"/>
        </w:rPr>
        <w:t xml:space="preserve"> — The Company is authorized to issue 1,000,000 shares of preferred stock with a par value of $0.0001 per share. As of June 30, 2024 and December 31, 2023, there were no shares of preferred stock issued or outstanding.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Class A Common Stock</w:t>
      </w:r>
      <w:r>
        <w:rPr>
          <w:rFonts w:ascii="Times New Roman;Times;serif" w:hAnsi="Times New Roman;Times;serif"/>
          <w:sz w:val="20"/>
        </w:rPr>
        <w:t xml:space="preserve"> — The Company is authorized to issue 280,000,000 shares of Class A common stock with a par value of $0.0001 per share. Holders of Class A common stock are entitled to one vote for each share. On December 11, 2023, the Company issued an aggregate of 9,487,495 Class A Shares to the holders of the Company’s shares of Class B Shares upon the exchange of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equal number of Class B Shares (“the Exchange”). On June 30, 2024 and December 31, 2023, there were 10,817,000 shares issued and outstanding (excluding 2,285,040 shares to be redeemed as of June 30, 2024 and December 31, 2023 and excluding 4,345,663 shares subject to possible redemption) as of June 30, 2024 and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10, 2023, the Company’s stockholders redeemed 22,119,297 shares at approximately $10.30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Class B Common Stock</w:t>
      </w:r>
      <w:r>
        <w:rPr>
          <w:rFonts w:ascii="Times New Roman;Times;serif" w:hAnsi="Times New Roman;Times;serif"/>
          <w:sz w:val="20"/>
        </w:rPr>
        <w:t xml:space="preserve"> — 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June 30, 2024 and December 31, 2023, there were no shares of Class B common stock issued and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Once the warrants become exercisable, the Company may redeem the outstanding warrants:</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at a price of $0.01</w:t>
            </w:r>
            <w:r>
              <w:rPr>
                <w:caps w:val="false"/>
                <w:smallCaps w:val="false"/>
              </w:rPr>
              <w:t xml:space="preserve"> </w:t>
            </w:r>
            <w:r>
              <w:rPr>
                <w:rFonts w:ascii="Times New Roman;Times;serif" w:hAnsi="Times New Roman;Times;serif"/>
                <w:b w:val="false"/>
                <w:i w:val="false"/>
                <w:caps w:val="false"/>
                <w:smallCaps w:val="false"/>
                <w:sz w:val="20"/>
              </w:rPr>
              <w:t>per warrant;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not less than 30 days</w:t>
            </w:r>
            <w:r>
              <w:rPr>
                <w:caps w:val="false"/>
                <w:smallCaps w:val="false"/>
              </w:rPr>
              <w:t xml:space="preserve">’ </w:t>
            </w:r>
            <w:r>
              <w:rPr>
                <w:rFonts w:ascii="Times New Roman;Times;serif" w:hAnsi="Times New Roman;Times;serif"/>
                <w:b w:val="false"/>
                <w:i w:val="false"/>
                <w:caps w:val="false"/>
                <w:smallCaps w:val="false"/>
                <w:sz w:val="20"/>
              </w:rPr>
              <w:t>prior written notice of redemption given after the warrants become exercisable (the “30-day</w:t>
            </w:r>
            <w:r>
              <w:rPr>
                <w:caps w:val="false"/>
                <w:smallCaps w:val="false"/>
              </w:rPr>
              <w:t xml:space="preserve"> </w:t>
            </w:r>
            <w:r>
              <w:rPr>
                <w:rFonts w:ascii="Times New Roman;Times;serif" w:hAnsi="Times New Roman;Times;serif"/>
                <w:b w:val="false"/>
                <w:i w:val="false"/>
                <w:caps w:val="false"/>
                <w:smallCaps w:val="false"/>
                <w:sz w:val="20"/>
              </w:rPr>
              <w:t>redemption period”) to each warrant holder;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reported last sale price of the Class A common stock equals or exceeds $18.00</w:t>
            </w:r>
            <w:r>
              <w:rPr>
                <w:caps w:val="false"/>
                <w:smallCaps w:val="false"/>
              </w:rPr>
              <w:t xml:space="preserve"> </w:t>
            </w:r>
            <w:r>
              <w:rPr>
                <w:rFonts w:ascii="Times New Roman;Times;serif" w:hAnsi="Times New Roman;Times;serif"/>
                <w:b w:val="false"/>
                <w:i w:val="false"/>
                <w:caps w:val="false"/>
                <w:smallCaps w:val="false"/>
                <w:sz w:val="20"/>
              </w:rPr>
              <w:t>per share (as adjusted for stock splits, stock dividends, reorganizations, recapitalizations and the like) for any 20</w:t>
            </w:r>
            <w:r>
              <w:rPr>
                <w:caps w:val="false"/>
                <w:smallCaps w:val="false"/>
              </w:rPr>
              <w:t xml:space="preserve"> </w:t>
            </w:r>
            <w:r>
              <w:rPr>
                <w:rFonts w:ascii="Times New Roman;Times;serif" w:hAnsi="Times New Roman;Times;serif"/>
                <w:b w:val="false"/>
                <w:i w:val="false"/>
                <w:caps w:val="false"/>
                <w:smallCaps w:val="false"/>
                <w:sz w:val="20"/>
              </w:rPr>
              <w:t>trading days within a 30-trading day period commencing once the warrants become exercisable and ending three</w:t>
            </w:r>
            <w:r>
              <w:rPr>
                <w:caps w:val="false"/>
                <w:smallCaps w:val="false"/>
              </w:rPr>
              <w:t xml:space="preserve"> </w:t>
            </w:r>
            <w:r>
              <w:rPr>
                <w:rFonts w:ascii="Times New Roman;Times;serif" w:hAnsi="Times New Roman;Times;serif"/>
                <w:b w:val="false"/>
                <w:i w:val="false"/>
                <w:caps w:val="false"/>
                <w:smallCaps w:val="false"/>
                <w:sz w:val="20"/>
              </w:rPr>
              <w:t>business days before the Company sends the notice of redemption to the warrant 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Class A common stock underlying such warrants.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804" w:name="Tc_kqJJTkr_wkaQIjYfuoSF6w_6_12"/>
      <w:bookmarkStart w:id="805" w:name="Tc_8eLecjTaSkiAi9eNrftZZQ_6_11"/>
      <w:bookmarkStart w:id="806" w:name="Tc_hAwv6iWDN0OqrzXL1Q8xag_6_9"/>
      <w:bookmarkStart w:id="807" w:name="Tc_2B9WbenJCEabVYRGEoOZ6A_6_8"/>
      <w:bookmarkStart w:id="808" w:name="Tc_3-H0vgEQG0iUGj7jnMDsdg_6_5"/>
      <w:bookmarkStart w:id="809" w:name="Tc_rKteaVrhhUGILovZ7BaILA_6_2"/>
      <w:bookmarkStart w:id="810" w:name="Tc_U-Kw3egSkk2WmKumM1ZkSA_5_12"/>
      <w:bookmarkStart w:id="811" w:name="Tc_jwnx4r1oJkyAziAVOrC3dQ_5_11"/>
      <w:bookmarkStart w:id="812" w:name="Tc_s7cY14rIgE6tkciISqGj9A_5_9"/>
      <w:bookmarkStart w:id="813" w:name="Tc_Pr7-F2eyFkKB21ux4Z0xqA_5_8"/>
      <w:bookmarkStart w:id="814" w:name="Tc_NSf0Uoyn1k-aBejAqU98EA_5_5"/>
      <w:bookmarkStart w:id="815" w:name="Tc_JeDRI5EDd0Oc5kmV3NjQMg_5_2"/>
      <w:bookmarkStart w:id="816" w:name="Tc_LpQuSyQoIkaDKOtxOiqOPg_5_0"/>
      <w:bookmarkStart w:id="817" w:name="Tc_TwRmOQXqOkaLjkt7UTpTEw_4_0"/>
      <w:bookmarkStart w:id="818" w:name="Tc_-nKKye0sUU2eNwPLyC8uSw_3_11"/>
      <w:bookmarkStart w:id="819" w:name="Tc_e7NFhccnS0-C2B4Gby8HjA_3_8"/>
      <w:bookmarkStart w:id="820" w:name="Tc_BQqS0nlFK0K7nOFFc-zrxQ_3_5"/>
      <w:bookmarkStart w:id="821" w:name="Tc_gtuis2qjm0uxKhXGFHlgtw_3_2"/>
      <w:bookmarkStart w:id="822" w:name="Tc_FCdQtgeYUUG81fZQfNJPTQ_2_11"/>
      <w:bookmarkStart w:id="823" w:name="Tc_9zCdgBa1CkuUE-bNAt1zRw_2_8"/>
      <w:bookmarkStart w:id="824" w:name="Tc_gSmVvY2q3UGEH0p2ufzhLg_2_5"/>
      <w:bookmarkStart w:id="825" w:name="Tc_TPFur2QqCUKBEbVx-flqiA_1_11"/>
      <w:bookmarkStart w:id="826" w:name="Tc_bBscQnnzc0Kbec07mbYrlA_1_8"/>
      <w:bookmarkStart w:id="827" w:name="Tc_kKRSSk1J9kaVUBOGKxsA8g_1_5"/>
      <w:bookmarkStart w:id="828" w:name="_244d1ee4_a41d_4208_bfe7_2c715d078a3b"/>
      <w:bookmarkStart w:id="829" w:name="Tc_tfgZuRIUr0ixiOl3yXtmtg_7_11"/>
      <w:bookmarkStart w:id="830" w:name="Tc_y2--snG6AU2qd-LgIhZ7iA_7_9"/>
      <w:bookmarkStart w:id="831" w:name="Tc_VB71AQHuJUmzfS3nOV_DoA_7_8"/>
      <w:bookmarkStart w:id="832" w:name="Tc_wVLkcfBDLUmDCJjy3KkgTg_7_6"/>
      <w:bookmarkStart w:id="833" w:name="Tc_3Hk5dOxlekWd1BljwjzHBg_7_5"/>
      <w:bookmarkStart w:id="834" w:name="Tc_Fd5mqIBeF0CR63tcHNYebA_7_2"/>
      <w:bookmarkStart w:id="835" w:name="Tc_Qw0Gk_xnUUihDb8j_UvtDg_7_0"/>
      <w:bookmarkStart w:id="836" w:name="Tc_WmVYVaxp4kWuqPuvLfMgHQ_6_0"/>
      <w:bookmarkStart w:id="837" w:name="Tc_heZkE606xkuBSX9LVtmEjg_5_12"/>
      <w:bookmarkStart w:id="838" w:name="Tc_39vjBN0Z4kK7pRZmcgi89w_5_11"/>
      <w:bookmarkStart w:id="839" w:name="Tc_4cQkWLNkmk6yOGCS6IHpZA_5_9"/>
      <w:bookmarkStart w:id="840" w:name="Tc_UlfR8Yat3ke6h8jh_EQlmg_5_8"/>
      <w:bookmarkStart w:id="841" w:name="Tc_kwsufBeRT0imYTtWri99XA_5_5"/>
      <w:bookmarkStart w:id="842" w:name="Tc_vec5g4Oov0iDavgML1-4Dw_5_2"/>
      <w:bookmarkStart w:id="843" w:name="Tc_C8gYvLB9UECG-9TCSBjv9g_5_0"/>
      <w:bookmarkStart w:id="844" w:name="Tc_f3G8NpKEKkeRO8OCRHsfIw_4_0"/>
      <w:bookmarkStart w:id="845" w:name="Tc_bwXDnldIrU2xae3C3yS6LA_3_11"/>
      <w:bookmarkStart w:id="846" w:name="Tc_PCwtxxII5UWs5lVC06Z9BA_3_8"/>
      <w:bookmarkStart w:id="847" w:name="Tc_Jcdpz1a6ikCvXnSyTAeobg_3_5"/>
      <w:bookmarkStart w:id="848" w:name="Tc_MP7JeFTo_0CtfqEYq1A6Xw_3_2"/>
      <w:bookmarkStart w:id="849" w:name="Tc__ZKAs68rzkGgmRZu_ukkZA_2_11"/>
      <w:bookmarkStart w:id="850" w:name="Tc_F1n-IdQZQkq1UEfgO8WmWA_2_8"/>
      <w:bookmarkStart w:id="851" w:name="Tc_ezWt-dvpHESqALtMbV18vg_2_5"/>
      <w:bookmarkStart w:id="852" w:name="Tc_VFxoZsV4BkSZSZLu5xSZbQ_1_11"/>
      <w:bookmarkStart w:id="853" w:name="Tc_KH0pGXEKAUy2WnDsVdDM3g_1_8"/>
      <w:bookmarkStart w:id="854" w:name="Tc_Fi_S6FOepEGaXDmrAAcxzQ_1_5"/>
      <w:bookmarkStart w:id="855" w:name="_a04d5059_727e_42d0_b205_eb8e35af553e"/>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b/>
          <w:sz w:val="20"/>
        </w:rPr>
        <w:t>NOTE 8. FAIR VALUE MEASUREMENTS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about the Company’s assets and liabilities that were measured at fair value on a recurring basis as of June 30, 2024 and December 31, 2023 and indicates the fair value hierarchy of the valuation techniques the Company utilized to determine such fair value.</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271"/>
        <w:gridCol w:w="326"/>
        <w:gridCol w:w="211"/>
        <w:gridCol w:w="1036"/>
        <w:gridCol w:w="326"/>
        <w:gridCol w:w="223"/>
        <w:gridCol w:w="1098"/>
        <w:gridCol w:w="326"/>
        <w:gridCol w:w="539"/>
        <w:gridCol w:w="887"/>
        <w:gridCol w:w="326"/>
        <w:gridCol w:w="314"/>
        <w:gridCol w:w="1322"/>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7085" cy="175260"/>
                      <wp:effectExtent l="0" t="0" r="0" b="0"/>
                      <wp:wrapNone/>
                      <wp:docPr id="110" name="Frame110"/>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57860" cy="175260"/>
                      <wp:effectExtent l="0" t="0" r="0" b="0"/>
                      <wp:wrapNone/>
                      <wp:docPr id="113" name="Frame1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41605" cy="175260"/>
                      <wp:effectExtent l="0" t="0" r="0" b="0"/>
                      <wp:wrapNone/>
                      <wp:docPr id="115" name="Frame11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7230" cy="175260"/>
                      <wp:effectExtent l="0" t="0" r="0" b="0"/>
                      <wp:wrapNone/>
                      <wp:docPr id="116" name="Frame116"/>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42265" cy="175260"/>
                      <wp:effectExtent l="0" t="0" r="0" b="0"/>
                      <wp:wrapNone/>
                      <wp:docPr id="118" name="Frame118"/>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3245" cy="175260"/>
                      <wp:effectExtent l="0" t="0" r="0" b="0"/>
                      <wp:wrapNone/>
                      <wp:docPr id="119" name="Frame119"/>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99390" cy="175260"/>
                      <wp:effectExtent l="0" t="0" r="0" b="0"/>
                      <wp:wrapNone/>
                      <wp:docPr id="121" name="Frame12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39470" cy="175260"/>
                      <wp:effectExtent l="0" t="0" r="0" b="0"/>
                      <wp:wrapNone/>
                      <wp:docPr id="122" name="Frame122"/>
                      <a:graphic xmlns:a="http://schemas.openxmlformats.org/drawingml/2006/main">
                        <a:graphicData uri="http://schemas.microsoft.com/office/word/2010/wordprocessingShape">
                          <wps:wsp>
                            <wps:cNvSpPr txBox="1"/>
                            <wps:spPr>
                              <a:xfrm>
                                <a:off x="0" y="0"/>
                                <a:ext cx="839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1"/>
              <w:ind w:left="0" w:right="0" w:hanging="0"/>
              <w:jc w:val="left"/>
              <w:rPr/>
            </w:pPr>
            <w:r>
              <w:rPr/>
              <w:t>    </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vAlign w:val="center"/>
          </w:tcPr>
          <w:p>
            <w:pPr>
              <w:pStyle w:val="TableContents"/>
              <w:bidi w:val="0"/>
              <w:spacing w:before="0" w:after="1"/>
              <w:ind w:left="0" w:right="0" w:hanging="0"/>
              <w:jc w:val="left"/>
              <w:rPr/>
            </w:pPr>
            <w:r>
              <w:rPr/>
              <w:t>​</w:t>
            </w:r>
          </w:p>
        </w:tc>
        <w:tc>
          <w:tcPr>
            <w:tcW w:w="16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26" w:type="dxa"/>
            <w:tcBorders/>
            <w:vAlign w:val="center"/>
          </w:tcPr>
          <w:p>
            <w:pPr>
              <w:pStyle w:val="TableContents"/>
              <w:bidi w:val="0"/>
              <w:spacing w:before="0" w:after="1"/>
              <w:ind w:left="0" w:right="0" w:hanging="0"/>
              <w:jc w:val="left"/>
              <w:rPr/>
            </w:pPr>
            <w:r>
              <w:rPr/>
              <w:t>​</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26" w:type="dxa"/>
            <w:tcBorders/>
            <w:vAlign w:val="center"/>
          </w:tcPr>
          <w:p>
            <w:pPr>
              <w:pStyle w:val="TableContents"/>
              <w:bidi w:val="0"/>
              <w:spacing w:before="0" w:after="1"/>
              <w:ind w:left="0" w:right="0" w:hanging="0"/>
              <w:jc w:val="left"/>
              <w:rPr/>
            </w:pPr>
            <w:r>
              <w:rPr/>
              <w:t>​</w:t>
            </w:r>
          </w:p>
        </w:tc>
        <w:tc>
          <w:tcPr>
            <w:tcW w:w="16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16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2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322" w:type="dxa"/>
            <w:tcBorders/>
            <w:shd w:fill="CCEEFF" w:val="clear"/>
            <w:vAlign w:val="center"/>
          </w:tcPr>
          <w:p>
            <w:pPr>
              <w:pStyle w:val="TableContents"/>
              <w:bidi w:val="0"/>
              <w:spacing w:before="0" w:after="1"/>
              <w:ind w:left="0" w:right="0" w:hanging="0"/>
              <w:jc w:val="right"/>
              <w:rPr/>
            </w:pPr>
            <w:r>
              <w:rPr/>
              <w:t>​</w:t>
            </w:r>
          </w:p>
        </w:tc>
      </w:tr>
      <w:tr>
        <w:trPr/>
        <w:tc>
          <w:tcPr>
            <w:tcW w:w="32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Money Market Funds held in Trust Account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48,885,820</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48,885,820</w:t>
            </w:r>
          </w:p>
        </w:tc>
        <w:tc>
          <w:tcPr>
            <w:tcW w:w="32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09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322" w:type="dxa"/>
            <w:tcBorders/>
            <w:shd w:fill="CCEEFF" w:val="clear"/>
            <w:vAlign w:val="center"/>
          </w:tcPr>
          <w:p>
            <w:pPr>
              <w:pStyle w:val="TableContents"/>
              <w:bidi w:val="0"/>
              <w:spacing w:before="0" w:after="1"/>
              <w:ind w:left="0" w:right="0" w:hanging="0"/>
              <w:jc w:val="right"/>
              <w:rPr/>
            </w:pPr>
            <w:r>
              <w:rPr/>
              <w:t>​</w:t>
            </w:r>
          </w:p>
        </w:tc>
      </w:tr>
      <w:tr>
        <w:trPr/>
        <w:tc>
          <w:tcPr>
            <w:tcW w:w="32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Liability - Backstop Subscription Agreement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356,847</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356,847</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17"/>
        <w:gridCol w:w="326"/>
        <w:gridCol w:w="253"/>
        <w:gridCol w:w="1248"/>
        <w:gridCol w:w="326"/>
        <w:gridCol w:w="223"/>
        <w:gridCol w:w="1098"/>
        <w:gridCol w:w="326"/>
        <w:gridCol w:w="539"/>
        <w:gridCol w:w="887"/>
        <w:gridCol w:w="326"/>
        <w:gridCol w:w="520"/>
        <w:gridCol w:w="1116"/>
      </w:tblGrid>
      <w:tr>
        <w:trPr/>
        <w:tc>
          <w:tcPr>
            <w:tcW w:w="3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915795" cy="175260"/>
                      <wp:effectExtent l="0" t="0" r="0" b="0"/>
                      <wp:wrapNone/>
                      <wp:docPr id="123" name="Frame123"/>
                      <a:graphic xmlns:a="http://schemas.openxmlformats.org/drawingml/2006/main">
                        <a:graphicData uri="http://schemas.microsoft.com/office/word/2010/wordprocessingShape">
                          <wps:wsp>
                            <wps:cNvSpPr txBox="1"/>
                            <wps:spPr>
                              <a:xfrm>
                                <a:off x="0" y="0"/>
                                <a:ext cx="191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0655" cy="175260"/>
                      <wp:effectExtent l="0" t="0" r="0" b="0"/>
                      <wp:wrapNone/>
                      <wp:docPr id="125" name="Frame12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92480" cy="175260"/>
                      <wp:effectExtent l="0" t="0" r="0" b="0"/>
                      <wp:wrapNone/>
                      <wp:docPr id="126" name="Frame126"/>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1605" cy="175260"/>
                      <wp:effectExtent l="0" t="0" r="0" b="0"/>
                      <wp:wrapNone/>
                      <wp:docPr id="128" name="Frame12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7230" cy="175260"/>
                      <wp:effectExtent l="0" t="0" r="0" b="0"/>
                      <wp:wrapNone/>
                      <wp:docPr id="129" name="Frame129"/>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42265" cy="175260"/>
                      <wp:effectExtent l="0" t="0" r="0" b="0"/>
                      <wp:wrapNone/>
                      <wp:docPr id="131" name="Frame131"/>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63245" cy="175260"/>
                      <wp:effectExtent l="0" t="0" r="0" b="0"/>
                      <wp:wrapNone/>
                      <wp:docPr id="132" name="Frame13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30200" cy="175260"/>
                      <wp:effectExtent l="0" t="0" r="0" b="0"/>
                      <wp:wrapNone/>
                      <wp:docPr id="134" name="Frame134"/>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08660" cy="175260"/>
                      <wp:effectExtent l="0" t="0" r="0" b="0"/>
                      <wp:wrapNone/>
                      <wp:docPr id="135" name="Frame135"/>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26" w:type="dxa"/>
            <w:tcBorders/>
            <w:vAlign w:val="center"/>
          </w:tcPr>
          <w:p>
            <w:pPr>
              <w:pStyle w:val="TableContents"/>
              <w:bidi w:val="0"/>
              <w:spacing w:before="0" w:after="0"/>
              <w:ind w:left="0" w:right="0" w:hanging="0"/>
              <w:jc w:val="left"/>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r>
      <w:tr>
        <w:trPr/>
        <w:tc>
          <w:tcPr>
            <w:tcW w:w="30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2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26" w:type="dxa"/>
            <w:tcBorders/>
            <w:vAlign w:val="center"/>
          </w:tcPr>
          <w:p>
            <w:pPr>
              <w:pStyle w:val="TableContents"/>
              <w:bidi w:val="0"/>
              <w:spacing w:before="0" w:after="0"/>
              <w:ind w:left="0" w:right="0" w:hanging="0"/>
              <w:jc w:val="left"/>
              <w:rPr/>
            </w:pPr>
            <w:r>
              <w:rPr/>
              <w:t>​</w:t>
            </w:r>
          </w:p>
        </w:tc>
        <w:tc>
          <w:tcPr>
            <w:tcW w:w="16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0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pPr>
            <w:r>
              <w:rPr/>
              <w:t>​</w:t>
            </w:r>
          </w:p>
        </w:tc>
      </w:tr>
      <w:tr>
        <w:trPr/>
        <w:tc>
          <w:tcPr>
            <w:tcW w:w="30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Money Market Funds held in Trust Account</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71,432,177</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71,432,177</w:t>
            </w:r>
          </w:p>
        </w:tc>
        <w:tc>
          <w:tcPr>
            <w:tcW w:w="326" w:type="dxa"/>
            <w:tcBorders/>
            <w:vAlign w:val="center"/>
          </w:tcPr>
          <w:p>
            <w:pPr>
              <w:pStyle w:val="TableContents"/>
              <w:bidi w:val="0"/>
              <w:spacing w:before="0" w:after="0"/>
              <w:ind w:left="0" w:right="0" w:hanging="0"/>
              <w:jc w:val="left"/>
              <w:rPr/>
            </w:pPr>
            <w:r>
              <w:rPr/>
              <w:t>​</w:t>
            </w:r>
          </w:p>
        </w:tc>
        <w:tc>
          <w:tcPr>
            <w:tcW w:w="5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1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71,432,177</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71,432,177</w:t>
            </w:r>
          </w:p>
        </w:tc>
        <w:tc>
          <w:tcPr>
            <w:tcW w:w="326" w:type="dxa"/>
            <w:tcBorders/>
            <w:shd w:fill="CCEEFF" w:val="clear"/>
            <w:vAlign w:val="center"/>
          </w:tcPr>
          <w:p>
            <w:pPr>
              <w:pStyle w:val="TableContents"/>
              <w:bidi w:val="0"/>
              <w:spacing w:before="0" w:after="0"/>
              <w:ind w:left="0" w:right="0" w:hanging="0"/>
              <w:jc w:val="left"/>
              <w:rPr/>
            </w:pPr>
            <w:r>
              <w:rPr/>
              <w:t>​</w:t>
            </w:r>
          </w:p>
        </w:tc>
        <w:tc>
          <w:tcPr>
            <w:tcW w:w="5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Backstop Subscription Agreement is valued using Probability Weighted Expected Return Model (“PWERM”). The PWERM is a multistep process in which value is estimated based on the probability-weighted present value of various future outcomes. The estimated fair value of the Backstop Subscription Agreement liability is determined using Level 3 inputs. Inherent in the pricing models are assumptions related to expected share-price volatility, expected life and risk-free interest rate. The risk-free interest rate is based on the U.S. Treasury zero-coupon yield curve on the grant date for a maturity similar to the expected remaining life of the Backstop Subscription Agreement. The expected life of the Backstop Subscription Agreement is assumed to be equivalent to its remaining contractual term. The initial fair value of the Backstop Subscription Agreement as of April 22, 2024, was $361,124. The fair value of the Backstop Subscription Agreement as of June 30, 2024 was $356,847, which resulted in a change in fair value of the Backstop Subscription Agreement of $4,277 for the three months and six months ended June 30,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BURTECH ACQUISITION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CONDENSED CONSOLIDATED</w:t>
      </w:r>
      <w:r>
        <w:rPr>
          <w:rFonts w:ascii="Times New Roman;Times;serif" w:hAnsi="Times New Roman;Times;serif"/>
          <w:sz w:val="20"/>
        </w:rPr>
        <w:t xml:space="preserve"> </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856" w:name="Tc_9ItlU41Qi0-oCfR6PZH0WQ_6_2"/>
      <w:bookmarkStart w:id="857" w:name="Tc_rRSHMc-ysECmgIPFtNx7cg_6_0"/>
      <w:bookmarkStart w:id="858" w:name="Tc_G-cEZd-wT0m8khC0ctRhLA_5_0"/>
      <w:bookmarkStart w:id="859" w:name="Tc_tslrxVQSMkiQUeXCkM8qdw_4_0"/>
      <w:bookmarkStart w:id="860" w:name="Tc_a23EQ6ZNTUeTUrOALjju_A_3_3"/>
      <w:bookmarkStart w:id="861" w:name="Tc_qkX2fiN9FEOwgwj15kJLVA_3_2"/>
      <w:bookmarkStart w:id="862" w:name="Tc_t-De_Nmfwk-_2Hf7Hrxnbw_3_0"/>
      <w:bookmarkStart w:id="863" w:name="Tc_loxLqGYRRkSvwlxkswYg9A_2_2"/>
      <w:bookmarkStart w:id="864" w:name="Tc_HkZLSrRyPEubq0NEygracQ_1_2"/>
      <w:bookmarkStart w:id="865" w:name="Tc_N31MBOvu20uh4rdyIMrHbw_6_7"/>
      <w:bookmarkStart w:id="866" w:name="Tc_8VlPxmZIiEihEA878ndgDA_6_4"/>
      <w:bookmarkStart w:id="867" w:name="Tc_s6Bqvl51oEmwDQqPXfLZlg_6_0"/>
      <w:bookmarkStart w:id="868" w:name="Tc_WJwgXA82akyFq8CmiX0bVg_5_0"/>
      <w:bookmarkStart w:id="869" w:name="Tc_O_zwmZwyt0WeSw35m1APdQ_4_7"/>
      <w:bookmarkStart w:id="870" w:name="Tc_xVZPTVtfyEKcCIC7NYhKZg_4_4"/>
      <w:bookmarkStart w:id="871" w:name="Tc__YqD03TFvUiVX8aF6q44Yw_4_0"/>
      <w:bookmarkStart w:id="872" w:name="Tc_PvBWFwaqOUSwErRAVHohlA_3_5"/>
      <w:bookmarkStart w:id="873" w:name="Tc_h94pDyy3nk6LrDCEqGs3DQ_3_2"/>
      <w:bookmarkStart w:id="874" w:name="Tc_NMd1movDC0q66m0_5C8Lxg_3_0"/>
      <w:bookmarkStart w:id="875" w:name="Tc_3IazaBaa_UKOLsKUGsqP2A_2_5"/>
      <w:bookmarkStart w:id="876" w:name="Tc_okryOJSiB02nbGgG_vrTvg_2_2"/>
      <w:bookmarkStart w:id="877" w:name="Tc_YRBKa4BAlUCqslunTU_E6w_2_0"/>
      <w:bookmarkStart w:id="878" w:name="Tc_ft3Z6dtpgkqykBzBZmPgsA_1_2"/>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Times New Roman;Times;serif" w:hAnsi="Times New Roman;Times;serif"/>
          <w:sz w:val="20"/>
        </w:rPr>
        <w:t>The key inputs of the models used to value the Company’s Backstop Subscription Agreement were as follows:</w:t>
      </w:r>
    </w:p>
    <w:p>
      <w:pPr>
        <w:pStyle w:val="TextBody"/>
        <w:bidi w:val="0"/>
        <w:spacing w:before="0" w:after="0"/>
        <w:ind w:left="0" w:right="0" w:hanging="0"/>
        <w:jc w:val="left"/>
        <w:rPr/>
      </w:pPr>
      <w:r>
        <w:rPr/>
        <w:t>​</w:t>
      </w:r>
    </w:p>
    <w:tbl>
      <w:tblPr>
        <w:tblW w:w="9270" w:type="dxa"/>
        <w:jc w:val="left"/>
        <w:tblInd w:w="0" w:type="dxa"/>
        <w:tblLayout w:type="fixed"/>
        <w:tblCellMar>
          <w:top w:w="0" w:type="dxa"/>
          <w:left w:w="0" w:type="dxa"/>
          <w:bottom w:w="0" w:type="dxa"/>
          <w:right w:w="0" w:type="dxa"/>
        </w:tblCellMar>
      </w:tblPr>
      <w:tblGrid>
        <w:gridCol w:w="4981"/>
        <w:gridCol w:w="326"/>
        <w:gridCol w:w="581"/>
        <w:gridCol w:w="1579"/>
        <w:gridCol w:w="361"/>
        <w:gridCol w:w="303"/>
        <w:gridCol w:w="823"/>
        <w:gridCol w:w="316"/>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162935" cy="175260"/>
                      <wp:effectExtent l="0" t="0" r="0" b="0"/>
                      <wp:wrapNone/>
                      <wp:docPr id="136" name="Frame136"/>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8935" cy="175260"/>
                      <wp:effectExtent l="0" t="0" r="0" b="0"/>
                      <wp:wrapNone/>
                      <wp:docPr id="138" name="Frame138"/>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002665" cy="175260"/>
                      <wp:effectExtent l="0" t="0" r="0" b="0"/>
                      <wp:wrapNone/>
                      <wp:docPr id="139" name="Frame139"/>
                      <a:graphic xmlns:a="http://schemas.openxmlformats.org/drawingml/2006/main">
                        <a:graphicData uri="http://schemas.microsoft.com/office/word/2010/wordprocessingShape">
                          <wps:wsp>
                            <wps:cNvSpPr txBox="1"/>
                            <wps:spPr>
                              <a:xfrm>
                                <a:off x="0" y="0"/>
                                <a:ext cx="1002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29235" cy="175260"/>
                      <wp:effectExtent l="0" t="0" r="0" b="0"/>
                      <wp:wrapNone/>
                      <wp:docPr id="140" name="Frame1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92405" cy="175260"/>
                      <wp:effectExtent l="0" t="0" r="0" b="0"/>
                      <wp:wrapNone/>
                      <wp:docPr id="141" name="Frame14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22605" cy="175260"/>
                      <wp:effectExtent l="0" t="0" r="0" b="0"/>
                      <wp:wrapNone/>
                      <wp:docPr id="142" name="Frame14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0660" cy="175260"/>
                      <wp:effectExtent l="0" t="0" r="0" b="0"/>
                      <wp:wrapNone/>
                      <wp:docPr id="143" name="Frame1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Initial Measurement date of </w:t>
            </w:r>
          </w:p>
        </w:tc>
        <w:tc>
          <w:tcPr>
            <w:tcW w:w="361"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98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    </w:t>
            </w:r>
          </w:p>
        </w:tc>
        <w:tc>
          <w:tcPr>
            <w:tcW w:w="2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22, 2024</w:t>
            </w:r>
          </w:p>
        </w:tc>
        <w:tc>
          <w:tcPr>
            <w:tcW w:w="361"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16"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61"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left"/>
              <w:rPr/>
            </w:pPr>
            <w:r>
              <w:rPr/>
              <w:t>​</w:t>
            </w:r>
          </w:p>
        </w:tc>
        <w:tc>
          <w:tcPr>
            <w:tcW w:w="1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Terms</w:t>
            </w:r>
          </w:p>
        </w:tc>
        <w:tc>
          <w:tcPr>
            <w:tcW w:w="326"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left"/>
              <w:rPr/>
            </w:pPr>
            <w:r>
              <w:rPr/>
              <w:t>​</w:t>
            </w:r>
          </w:p>
        </w:tc>
        <w:tc>
          <w:tcPr>
            <w:tcW w:w="1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361"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 Implied Likelihood of Initial Business Combination</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left"/>
              <w:rPr/>
            </w:pPr>
            <w:r>
              <w:rPr/>
              <w:t>​</w:t>
            </w:r>
          </w:p>
        </w:tc>
        <w:tc>
          <w:tcPr>
            <w:tcW w:w="1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a summary of the changes in the fair value of the Company’s Level 3 financial instruments that are measured at fair value on a recurring basis for the three and six months ended June 30, 2024:</w:t>
      </w:r>
    </w:p>
    <w:p>
      <w:pPr>
        <w:pStyle w:val="TextBody"/>
        <w:bidi w:val="0"/>
        <w:spacing w:before="0" w:after="0"/>
        <w:ind w:left="0" w:right="0" w:hanging="0"/>
        <w:jc w:val="left"/>
        <w:rPr/>
      </w:pPr>
      <w:r>
        <w:rPr/>
        <w:t>​</w:t>
      </w:r>
    </w:p>
    <w:tbl>
      <w:tblPr>
        <w:tblW w:w="5322" w:type="dxa"/>
        <w:jc w:val="left"/>
        <w:tblInd w:w="0" w:type="dxa"/>
        <w:tblLayout w:type="fixed"/>
        <w:tblCellMar>
          <w:top w:w="0" w:type="dxa"/>
          <w:left w:w="0" w:type="dxa"/>
          <w:bottom w:w="0" w:type="dxa"/>
          <w:right w:w="0" w:type="dxa"/>
        </w:tblCellMar>
      </w:tblPr>
      <w:tblGrid>
        <w:gridCol w:w="3241"/>
        <w:gridCol w:w="326"/>
        <w:gridCol w:w="337"/>
        <w:gridCol w:w="1418"/>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58035" cy="175260"/>
                      <wp:effectExtent l="0" t="0" r="0" b="0"/>
                      <wp:wrapNone/>
                      <wp:docPr id="144" name="Frame144"/>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3995" cy="175260"/>
                      <wp:effectExtent l="0" t="0" r="0" b="0"/>
                      <wp:wrapNone/>
                      <wp:docPr id="146" name="Frame14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00430" cy="175260"/>
                      <wp:effectExtent l="0" t="0" r="0" b="0"/>
                      <wp:wrapNone/>
                      <wp:docPr id="147" name="Frame147"/>
                      <a:graphic xmlns:a="http://schemas.openxmlformats.org/drawingml/2006/main">
                        <a:graphicData uri="http://schemas.microsoft.com/office/word/2010/wordprocessingShape">
                          <wps:wsp>
                            <wps:cNvSpPr txBox="1"/>
                            <wps:spPr>
                              <a:xfrm>
                                <a:off x="0" y="0"/>
                                <a:ext cx="900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Subscription Purchase</w:t>
            </w:r>
          </w:p>
        </w:tc>
      </w:tr>
      <w:tr>
        <w:trPr/>
        <w:tc>
          <w:tcPr>
            <w:tcW w:w="3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Agreement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as of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8" w:type="dxa"/>
            <w:tcBorders/>
            <w:shd w:fill="CCEEFF" w:val="clear"/>
            <w:vAlign w:val="center"/>
          </w:tcPr>
          <w:p>
            <w:pPr>
              <w:pStyle w:val="TableContents"/>
              <w:bidi w:val="0"/>
              <w:spacing w:before="0" w:after="0"/>
              <w:ind w:left="0" w:right="0" w:hanging="0"/>
              <w:jc w:val="right"/>
              <w:rPr/>
            </w:pPr>
            <w:r>
              <w:rPr/>
              <w:t>—</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Measurement on April 22, 2024</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4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361,124</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as of June 30, 2024</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356,847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9.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and transactions that occurred after the balance sheet date up to the date that the unaudited condensed consolidated financial statements were issued. Based upon this review, the Company did not identify any subsequent events, other than below, that would have required adjustment or disclosure in the unaudited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8, 2024 and July 17, 2024 the Company was advanced an additional $200,000 and $70,000, respectively on each date, from its Sponsor for payment of operating expenses and ongoing business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12, 2024, the Sponsor deposited $130,370 into the Trust account to extend the life of the Company from July 15, 2024 to August 15,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18, 2024, the Company and Blaize filed the registration statement Form S-4 Related to Proposed Business Combination detailed above.</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79" w:name="ITEM2MANAGEMENTSDISCUSSIONANDANALYSISOFF"/>
      <w:bookmarkStart w:id="880" w:name="_808451"/>
      <w:bookmarkStart w:id="881" w:name="_72c2c179_0e85_4828_83cf_c56ad27d79cb"/>
      <w:bookmarkEnd w:id="879"/>
      <w:bookmarkEnd w:id="880"/>
      <w:bookmarkEnd w:id="88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References in this report (this “Quarterly Report”) to “we,” “us” or the “Company” refer to BurTech Acquisition Corp. References to our “management” or our “management team” refer to our officers and directors, and references to the “Sponsor” refer to BurTech LP, LLC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(as defined below) filed with the U.S. Securities and Exchange Commission (the “SEC”). The Company’s filings with the SEC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holders. Following redemptions, the Company has 6,630,703 shares of Class A common stock outstanding, and approximately $68.0 million will remain in the Company’s trust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stockholders’ vote at the Second Special Meeting of stockholders held by the Company on December 11, 2023, The Company’s stockholders redeemed 2,285,040 shares during the Second Special Meeting. As a result, approximately $24.5 million (approximately $10.74 per share) was removed from the Company’s trust account to pay such holders. The amount was removed from the Trust Account on January 5,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On December 11, 2023 (the “Second Special Meeting”), the Company entered into an amendment to the investment management trust agreement dated as of December 10, 2021, with Continental Stock Transfer &amp; Trust Company (the “Second Trust Amendment”).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On January 16, 2024, February 9, 2024, and March 12, 2024, the Sponsor deposited $130,370 on each date into the Trust account to extend the life of the Company from January 15, 2024 to April 15, 2024. On April 10, 2024, May 10, 2024 and June 12, 2024 the Sponsor deposited $130,370 on each date into the Trust account to extend the life of the Company from April 15, 2024 to July 15, 2024. On July 12, 2024, the Sponsor deposited $130,370 into the Trust account to extend the life of the Company from July 15, 2024 to August 15,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complete the initial business combination within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the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Business Combination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previously announced, on December 22, 2023, the Company entered into an Agreement and Plan of Merger (the “Merger Agreement”) by and among the Company, Merger Sub a Delaware corporation and a direct, wholly owned subsidiary of the Company,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further provides that as soon as reasonably practicable following the date of the Merger Agreement, Burkhan and/or its affiliates and/or nominees shall purchase from Blaize (i) convertible promissory notes of Blaize and (ii) a pre-funded warrant to purchase up to a number of shares of common stock of Blaize, par value $0.00001 per share (“Blaize Common Stock”), that, following the conversion of Blaize Common Stock at the effective time of the Merger (the “Effective Time”) pursuant to the Merger Agreement, would result in up to 6,833,333 shares of The Company Class A common stock (the “Warrant”) for aggregate gross proceeds to Blaize of $25.0 million. Blaize issued the Warrant, which has an aggregate exercise price of $68,333.33 and an assumed purchase price of $68,333.33, to Burkhan concurrently with the execution of the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Among other things, at the Effective Time, (A) the outstanding shares of Blaize Common Stock issued and outstanding immediately prior to the Effective Time, and following the conversion or exercise of the outstanding convertible notes, preferred stock and warrants of Blaize (but excluding any (i) shares of Blaize Common Stock held by Blaize as treasury stock, (ii) shares the holders of which perfect rights of appraisal under Delaware law, and (iii) shares of Blaize Common Stock subject to any Blaize restricted stock unit (“RSU”) and Blaize stock option that will be assumed) will be cancelled in exchange for the right to receive a number of shares of the Company Class A common stock (rounded up to the nearest whole share) equal to the quotient obtained by dividing (a) 77,000,000 by (b) the Aggregate Company Shares (the “Exchange Ratio”), (B) each Blaize stock option that is outstanding and unexercised as of immediately prior to the Effective Time will be converted into an option to purchase shares of The Company Class A common stock (“New Blaize Options”) as set forth in the Merger Agreement, and (C) each Blaize RSU that is outstanding and unsettled as of immediately prior to the Effective Time will be converted into an award of RSUs relating to shares of The Company Class A common stock (“New Blaize RSUs”) as set forth in the Merger Agreement.</w:t>
      </w:r>
    </w:p>
    <w:p>
      <w:pPr>
        <w:pStyle w:val="TextBody"/>
        <w:bidi w:val="0"/>
        <w:spacing w:before="0" w:after="0"/>
        <w:ind w:left="0" w:right="0" w:hanging="0"/>
        <w:jc w:val="both"/>
        <w:rPr/>
      </w:pPr>
      <w:r>
        <w:rPr/>
        <w:t>“</w:t>
      </w:r>
      <w:r>
        <w:rPr>
          <w:rFonts w:ascii="Times New Roman;Times;serif" w:hAnsi="Times New Roman;Times;serif"/>
          <w:sz w:val="20"/>
        </w:rPr>
        <w:t xml:space="preserve">Aggregate Company Shares” means, without duplication, (i) the sum of the number of shares of Blaize Common Stock that are (a) issued and outstanding immediately prior to the Effective Time (following the conversion or exercise of the outstanding convertible notes, preferred stock and warrants of Blaize but excluding any shares of Burkhan Company Stock (as defined in the Merger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any treasury stock to be cancelled) and (b) issuable upon the exercise or settlement of Blaize stock awards (in each case, whether or not vested or currently exercisable) that are outstanding immediately prior to the Effective Time minus (ii) a number of shares of Blaize Common Stock equal to the quotient of (x) the sum of the aggregate cash exercise prices of all Blaize stock options divided by (y) the Exchange Ratio.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16.3 million shares of New Blaize common stock may be issued as earnout shares (the “Earnout Shares”) for a period from the closing of the Business Combination (the “Closing”) until the five-year anniversary thereof (the “Earnout Period”), in accordance with the schedule set forth in the Merger Agreement. The earnout shares are to be issued to Burkhan and shareholders of Blaize contingent, in each case, on the closing stock price of the New Blaize common stock exceeding the following thresholds:</w:t>
      </w:r>
    </w:p>
    <w:p>
      <w:pPr>
        <w:pStyle w:val="Normal"/>
        <w:bidi w:val="0"/>
        <w:spacing w:before="0" w:after="0"/>
        <w:jc w:val="left"/>
        <w:rPr>
          <w:sz w:val="4"/>
          <w:szCs w:val="4"/>
        </w:rPr>
      </w:pPr>
      <w:r>
        <w:rPr>
          <w:sz w:val="4"/>
          <w:szCs w:val="4"/>
        </w:rPr>
      </w:r>
      <w:bookmarkStart w:id="882" w:name="_Hlk166798728"/>
      <w:bookmarkStart w:id="883" w:name="_Hlk166798728"/>
      <w:bookmarkEnd w:id="88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stock price of New Blaize common stock is greater than or equal to $12.50 per share for 20 trading days within any 30 consecutive trading day period during the Earnout Period, then (i) 3,750,000 Earnout Shares will be issued to Blaize shareholders and (ii) 325,000 Earnout Shares will be issued to Burkhan;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stock price of New Blaize common stock is greater than or equal to $15.00 per share for 20 trading days within any 30 consecutive trading day period during the Earnout Period, then (i) 3,750,000 Earnout Shares will be issued to Blaize shareholders and (ii) 325,000 Earnout Shares will be issued to Burkhan;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stock price of New Blaize common stock is greater than or equal to $17.50 per share for 20 trading days within any 30 consecutive trading day period during the Earnout Period, then (i) 3,750,000 Earnout Shares will be issued to Blaize shareholders and (ii) 325,000 Earnout Shares will be issued to Burkhan;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the closing stock price of New Blaize common stock is greater than or equal to $20.00 per share for 20 trading days within any 30 consecutive trading day period during the Earnout Period, then (i) 3,750,000 Earnout Shares will be issued</w:t>
            </w:r>
            <w:r>
              <w:rPr>
                <w:caps w:val="false"/>
                <w:smallCaps w:val="false"/>
              </w:rPr>
              <w:t xml:space="preserve"> </w:t>
            </w:r>
            <w:r>
              <w:rPr>
                <w:rFonts w:ascii="Times New Roman;Times;serif" w:hAnsi="Times New Roman;Times;serif"/>
                <w:b w:val="false"/>
                <w:i w:val="false"/>
                <w:caps w:val="false"/>
                <w:smallCaps w:val="false"/>
                <w:sz w:val="20"/>
              </w:rPr>
              <w:t>to Blaize shareholders and (ii) 325,000 Earnout Shares will be issued to Burkhan.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Blaize shareholders and Burkhan will be entitled to receive all of the remaining Earnout Shares that have not previously been issued to Blaize shareholders and Burkhan in the event there occurs a transaction resulting in a change in control of New Blaize or Blaize during the Earnout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Conditions to Closing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is subject to the satisfaction or waiver of certain customary closing conditions, including, among others, (i) approval of the Business Combination and related agreements and transactions by the respective shareholders of The Company and Blaize, (ii) effectiveness of the registration statement on Form S-4 to be filed by The Company in connection with the Business Combination, (iii) expiration or termination of the waiting period under the Hart-Scott-Rodino Antitrust Improvements Act, if applicable, (iv) approval of the Business Combination under the United Kingdom’s National Security and Investment Act 2021, (v) the absence of any injunction, order, statute, rule, or regulation enjoining or prohibiting the consummation of the Merger, and (vi) receipt of approval for listing on Nasdaq the shares of New Blaize common stock to be issued in connection with the Merger.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conditions to The Company’s obligations to consummate the Merger include, among others, that as of the Closing, (i) the representations and warranties of Blaize being true and correct, subject to the materiality standards contained in the Merger Agreement, (ii) Blaize shall have performed all covenants required to be performed by Blaize in all material respects, (iii) no Company Material Adverse Effect (as defined in the Merger Agreement) shall have occurred between the date of the Merger Agreement and Closing and be continuing, and (iv) Blaize shall have effectuated the conversion or exercise of the outstanding convertible notes, preferred stock and warrants of Blaize.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conditions to Blaize’s obligations to consummate the Merger include, among others, that as of the Closing, (i) the representations and warranties of The Company and Merger Sub being true and correct, subject to the materiality standards contained in the Merger Agreement, (ii) The Company shall have performed all covenants required to be performed by The Company in all material respects, (iii) no Acquiror Material Adverse Effect (as defined in the Merger Agreement) shall have occurred between the date of the Merger Agreement and Closing and be continuing, (iv) the amount of cash available in the trust account into which substantially all of the proceeds of The Company’s initial public offering and private placement of its warrants have been deposited for the benefit of its public shareholders following redemptions by The Company’s stockholders in connection with the The Company stockholder meeting held for purposes of approving the Business Combination (the “Trust Account”), plus the proceeds of any financing transaction of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Blaize prior to the Closing, plus the aggregate gross proceeds of $5.0 million received by Blaize pursuant to a previous convertible note financing transaction, and subject to the deductions and conditions set forth in the Merger Agreement, including deductions for certain The Company and Blaize transaction expenses, is equal to or greater than $125,000,000 and (v) other than persons designated by the parties to the Merger Agreement to be nominated for election to the board of directors of New Blaize in accordance with the terms of the Merger Agreement, all members of the board of directors and executive officers of The Company shall have executed written resignations effective as of the Effective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Covenants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contains additional covenants, including, among others, providing for (i) the parties to use commercially reasonable efforts to conduct their respective businesses in the ordinary course through the Closing, (ii) Blaize to prepare and deliver to The Company certain audited and unaudited consolidated financial statements of Blaize, (iii) The Company to prepare and file a registration statement on Form S-4 and take certain other actions to obtain the requisite approval of The Company shareholders of certain proposals regarding the Business Combination and (iv) the parties to use reasonable best efforts to obtain necessary approvals from governmental agencies.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Representations and Warranties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contains representations and warranties by The Company, Merger Sub and Blaize that are customary for transactions of this type. The representations and warranties of the respective parties to the Merger Agreement will not survive the Closing.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may be terminated at any time prior to the Closing (i) by mutual written consent of The Company and Blaize, (ii) by The Company or Blaize, if requisite approvals of the shareholders of The Company are not obtained as set forth therein, (iii) by Blaize if there is a Modification in Recommendation (as defined in the Merger Agreement), (iv) by The Company if requisite approvals of the shareholders of Blaize are not obtained as soon as reasonably practicable following the effectiveness of the registration statement on Form S-4 to be filed by The Company in connection with the Business Combination, (v) by Blaize if Burkhan, its affiliates and/or nominees fail to fund certain principal amounts of the Burkhan Convertible Notes (as defined in the Merger Agreement) on the terms and subject to the conditions set forth in the Merger Agreement and (vi) by either The Company or Blaize in certain other circumstances set forth in the Merger Agreement, including (a) if any Governmental Authority (as defined in the Merger Agreement) shall have issued or otherwise entered a final, nonappealable order making consummation of the Merger illegal or otherwise preventing or prohibiting consummation of the Merger, (b) in the event of certain uncured breaches by the other party or (c) if the Closing has not occurred on or before December 31,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Exclusivity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Between the date of the Merger Agreement and the Closing, The Company has agreed that it will not, directly or indirectly, (i) encourage, solicit, initiate, facilitate or continue inquiries regarding a Business Combination Proposal (as defined below); (ii) enter into discussions or negotiations with, or provide any information to, any person concerning a possible Business Combination Proposal; or (iii) enter into any agreements or other instruments (whether or not binding) regarding a Business Combination Proposal. The Company also agreed to cease and cause to be terminated any existing discussions or negotiations with any persons (other than Blaize and its representatives) previously conducted with respect to, or that could lead to, any Business Combination Proposal; </w:t>
      </w:r>
      <w:r>
        <w:rPr>
          <w:rFonts w:ascii="Times New Roman;Times;serif" w:hAnsi="Times New Roman;Times;serif"/>
          <w:i/>
          <w:sz w:val="20"/>
        </w:rPr>
        <w:t>provided</w:t>
      </w:r>
      <w:r>
        <w:rPr>
          <w:rFonts w:ascii="Times New Roman;Times;serif" w:hAnsi="Times New Roman;Times;serif"/>
          <w:sz w:val="20"/>
        </w:rPr>
        <w:t>, that The Company is not restricted from responding to unsolicited inbound inquiries to the extent required for the board of directors of The Company to comply with its fiduciary duties. “Business Combination Proposal” means any offer, inquiry, proposal or indication of interest (whether written or oral, binding or non-binding), relating to a Business Combination.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Between the date of the Merger Agreement and the Closing, Blaize has agreed that it will not, directly or indirectly, (i) encourage, solicit, initiate, facilitate or continue inquiries regarding a Company Acquisition Proposal (as defined below); (ii) enter into discussions or negotiations with, or provide any information to, any person concerning a possible Company Acquisition Proposal; or (iii) enter into any agreements or other instruments (whether or not binding) regarding a Company Acquisition Proposal. The Company also agreed that it will cease and cause to be terminated any existing discussions or negotiations with any persons (other than The Company and its representatives) previously conducted with respect to, or that could lead to, any Company Acquisition Proposal. “Company Acquisition Proposal” means any inquiry, proposal or offer concerning a merger, consolidation, liquidation, recapitalization, share exchange or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 involving the sale, lease, exchange or other disposition of more than fifteen percent (15%) of the properties or assets or equity interests of Blaize or any of its subsidiaries, excluding, for the avoidance of doubt, any Company Financing.</w:t>
      </w:r>
    </w:p>
    <w:p>
      <w:pPr>
        <w:pStyle w:val="TextBody"/>
        <w:bidi w:val="0"/>
        <w:spacing w:before="0" w:after="240"/>
        <w:ind w:left="0" w:right="0" w:hanging="0"/>
        <w:jc w:val="both"/>
        <w:rPr/>
      </w:pPr>
      <w:r>
        <w:rPr/>
        <w:t>“</w:t>
      </w:r>
      <w:r>
        <w:rPr>
          <w:rFonts w:ascii="Times New Roman;Times;serif" w:hAnsi="Times New Roman;Times;serif"/>
          <w:sz w:val="20"/>
        </w:rPr>
        <w:t>Company Financing” means, subject to certain limited exceptions contained in the Merger Agreement, a private placement of (i) secured convertible promissory notes of Blaize by, or any other form of investment in or financing of (either directly or indirectly), Blaize that is consummated with Burkhan and/or its affiliates and/or nominees after December 22, 2023 and prior to or substantially concurrently with the Closing providing up to an aggregate amount of $25.0 million to Blaize, and (ii) equity, equity-linked or debt securities of Blaize by, or any other form of investment or financing of (either director or indirectly), Blaize that is consummated with any person (other than Burkhan and/or its affiliates and/or nominees) after December 22, 2023 and prior to or substantially concurrently with the Closing.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Exchange Listing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required under applicable rules of the Nasdaq Global Market (“Nasdaq”), the Company will use its reasonable best efforts to cause the shares of the Company’s Class A common stock to be issued in connection with the Business Combination to be approved for listing on Nasdaq at the Closing. Until the Closing, The Company must use its reasonable best efforts to cause the Company to remain listed as a public company on Nasdaq.</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Company Support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Company’s Capital Stock (as defined in the Company’s Support Agreement), subject to certain exceptions, and termination of certain stockholder agreements and other affiliate agreements of Blaize.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Sponsor Support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22, 2023, concurrently with the execution of the Merger Agreement, the Company and Blaize entered into an agreement (the “Sponsor Support Agreement”) with the Sponsor, pursuant to which, among other things, in connection with the Closing, the Sponsor agreed to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is sought, (ii) vote against and withhold consent with respect to any Business Combination Proposal or other business combination transaction (other than the Merger Agreement and the Business Combination), (iii) vote against any proposal, action or agreement that would (a) impede, frustrate, prevent or nullify any provision of the Sponsor Support Agreements, the Merger Agreement or the timely consummation of the Merger, (b) result in a breach in any respect of any covenant, representation, warranty or any other obligation or agreement of the Company or Merger Sub under the Merger Agreement, (c) result in any of the conditions set forth in the Merger Agreement not being fulfilled or (d) result in a breach of any covenant, representation or warranty or other obligation or agreement of the Sponsor contained in the Sponsor Support Agreements, (iv) waive any adjustment to the conversion ratio or any other anti-dilution or similar protection set forth in the governing documents of the Company with respect to the Class B common stock of the Company, in each case, on the terms and subject to the conditions set forth in the Sponsor Support Agreement, and (v) be bound by certain other covenants and agreements related to the Business Combination, including a restriction on the transfer of the Company’s Class B common stock and private placement units of the Company, subject to certain exceptions.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Registration Rights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Lock-up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contemplates that, at the Closing, New Blaize will enter into lock-up agreements (the “Lock-up Agreements”)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foregoing descriptions of the Merger Agreement, the Company’s Support Agreement, the Sponsor Support Agreement, the Registration Rights Agreement, the Lock-up Agreement, and the Stockholders’ Agreement and the transactions and documents contemplated thereby, are not complete and are subject to and qualified in their entirety by reference to the Merger Agreement, the Company’s Support Agreement, the Sponsor Support Agreement, the form of Registration Rights Agreement, the form of Lock-up Agreement, and the form of Stockholders’ Agreement, copies of which are filed with this Current Report on Form 8-K as Exhibit 2.1, Exhibit 10.1, Exhibit 10.2, Exhibit 10.3, Exhibit 10.4, and Exhibit 10.5 respectively, and the terms of which are incorporated by reference 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Merger Agreement, the Company’s Support Agreement, the Sponsor Support Agreement, the Registration Rights Agreement, the Lock-up Agreement, and the Stockholders’ Agreement and the other documents related thereto (collectively, the “Transaction Documents”) have been included to provide investors with information regarding their terms. They are not intended to provide any other factual information about The Company, Blaize or their respective affiliates. The representations, warranties, covenants and agreements contained in the Transaction Documents were made only for purposes of the Merger Agreement as of the specific dates therein, were solely for the benefit of the parties to the Transaction Documents and may be subject to limitations agreed upon by the contracting parties, including being qualified by confidential disclosures made for the purposes of allocating contractual risk between the parties to the Transaction Documents instead of establishing these matters as facts, and may be subject to standards of materiality applicable to the contracting parties that differ from those applicable to investors. Investors are not third-party beneficiaries under the Transaction Documents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applicable dates of the Transaction Documents, which subsequent information may or may not be fully reflected in The Company’s public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Amendment to Underwriting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Backstop Subscription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22, 2024, the Sponsor entered into a backstop subscription agreement (the “Backstop Subscription Agreement”) with the Company and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8).</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neither engaged in any operations nor generated any revenues to date. Our only activities through June 30, 2024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dividends on marketable securities held in the Trust Account. We incur expenses as a result of being a public company (for legal, financial reporting, accounting and auditing compliance), as well as for due diligence and transaction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2024, we had a net loss of $600,213, which consisted of $748,339 in operating costs and franchise taxes, change in fair value of backstop agreement of $356,847 and provision for income taxes of $120,943, offset by interest from investments held in our Trust Account of $625,916.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2024, we had a net loss of $610,846, which consisted of $1,224,151 in operating costs and franchise taxes, change in fair value of backstop agreement of $356,847 and provision for income taxes of $283,838, offset by interest from investments held in our Trust Account of $1,253,990.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2023, we had a net income of $98,772, which consisted of interest from marketable securities held in our Trust Account of $823,682, offset by operating costs and franchise taxes of $556,455 and provision for income taxes of $168,455.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2023, we had a net income of $1,673,563, which consisted of interest from marketable securities held in our Trust Account of $3,899,411, offset by $1,452,265 in operating costs and franchise taxes and provision for income taxes of $773,583.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the Company had $26,944 in its restricted cash account and $48,885,820 in investments held in trust. Restricted cash is held exclusively for payment of current tax liabilities. As of June 30, 2024, $3,995,122 of the amount on deposit in the Trust Account represents interest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liquidity needs up to June 30,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June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30, 2024, the Company had $1,500,000 outstanding under a Convertible Promissory Note and $1,059,551 outstanding as advances from sponsor.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less than 7 months from its mandatory liquidation as of the time of filing of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financial statements contained in Annual Report on Form 10-K are issued.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Financing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 obligations, assets or liabilities, which would be considered off-balance sheet arrangements as of June 30, 2024.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estimates: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Common Stock Subject to Possible Redemption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June 30, 2024 and December 31, 2023, 4,345,663 Class A common stock subject to possible redemption are presented at redemption value as temporary equity, outside of the stockholders’ deficit section of our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Derivative Liability - Backstop Subscription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its Backstop Subscription Agreement (see Note 6 to the financial statements)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The Backstop Subscription Agreement is valued using a Probability Weighted Expected Return Model (“PWERM”).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Income or Loss Per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three and six months ended June 30, 2024 and 2023 because the warrants are contingently exercisable, and the contingencies have not yet been met and its inclusion would be anti-dilutive. As a result, diluted net income or loss per common stock is the same as basic net income or loss per common stock for the periods.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retrospective basis, with early adoption permitted beginning on January 1, 2021. We are currently assessing the impact, if any, that ASU 2020-06 would have on our financial position, results of operations or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does not believe that any other recently issued, but not yet effective, accounting standards if currently adopted would have a material effect on the accompanying financial statement.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84" w:name="Item3QuantitativeandQualitativeDisclosur"/>
      <w:bookmarkStart w:id="885" w:name="_d8e396eb_9c36_4d72_9c91_fc51a0dbda13"/>
      <w:bookmarkEnd w:id="884"/>
      <w:bookmarkEnd w:id="885"/>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make disclosures under this Item.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86" w:name="_ffb24474_b2e0_46eb_be99_e0c4d88ee5ce"/>
      <w:bookmarkStart w:id="887" w:name="Item4ControlsandProcedures_671429"/>
      <w:bookmarkEnd w:id="886"/>
      <w:bookmarkEnd w:id="887"/>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officer and principal financial officer, to allow timely decisions regarding required disclosure.</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supervision and with the participation of our management, including our principal executive officer and principal financial officer, we conducted an evaluation of the effectiveness of our disclosure controls and procedures as of the end of the fiscal quarter ended June 30, 2024, as such term is defined in Rules 13a-15(e) and 15d-15(e) under the Exchange Act. Based on this evaluation, our principal executive officer and principal financial officer has concluded that during the period covered by this report, our disclosure controls and procedures were not effective. Previously, during the year ended December 31, 2023, we identified material weaknesses in our internal control over financial reporting relating to our inadequate control for the withdrawal of funds from the Trust Account and inadequate control for the accounting for class a common stock subject to possible redemption as of December 31,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88" w:name="PARTIIOTHERINFORMATION_374914"/>
      <w:bookmarkStart w:id="889" w:name="_8d79909c_1f55_476f_bd6e_fa2e3d2c4495"/>
      <w:bookmarkEnd w:id="888"/>
      <w:bookmarkEnd w:id="889"/>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890" w:name="Item1LegalProceedings_636390"/>
      <w:bookmarkEnd w:id="890"/>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1" w:name="Item1ARiskFactors_452640"/>
      <w:bookmarkStart w:id="892" w:name="_b4bf7599_2a19_41a4_b3f5_856c42d785aa"/>
      <w:bookmarkEnd w:id="891"/>
      <w:bookmarkEnd w:id="892"/>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the Excise Tax included in the Inflation Reduction Act of 2022 in connection with redemptions of our common stock after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redemption or other repurchase that occurs after December 31,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3" w:name="Item2UnregisteredSalesofEquitySecurities"/>
      <w:bookmarkStart w:id="894" w:name="_e3fcd989_9c2c_455b_a5d3_e493531b11de"/>
      <w:bookmarkEnd w:id="893"/>
      <w:bookmarkEnd w:id="894"/>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5" w:name="Item3DefaultsUponSeniorSecurities_382135"/>
      <w:bookmarkStart w:id="896" w:name="_3fdf4bc2_54e4_4674_b867_0986c4b49bdf"/>
      <w:bookmarkEnd w:id="895"/>
      <w:bookmarkEnd w:id="896"/>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97" w:name="Item4MineSafetyDisclosures_410368"/>
      <w:bookmarkStart w:id="898" w:name="_cf33caae_2a00_4e38_aa71_eb42a802eca0"/>
      <w:bookmarkEnd w:id="897"/>
      <w:bookmarkEnd w:id="898"/>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9" w:name="Item5OtherInformation_120438"/>
      <w:bookmarkStart w:id="900" w:name="_e3cf9a0d_417b_4005_837e_c38617b2d2c4"/>
      <w:bookmarkEnd w:id="899"/>
      <w:bookmarkEnd w:id="900"/>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01" w:name="Item6Exhibits_961876"/>
      <w:bookmarkStart w:id="902" w:name="_c900e49c_b95b_4538_b06c_67f3ad59d55c"/>
      <w:bookmarkEnd w:id="901"/>
      <w:bookmarkEnd w:id="902"/>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815"/>
        <w:gridCol w:w="326"/>
        <w:gridCol w:w="9064"/>
      </w:tblGrid>
      <w:tr>
        <w:trPr/>
        <w:tc>
          <w:tcPr>
            <w:tcW w:w="81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Exhibit No.</w:t>
            </w:r>
          </w:p>
        </w:tc>
        <w:tc>
          <w:tcPr>
            <w:tcW w:w="326" w:type="dxa"/>
            <w:tcBorders>
              <w:bottom w:val="single" w:sz="2" w:space="0" w:color="000000"/>
            </w:tcBorders>
            <w:vAlign w:val="center"/>
          </w:tcPr>
          <w:p>
            <w:pPr>
              <w:pStyle w:val="TableContents"/>
              <w:bidi w:val="0"/>
              <w:spacing w:before="0" w:after="0"/>
              <w:ind w:left="0" w:right="0" w:hanging="0"/>
              <w:jc w:val="both"/>
              <w:rPr/>
            </w:pPr>
            <w:r>
              <w:rPr/>
              <w:t>    </w:t>
            </w:r>
          </w:p>
        </w:tc>
        <w:tc>
          <w:tcPr>
            <w:tcW w:w="9064"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Description</w:t>
            </w:r>
          </w:p>
        </w:tc>
      </w:tr>
      <w:tr>
        <w:trPr/>
        <w:tc>
          <w:tcPr>
            <w:tcW w:w="815"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326" w:type="dxa"/>
            <w:tcBorders/>
            <w:shd w:fill="CCEEFF" w:val="clear"/>
            <w:tcMar>
              <w:bottom w:w="0" w:type="dxa"/>
            </w:tcMar>
            <w:vAlign w:val="center"/>
          </w:tcPr>
          <w:p>
            <w:pPr>
              <w:pStyle w:val="TableContents"/>
              <w:bidi w:val="0"/>
              <w:spacing w:before="0" w:after="240"/>
              <w:ind w:left="0" w:right="0" w:hanging="0"/>
              <w:jc w:val="both"/>
              <w:rPr/>
            </w:pPr>
            <w:r>
              <w:rPr/>
              <w:t>​</w:t>
            </w:r>
          </w:p>
        </w:tc>
        <w:tc>
          <w:tcPr>
            <w:tcW w:w="9064"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both"/>
              <w:rPr/>
            </w:pPr>
            <w:hyperlink w:anchor="brkh-20240630xex31d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81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240"/>
              <w:ind w:left="0" w:right="0" w:hanging="0"/>
              <w:jc w:val="both"/>
              <w:rPr/>
            </w:pPr>
            <w:r>
              <w:rPr/>
              <w:t>​</w:t>
            </w:r>
          </w:p>
        </w:tc>
        <w:tc>
          <w:tcPr>
            <w:tcW w:w="9064" w:type="dxa"/>
            <w:tcBorders/>
            <w:tcMar>
              <w:bottom w:w="0" w:type="dxa"/>
            </w:tcMar>
            <w:vAlign w:val="center"/>
          </w:tcPr>
          <w:p>
            <w:pPr>
              <w:pStyle w:val="TableContents"/>
              <w:bidi w:val="0"/>
              <w:spacing w:before="0" w:after="0"/>
              <w:ind w:left="0" w:right="0" w:hanging="0"/>
              <w:jc w:val="both"/>
              <w:rPr/>
            </w:pPr>
            <w:hyperlink w:anchor="brkh-20240630xex31d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81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tcMar>
              <w:bottom w:w="0" w:type="dxa"/>
            </w:tcMar>
            <w:vAlign w:val="center"/>
          </w:tcPr>
          <w:p>
            <w:pPr>
              <w:pStyle w:val="TableContents"/>
              <w:bidi w:val="0"/>
              <w:spacing w:before="0" w:after="240"/>
              <w:ind w:left="0" w:right="0" w:hanging="0"/>
              <w:jc w:val="both"/>
              <w:rPr/>
            </w:pPr>
            <w:r>
              <w:rPr/>
              <w:t>​</w:t>
            </w:r>
          </w:p>
        </w:tc>
        <w:tc>
          <w:tcPr>
            <w:tcW w:w="9064" w:type="dxa"/>
            <w:tcBorders/>
            <w:shd w:fill="CCEEFF" w:val="clear"/>
            <w:tcMar>
              <w:bottom w:w="0" w:type="dxa"/>
            </w:tcMar>
            <w:vAlign w:val="center"/>
          </w:tcPr>
          <w:p>
            <w:pPr>
              <w:pStyle w:val="TableContents"/>
              <w:bidi w:val="0"/>
              <w:spacing w:before="0" w:after="0"/>
              <w:ind w:left="0" w:right="0" w:hanging="0"/>
              <w:jc w:val="both"/>
              <w:rPr/>
            </w:pPr>
            <w:hyperlink w:anchor="brkh-20240630xex32.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81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326" w:type="dxa"/>
            <w:tcBorders/>
            <w:tcMar>
              <w:bottom w:w="0" w:type="dxa"/>
            </w:tcMar>
            <w:vAlign w:val="center"/>
          </w:tcPr>
          <w:p>
            <w:pPr>
              <w:pStyle w:val="TableContents"/>
              <w:bidi w:val="0"/>
              <w:spacing w:before="0" w:after="240"/>
              <w:ind w:left="0" w:right="0" w:hanging="0"/>
              <w:jc w:val="both"/>
              <w:rPr/>
            </w:pPr>
            <w:r>
              <w:rPr/>
              <w:t>​</w:t>
            </w:r>
          </w:p>
        </w:tc>
        <w:tc>
          <w:tcPr>
            <w:tcW w:w="9064"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81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326" w:type="dxa"/>
            <w:tcBorders/>
            <w:shd w:fill="CCEEFF" w:val="clear"/>
            <w:tcMar>
              <w:bottom w:w="0" w:type="dxa"/>
            </w:tcMar>
            <w:vAlign w:val="center"/>
          </w:tcPr>
          <w:p>
            <w:pPr>
              <w:pStyle w:val="TableContents"/>
              <w:bidi w:val="0"/>
              <w:spacing w:before="0" w:after="240"/>
              <w:ind w:left="0" w:right="0" w:hanging="0"/>
              <w:jc w:val="both"/>
              <w:rPr/>
            </w:pPr>
            <w:r>
              <w:rPr/>
              <w:t>​</w:t>
            </w:r>
          </w:p>
        </w:tc>
        <w:tc>
          <w:tcPr>
            <w:tcW w:w="9064"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326" w:type="dxa"/>
            <w:tcBorders/>
            <w:tcMar>
              <w:bottom w:w="0" w:type="dxa"/>
            </w:tcMar>
            <w:vAlign w:val="center"/>
          </w:tcPr>
          <w:p>
            <w:pPr>
              <w:pStyle w:val="TableContents"/>
              <w:bidi w:val="0"/>
              <w:spacing w:before="0" w:after="240"/>
              <w:ind w:left="0" w:right="0" w:hanging="0"/>
              <w:jc w:val="both"/>
              <w:rPr/>
            </w:pPr>
            <w:r>
              <w:rPr/>
              <w:t>​</w:t>
            </w:r>
          </w:p>
        </w:tc>
        <w:tc>
          <w:tcPr>
            <w:tcW w:w="9064"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1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326" w:type="dxa"/>
            <w:tcBorders/>
            <w:shd w:fill="CCEEFF" w:val="clear"/>
            <w:tcMar>
              <w:bottom w:w="0" w:type="dxa"/>
            </w:tcMar>
            <w:vAlign w:val="center"/>
          </w:tcPr>
          <w:p>
            <w:pPr>
              <w:pStyle w:val="TableContents"/>
              <w:bidi w:val="0"/>
              <w:spacing w:before="0" w:after="240"/>
              <w:ind w:left="0" w:right="0" w:hanging="0"/>
              <w:jc w:val="both"/>
              <w:rPr/>
            </w:pPr>
            <w:r>
              <w:rPr/>
              <w:t>​</w:t>
            </w:r>
          </w:p>
        </w:tc>
        <w:tc>
          <w:tcPr>
            <w:tcW w:w="9064"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1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326" w:type="dxa"/>
            <w:tcBorders/>
            <w:tcMar>
              <w:bottom w:w="0" w:type="dxa"/>
            </w:tcMar>
            <w:vAlign w:val="center"/>
          </w:tcPr>
          <w:p>
            <w:pPr>
              <w:pStyle w:val="TableContents"/>
              <w:bidi w:val="0"/>
              <w:spacing w:before="0" w:after="240"/>
              <w:ind w:left="0" w:right="0" w:hanging="0"/>
              <w:jc w:val="both"/>
              <w:rPr/>
            </w:pPr>
            <w:r>
              <w:rPr/>
              <w:t>​</w:t>
            </w:r>
          </w:p>
        </w:tc>
        <w:tc>
          <w:tcPr>
            <w:tcW w:w="9064"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81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326" w:type="dxa"/>
            <w:tcBorders/>
            <w:shd w:fill="CCEEFF" w:val="clear"/>
            <w:tcMar>
              <w:bottom w:w="0" w:type="dxa"/>
            </w:tcMar>
            <w:vAlign w:val="center"/>
          </w:tcPr>
          <w:p>
            <w:pPr>
              <w:pStyle w:val="TableContents"/>
              <w:bidi w:val="0"/>
              <w:spacing w:before="0" w:after="240"/>
              <w:ind w:left="0" w:right="0" w:hanging="0"/>
              <w:jc w:val="both"/>
              <w:rPr/>
            </w:pPr>
            <w:r>
              <w:rPr/>
              <w:t>​</w:t>
            </w:r>
          </w:p>
        </w:tc>
        <w:tc>
          <w:tcPr>
            <w:tcW w:w="9064"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5"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240"/>
              <w:ind w:left="0" w:right="0" w:hanging="0"/>
              <w:jc w:val="both"/>
              <w:rPr/>
            </w:pPr>
            <w:r>
              <w:rPr/>
              <w:t>​</w:t>
            </w:r>
          </w:p>
        </w:tc>
        <w:tc>
          <w:tcPr>
            <w:tcW w:w="9064"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03" w:name="SIGNATURES_758373"/>
      <w:bookmarkStart w:id="904" w:name="_38ba5a12_30d9_47ed_99d1_226e6b8c08e9"/>
      <w:bookmarkEnd w:id="903"/>
      <w:bookmarkEnd w:id="904"/>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828" w:type="dxa"/>
        <w:jc w:val="left"/>
        <w:tblInd w:w="0" w:type="dxa"/>
        <w:tblLayout w:type="fixed"/>
        <w:tblCellMar>
          <w:top w:w="0" w:type="dxa"/>
          <w:left w:w="0" w:type="dxa"/>
          <w:bottom w:w="0" w:type="dxa"/>
          <w:right w:w="0" w:type="dxa"/>
        </w:tblCellMar>
      </w:tblPr>
      <w:tblGrid>
        <w:gridCol w:w="1951"/>
        <w:gridCol w:w="406"/>
        <w:gridCol w:w="4471"/>
      </w:tblGrid>
      <w:tr>
        <w:trPr/>
        <w:tc>
          <w:tcPr>
            <w:tcW w:w="1951" w:type="dxa"/>
            <w:tcBorders/>
            <w:vAlign w:val="center"/>
          </w:tcPr>
          <w:p>
            <w:pPr>
              <w:pStyle w:val="TableContents"/>
              <w:bidi w:val="0"/>
              <w:spacing w:before="0" w:after="0"/>
              <w:ind w:left="0" w:right="0" w:hanging="0"/>
              <w:jc w:val="left"/>
              <w:rPr/>
            </w:pPr>
            <w:r>
              <w:rPr/>
              <w:t>​</w:t>
            </w:r>
          </w:p>
        </w:tc>
        <w:tc>
          <w:tcPr>
            <w:tcW w:w="48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BurTech Acquisition Corp.</w:t>
            </w:r>
          </w:p>
        </w:tc>
      </w:tr>
      <w:tr>
        <w:trPr/>
        <w:tc>
          <w:tcPr>
            <w:tcW w:w="1951" w:type="dxa"/>
            <w:tcBorders/>
            <w:vAlign w:val="center"/>
          </w:tcPr>
          <w:p>
            <w:pPr>
              <w:pStyle w:val="TableContents"/>
              <w:bidi w:val="0"/>
              <w:spacing w:before="0" w:after="0"/>
              <w:ind w:left="0" w:right="0" w:hanging="0"/>
              <w:jc w:val="left"/>
              <w:rPr/>
            </w:pPr>
            <w:r>
              <w:rPr/>
              <w:t>​</w:t>
            </w:r>
          </w:p>
        </w:tc>
        <w:tc>
          <w:tcPr>
            <w:tcW w:w="4877"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Shahal Khan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Shahal Khan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r>
              <w:rPr>
                <w:rFonts w:ascii="Times New Roman;Times;serif" w:hAnsi="Times New Roman;Times;serif"/>
                <w:i/>
                <w:sz w:val="20"/>
              </w:rPr>
              <w:t>Principal Executive Officer</w:t>
            </w: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Roman Livson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Roman Livson </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and Secretary</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w:t>
            </w:r>
            <w:r>
              <w:rPr>
                <w:rFonts w:ascii="Times New Roman;Times;serif" w:hAnsi="Times New Roman;Times;serif"/>
                <w:sz w:val="20"/>
              </w:rPr>
              <w:t xml:space="preserve"> </w:t>
            </w:r>
            <w:r>
              <w:rPr>
                <w:rFonts w:ascii="Times New Roman;Times;serif" w:hAnsi="Times New Roman;Times;serif"/>
                <w:i/>
                <w:sz w:val="20"/>
              </w:rPr>
              <w:t>and Accounting</w:t>
            </w:r>
            <w:r>
              <w:rPr>
                <w:rFonts w:ascii="Times New Roman;Times;serif" w:hAnsi="Times New Roman;Times;serif"/>
                <w:sz w:val="20"/>
              </w:rPr>
              <w:t xml:space="preserve"> </w:t>
            </w:r>
            <w:r>
              <w:rPr>
                <w:rFonts w:ascii="Times New Roman;Times;serif" w:hAnsi="Times New Roman;Times;serif"/>
                <w:i/>
                <w:sz w:val="20"/>
              </w:rPr>
              <w:t>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677" w:right="0" w:hanging="0"/>
        <w:jc w:val="right"/>
        <w:rPr>
          <w:rFonts w:ascii="Times New Roman;Times;serif" w:hAnsi="Times New Roman;Times;serif"/>
          <w:b/>
          <w:sz w:val="20"/>
        </w:rPr>
      </w:pPr>
      <w:bookmarkStart w:id="905" w:name="brkh-20240630xex31d1.htm"/>
      <w:bookmarkStart w:id="906" w:name="ksbrkh20240630xex31d1"/>
      <w:bookmarkEnd w:id="905"/>
      <w:bookmarkEnd w:id="906"/>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Shahal Khan,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for the quarterly period ended June 30, 2024 of BurTech Acquisition Corp.;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833" w:type="dxa"/>
        <w:jc w:val="center"/>
        <w:tblInd w:w="0" w:type="dxa"/>
        <w:tblLayout w:type="fixed"/>
        <w:tblCellMar>
          <w:top w:w="0" w:type="dxa"/>
          <w:left w:w="0" w:type="dxa"/>
          <w:bottom w:w="0" w:type="dxa"/>
          <w:right w:w="0" w:type="dxa"/>
        </w:tblCellMar>
      </w:tblPr>
      <w:tblGrid>
        <w:gridCol w:w="1951"/>
        <w:gridCol w:w="406"/>
        <w:gridCol w:w="247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38885" cy="175260"/>
                      <wp:effectExtent l="0" t="0" r="0" b="0"/>
                      <wp:wrapNone/>
                      <wp:docPr id="148" name="Frame148"/>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57810" cy="175260"/>
                      <wp:effectExtent l="0" t="0" r="0" b="0"/>
                      <wp:wrapNone/>
                      <wp:docPr id="149" name="Frame14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72260" cy="175260"/>
                      <wp:effectExtent l="0" t="0" r="0" b="0"/>
                      <wp:wrapNone/>
                      <wp:docPr id="150" name="Frame150"/>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Shahal Khan</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Shahal Khan</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2476" w:type="dxa"/>
            <w:tcBorders/>
            <w:vAlign w:val="center"/>
          </w:tcPr>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2476" w:type="dxa"/>
            <w:tcBorders/>
            <w:vAlign w:val="center"/>
          </w:tcPr>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07" w:name="brkh-20240630xex31d2.htm"/>
      <w:bookmarkStart w:id="908" w:name="ksbrkh20240630xex31d2"/>
      <w:bookmarkEnd w:id="907"/>
      <w:bookmarkEnd w:id="908"/>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15D-14(A)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Roman Livson,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for the quarterly period ended June 30, 2024 of BurTech Acquisition Corp.;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6228" w:type="dxa"/>
        <w:jc w:val="center"/>
        <w:tblInd w:w="0" w:type="dxa"/>
        <w:tblLayout w:type="fixed"/>
        <w:tblCellMar>
          <w:top w:w="0" w:type="dxa"/>
          <w:left w:w="0" w:type="dxa"/>
          <w:bottom w:w="0" w:type="dxa"/>
          <w:right w:w="0" w:type="dxa"/>
        </w:tblCellMar>
      </w:tblPr>
      <w:tblGrid>
        <w:gridCol w:w="1951"/>
        <w:gridCol w:w="406"/>
        <w:gridCol w:w="387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38885" cy="175260"/>
                      <wp:effectExtent l="0" t="0" r="0" b="0"/>
                      <wp:wrapNone/>
                      <wp:docPr id="151" name="Frame15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57810" cy="175260"/>
                      <wp:effectExtent l="0" t="0" r="0" b="0"/>
                      <wp:wrapNone/>
                      <wp:docPr id="152" name="Frame15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458720" cy="175260"/>
                      <wp:effectExtent l="0" t="0" r="0" b="0"/>
                      <wp:wrapNone/>
                      <wp:docPr id="153" name="Frame153"/>
                      <a:graphic xmlns:a="http://schemas.openxmlformats.org/drawingml/2006/main">
                        <a:graphicData uri="http://schemas.microsoft.com/office/word/2010/wordprocessingShape">
                          <wps:wsp>
                            <wps:cNvSpPr txBox="1"/>
                            <wps:spPr>
                              <a:xfrm>
                                <a:off x="0" y="0"/>
                                <a:ext cx="2458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Roman Livson</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Roman Livson</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3871" w:type="dxa"/>
            <w:tcBorders/>
            <w:vAlign w:val="center"/>
          </w:tcPr>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Chief Financial Officer and Secretary</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3871" w:type="dxa"/>
            <w:tcBorders/>
            <w:vAlign w:val="center"/>
          </w:tcPr>
          <w:p>
            <w:pPr>
              <w:pStyle w:val="TableContents"/>
              <w:bidi w:val="0"/>
              <w:spacing w:before="40" w:after="4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09" w:name="brkh-20240630xex32.htm"/>
      <w:bookmarkStart w:id="910" w:name="ksbrkh20240630xex32"/>
      <w:bookmarkEnd w:id="909"/>
      <w:bookmarkEnd w:id="910"/>
      <w:r>
        <w:rPr>
          <w:rFonts w:ascii="Times New Roman;Times;serif" w:hAnsi="Times New Roman;Times;serif"/>
          <w:b/>
          <w:sz w:val="20"/>
        </w:rPr>
        <w:t>Exhibit 32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BurTech Acquisition Corp. (the “Company”) on Form 10-Q for the quarterly period ended June 30, 2024, as filed with the Securities and Exchange Commission (the “Report”), each of the undersigned, in the capacities and on the dates indicated below, certify, pursuant to 18 U.S.C. §1350, as added by §906 of the Sarbanes-Oxley Act of 2002, that: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2. To my knowledge, the information contained in the Report fairly presents, in all material respects, the financial condition and results of operations of the Company as of and for the period covered by the Report.</w:t>
      </w:r>
    </w:p>
    <w:tbl>
      <w:tblPr>
        <w:tblW w:w="6228" w:type="dxa"/>
        <w:jc w:val="center"/>
        <w:tblInd w:w="0" w:type="dxa"/>
        <w:tblLayout w:type="fixed"/>
        <w:tblCellMar>
          <w:top w:w="0" w:type="dxa"/>
          <w:left w:w="0" w:type="dxa"/>
          <w:bottom w:w="0" w:type="dxa"/>
          <w:right w:w="0" w:type="dxa"/>
        </w:tblCellMar>
      </w:tblPr>
      <w:tblGrid>
        <w:gridCol w:w="1951"/>
        <w:gridCol w:w="406"/>
        <w:gridCol w:w="387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38885" cy="175260"/>
                      <wp:effectExtent l="0" t="0" r="0" b="0"/>
                      <wp:wrapNone/>
                      <wp:docPr id="154" name="Frame154"/>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57810" cy="175260"/>
                      <wp:effectExtent l="0" t="0" r="0" b="0"/>
                      <wp:wrapNone/>
                      <wp:docPr id="155" name="Frame15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458720" cy="175260"/>
                      <wp:effectExtent l="0" t="0" r="0" b="0"/>
                      <wp:wrapNone/>
                      <wp:docPr id="156" name="Frame156"/>
                      <a:graphic xmlns:a="http://schemas.openxmlformats.org/drawingml/2006/main">
                        <a:graphicData uri="http://schemas.microsoft.com/office/word/2010/wordprocessingShape">
                          <wps:wsp>
                            <wps:cNvSpPr txBox="1"/>
                            <wps:spPr>
                              <a:xfrm>
                                <a:off x="0" y="0"/>
                                <a:ext cx="2458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Shahal Khan</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Shahal Khan</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3871" w:type="dxa"/>
            <w:tcBorders/>
            <w:vAlign w:val="center"/>
          </w:tcPr>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3871" w:type="dxa"/>
            <w:tcBorders/>
            <w:vAlign w:val="center"/>
          </w:tcPr>
          <w:p>
            <w:pPr>
              <w:pStyle w:val="TableContents"/>
              <w:bidi w:val="0"/>
              <w:spacing w:before="40" w:after="4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Roman Livson</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Roman Livson</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3871" w:type="dxa"/>
            <w:tcBorders/>
            <w:vAlign w:val="center"/>
          </w:tcPr>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Chief Financial Officer and Secretary</w:t>
            </w:r>
          </w:p>
        </w:tc>
      </w:tr>
      <w:tr>
        <w:trPr/>
        <w:tc>
          <w:tcPr>
            <w:tcW w:w="1951" w:type="dxa"/>
            <w:tcBorders/>
            <w:vAlign w:val="center"/>
          </w:tcPr>
          <w:p>
            <w:pPr>
              <w:pStyle w:val="TableContents"/>
              <w:bidi w:val="0"/>
              <w:spacing w:before="40" w:after="40"/>
              <w:ind w:left="0" w:right="0" w:hanging="0"/>
              <w:jc w:val="left"/>
              <w:rPr/>
            </w:pPr>
            <w:r>
              <w:rPr/>
              <w:t>​</w:t>
            </w:r>
          </w:p>
        </w:tc>
        <w:tc>
          <w:tcPr>
            <w:tcW w:w="406" w:type="dxa"/>
            <w:tcBorders/>
            <w:vAlign w:val="center"/>
          </w:tcPr>
          <w:p>
            <w:pPr>
              <w:pStyle w:val="TableContents"/>
              <w:bidi w:val="0"/>
              <w:spacing w:before="40" w:after="40"/>
              <w:ind w:left="0" w:right="0" w:hanging="0"/>
              <w:jc w:val="left"/>
              <w:rPr/>
            </w:pPr>
            <w:r>
              <w:rPr/>
              <w:t>​</w:t>
            </w:r>
          </w:p>
        </w:tc>
        <w:tc>
          <w:tcPr>
            <w:tcW w:w="3871" w:type="dxa"/>
            <w:tcBorders/>
            <w:vAlign w:val="center"/>
          </w:tcPr>
          <w:p>
            <w:pPr>
              <w:pStyle w:val="TableContents"/>
              <w:bidi w:val="0"/>
              <w:spacing w:before="40" w:after="4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26970</Words>
  <Characters>147284</Characters>
  <CharactersWithSpaces>174690</CharactersWithSpaces>
  <Paragraphs>2967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