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BURTECH ACQUISITION CORP.</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22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DATED DECEMBER 6, 2023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NOVEMBER 24,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 TO BE HELD ON DECEMBER 11, 2023</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information supplements, and should be read in conjunction with, the proxy statement of BurTech Acquisition Corp. (“</w:t>
      </w:r>
      <w:r>
        <w:rPr>
          <w:rFonts w:ascii="Times New Roman" w:cs="Times New Roman" w:eastAsia="Times New Roman" w:hAnsi="Times New Roman"/>
          <w:sz w:val="18"/>
          <w:szCs w:val="18"/>
          <w:b w:val="1"/>
          <w:bCs w:val="1"/>
          <w:color w:val="auto"/>
        </w:rPr>
        <w:t>BurTech</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November 24, 2023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relating to the proposed Charter Amendment Proposal, the Trust Amendment Proposal and the Adjournment Proposal, more fully described in the Proxy Statement (together referred to as the “</w:t>
      </w:r>
      <w:r>
        <w:rPr>
          <w:rFonts w:ascii="Times New Roman" w:cs="Times New Roman" w:eastAsia="Times New Roman" w:hAnsi="Times New Roman"/>
          <w:sz w:val="18"/>
          <w:szCs w:val="18"/>
          <w:b w:val="1"/>
          <w:bCs w:val="1"/>
          <w:color w:val="auto"/>
        </w:rPr>
        <w:t>Extension Proposals</w:t>
      </w:r>
      <w:r>
        <w:rPr>
          <w:rFonts w:ascii="Times New Roman" w:cs="Times New Roman" w:eastAsia="Times New Roman" w:hAnsi="Times New Roman"/>
          <w:sz w:val="18"/>
          <w:szCs w:val="18"/>
          <w:color w:val="auto"/>
        </w:rPr>
        <w:t>”). This supplement (the “</w:t>
      </w:r>
      <w:r>
        <w:rPr>
          <w:rFonts w:ascii="Times New Roman" w:cs="Times New Roman" w:eastAsia="Times New Roman" w:hAnsi="Times New Roman"/>
          <w:sz w:val="18"/>
          <w:szCs w:val="18"/>
          <w:b w:val="1"/>
          <w:bCs w:val="1"/>
          <w:color w:val="auto"/>
        </w:rPr>
        <w:t>Second Supplement</w:t>
      </w:r>
      <w:r>
        <w:rPr>
          <w:rFonts w:ascii="Times New Roman" w:cs="Times New Roman" w:eastAsia="Times New Roman" w:hAnsi="Times New Roman"/>
          <w:sz w:val="18"/>
          <w:szCs w:val="18"/>
          <w:color w:val="auto"/>
        </w:rPr>
        <w:t>”) contains additional information that supplements the Proxy Statement and the Supplement, and we urge you to read this Second Supplement, together with the Proxy Statement and the Supplement regarding the following Extension Proposals: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NO. 1 TO THE DEFINITIVE PROXY STATEMENT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Company is providing additional information to its stockholders, as described in this Supplement to the Definitive Proxy Statement dated November 24, 2023, as filed with the United States Securities and Exchange Commission in connection with the Special Meeting to be held on December 11, 2023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i w:val="1"/>
          <w:iCs w:val="1"/>
          <w:color w:val="auto"/>
        </w:rPr>
        <w:t>”). These disclosures should be read in connection with the Proxy Statement, which should be read in its entirety. To the extent that the information set forth herein differs from or updates information contained in the Proxy Statement, the information set forth herein shall supersede or supplement the information in the Proxy Statement. Defined terms used but not defined herein have the meanings set forth in the Proxy Statement and all page references are to pages in the Proxy Statement. The Company makes the following amended and supplemental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the “Trust Amendment Proposal” is globally amended and restated as follows:</w:t>
      </w:r>
    </w:p>
    <w:p>
      <w:pPr>
        <w:spacing w:after="0" w:line="225"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Proposal 2</w:t>
      </w:r>
      <w:r>
        <w:rPr>
          <w:rFonts w:ascii="Times New Roman" w:cs="Times New Roman" w:eastAsia="Times New Roman" w:hAnsi="Times New Roman"/>
          <w:sz w:val="18"/>
          <w:szCs w:val="18"/>
          <w:color w:val="auto"/>
        </w:rPr>
        <w:t> — A proposal to amend BurTech’s investment management trust agreement, dated as of December 15, 2021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Date another twelve (12) times, each such extension for an additional one (1) month period, until December 15, 2024, by depositing into the Trust Account the lesser of $0.03 per unredeemed share of Class A common stock or $150,000 (the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 for each one-month Extension (or up to an aggregate of $1,800,000 for the total twelve-month period),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END OF SUPPLEMENT TO PROXY STATEMENT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2023-12-06T16:22:36Z</dcterms:created>
  <dcterms:modified xsi:type="dcterms:W3CDTF">2023-12-06T16:22:36Z</dcterms:modified>
</cp:coreProperties>
</file>