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001-41139</w:t>
        </w:r>
      </w:hyperlink>
    </w:p>
    <w:p>
      <w:pPr>
        <w:spacing w:after="0" w:line="136" w:lineRule="exact"/>
        <w:rPr>
          <w:sz w:val="24"/>
          <w:szCs w:val="24"/>
          <w:color w:val="auto"/>
        </w:rPr>
      </w:pPr>
    </w:p>
    <w:p>
      <w:pPr>
        <w:jc w:val="center"/>
        <w:ind w:left="3420"/>
        <w:spacing w:after="0"/>
        <w:tabs>
          <w:tab w:leader="none" w:pos="34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Blaize Holdings,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1920"/>
        <w:spacing w:after="0"/>
        <w:tabs>
          <w:tab w:leader="none" w:pos="34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1300 Pennsylvania Ave NW, Suite 700</w:t>
      </w:r>
    </w:p>
    <w:p>
      <w:pPr>
        <w:spacing w:after="0" w:line="6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0000FF"/>
        </w:rPr>
        <w:t>Washington DISTRICT OF COLUMBIA 20004</w:t>
      </w:r>
    </w:p>
    <w:p>
      <w:pPr>
        <w:spacing w:after="0" w:line="63" w:lineRule="exact"/>
        <w:rPr>
          <w:sz w:val="24"/>
          <w:szCs w:val="24"/>
          <w:color w:val="auto"/>
        </w:rPr>
      </w:pPr>
    </w:p>
    <w:tbl>
      <w:tblPr>
        <w:tblLayout w:type="fixed"/>
        <w:tblInd w:w="1920" w:type="dxa"/>
        <w:tblCellMar>
          <w:top w:w="0" w:type="dxa"/>
          <w:left w:w="0" w:type="dxa"/>
          <w:bottom w:w="0" w:type="dxa"/>
          <w:right w:w="0" w:type="dxa"/>
        </w:tblCellMar>
      </w:tblPr>
      <w:tr>
        <w:trPr>
          <w:trHeight w:val="232"/>
        </w:trPr>
        <w:tc>
          <w:tcPr>
            <w:tcW w:w="3280" w:type="dxa"/>
            <w:vAlign w:val="bottom"/>
          </w:tcPr>
          <w:p>
            <w:pPr>
              <w:spacing w:after="0"/>
              <w:rPr>
                <w:sz w:val="20"/>
                <w:szCs w:val="20"/>
                <w:color w:val="auto"/>
              </w:rPr>
            </w:pPr>
            <w:r>
              <w:rPr>
                <w:rFonts w:ascii="Arial" w:cs="Arial" w:eastAsia="Arial" w:hAnsi="Arial"/>
                <w:sz w:val="18"/>
                <w:szCs w:val="18"/>
                <w:color w:val="auto"/>
              </w:rPr>
              <w:t>Telephone number: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 600-5757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2025-05-13</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275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April 30, 2025, BurTech Acquisition Corp.</w:t>
      </w:r>
    </w:p>
    <w:p>
      <w:pPr>
        <w:ind w:right="3079"/>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 from listing the security of BurTech Acquisition Corp.</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effective at the opening of the trading session on May 23, 2025. Based on review of information provided by the Company, Nasdaq Staff determined that the Company no longer qualified for listing on the Exchange pursuant to Listing Rule IM-5101-2.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was notified of the Staff determination on December 11, 2024.</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did not file an appeal. The Company</w:t>
      </w:r>
    </w:p>
    <w:p>
      <w:pPr>
        <w:ind w:right="2979"/>
        <w:spacing w:after="0" w:line="377" w:lineRule="auto"/>
        <w:rPr>
          <w:sz w:val="20"/>
          <w:szCs w:val="20"/>
          <w:color w:val="auto"/>
        </w:rPr>
      </w:pPr>
      <w:r>
        <w:rPr>
          <w:rFonts w:ascii="Courier New" w:cs="Courier New" w:eastAsia="Courier New" w:hAnsi="Courier New"/>
          <w:sz w:val="16"/>
          <w:szCs w:val="16"/>
          <w:color w:val="auto"/>
        </w:rPr>
        <w:t>security was suspended on December 18, 2024. The Staff determination to delist the Company security became final on December 18, 2024.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1139"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2025-05-13T11:23:57Z</dcterms:created>
  <dcterms:modified xsi:type="dcterms:W3CDTF">2025-05-13T11:23:57Z</dcterms:modified>
</cp:coreProperties>
</file>