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333-291847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314325</wp:posOffset>
            </wp:positionV>
            <wp:extent cx="274320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4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18,750,000 Shares of</w:t>
      </w:r>
    </w:p>
    <w:p>
      <w:pPr>
        <w:spacing w:after="0" w:line="4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December 18, 2025 (as supplemented or amended from time to time, the “Prospectus”), which forms a part of our Registration Statement on Form S-1 (Registration No. 333-291847). Capitalized terms used in this prospectus supplement and not otherwise defined herein have the meanings specified in the Prospectus.</w:t>
      </w:r>
    </w:p>
    <w:p>
      <w:pPr>
        <w:spacing w:after="0" w:line="203"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Annual Report on Form 10-K filed with the SEC on March 24, 2026, which is set forth below.</w:t>
      </w:r>
    </w:p>
    <w:p>
      <w:pPr>
        <w:spacing w:after="0" w:line="18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7" w:lineRule="exact"/>
        <w:rPr>
          <w:sz w:val="24"/>
          <w:szCs w:val="24"/>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March 23, 2026, the closing prices for our Common Stock and Warrants on the Nasdaq Stock Market LLC were $1.10 per share of Common Stock and $0.30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8 of the Prospectus and other risk factors contained in the documents incorporated by reference therein for a discussion of information that should be considered in connection with an investment in our securities.</w:t>
      </w:r>
    </w:p>
    <w:p>
      <w:pPr>
        <w:spacing w:after="0" w:line="198" w:lineRule="exact"/>
        <w:rPr>
          <w:sz w:val="24"/>
          <w:szCs w:val="24"/>
          <w:color w:val="auto"/>
        </w:rPr>
      </w:pPr>
    </w:p>
    <w:p>
      <w:pPr>
        <w:ind w:right="5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24, 2026</w:t>
      </w:r>
    </w:p>
    <w:p>
      <w:pPr>
        <w:sectPr>
          <w:pgSz w:w="11900" w:h="16838" w:orient="portrait"/>
          <w:cols w:equalWidth="0" w:num="1">
            <w:col w:w="11240"/>
          </w:cols>
          <w:pgMar w:left="320" w:top="119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25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108585</wp:posOffset>
            </wp:positionV>
            <wp:extent cx="925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4" w:lineRule="exact"/>
        <w:rPr>
          <w:sz w:val="20"/>
          <w:szCs w:val="20"/>
          <w:color w:val="auto"/>
        </w:rPr>
      </w:pPr>
    </w:p>
    <w:p>
      <w:pPr>
        <w:ind w:left="1580" w:hanging="189"/>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FFFFFF"/>
        </w:rPr>
        <w:t xml:space="preserve">—— </w:t>
      </w:r>
      <w:r>
        <w:rPr>
          <w:rFonts w:ascii="Times New Roman" w:cs="Times New Roman" w:eastAsia="Times New Roman" w:hAnsi="Times New Roman"/>
          <w:sz w:val="16"/>
          <w:szCs w:val="16"/>
          <w:b w:val="1"/>
          <w:bCs w:val="1"/>
          <w:color w:val="000000"/>
        </w:rPr>
        <w:t>ANNUAL REPORT PURSUANT TO SECTION 13 OR 15(d) OF THE SECURITIES EXCHANGE ACT OF 1934</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0"/>
          <w:szCs w:val="20"/>
          <w:color w:val="auto"/>
        </w:rPr>
      </w:pPr>
    </w:p>
    <w:p>
      <w:pPr>
        <w:jc w:val="center"/>
        <w:spacing w:after="0" w:line="184" w:lineRule="exact"/>
        <w:rPr>
          <w:sz w:val="20"/>
          <w:szCs w:val="20"/>
          <w:color w:val="auto"/>
        </w:rPr>
      </w:pPr>
      <w:r>
        <w:rPr>
          <w:rFonts w:ascii="Times New Roman" w:cs="Times New Roman" w:eastAsia="Times New Roman" w:hAnsi="Times New Roman"/>
          <w:sz w:val="11"/>
          <w:szCs w:val="11"/>
          <w:b w:val="1"/>
          <w:bCs w:val="1"/>
          <w:color w:val="FFFFFF"/>
        </w:rPr>
        <w:t>———</w:t>
      </w:r>
      <w:r>
        <w:rPr>
          <w:rFonts w:ascii="MS PGothic" w:cs="MS PGothic" w:eastAsia="MS PGothic" w:hAnsi="MS PGothic"/>
          <w:sz w:val="16"/>
          <w:szCs w:val="16"/>
          <w:color w:val="000000"/>
          <w:highlight w:val="black"/>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FFFFFF"/>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000000"/>
        </w:rPr>
        <w:t>TRANSITION REPORT PURSUANT TO SECTION 13 OR 15(d) OF THE SECURITIES EXCHANGE ACT OF 1934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77470</wp:posOffset>
            </wp:positionV>
            <wp:extent cx="9258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9"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480"/>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400" w:type="dxa"/>
            <w:vAlign w:val="bottom"/>
          </w:tcPr>
          <w:p>
            <w:pPr>
              <w:spacing w:after="0"/>
              <w:rPr>
                <w:sz w:val="24"/>
                <w:szCs w:val="24"/>
                <w:color w:val="auto"/>
              </w:rPr>
            </w:pPr>
          </w:p>
        </w:tc>
      </w:tr>
      <w:tr>
        <w:trPr>
          <w:trHeight w:val="261"/>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rPr>
              <w:t>El Dorado Hills, CA</w:t>
            </w:r>
          </w:p>
        </w:tc>
        <w:tc>
          <w:tcPr>
            <w:tcW w:w="3400" w:type="dxa"/>
            <w:vAlign w:val="bottom"/>
          </w:tcPr>
          <w:p>
            <w:pPr>
              <w:jc w:val="right"/>
              <w:ind w:right="60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400" w:type="dxa"/>
            <w:vAlign w:val="bottom"/>
          </w:tcPr>
          <w:p>
            <w:pPr>
              <w:jc w:val="center"/>
              <w:ind w:left="1524"/>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r>
              <w:rPr>
                <w:rFonts w:ascii="Times New Roman" w:cs="Times New Roman" w:eastAsia="Times New Roman" w:hAnsi="Times New Roman"/>
                <w:sz w:val="17"/>
                <w:szCs w:val="17"/>
                <w:color w:val="auto"/>
                <w:w w:val="99"/>
              </w:rPr>
              <w:t>, par value $0.0001 per share</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BZAI</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302"/>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7"/>
                <w:szCs w:val="17"/>
                <w:color w:val="auto"/>
                <w:w w:val="99"/>
              </w:rPr>
              <w:t>, each whole warrant exercisable for one share of common</w:t>
            </w:r>
          </w:p>
        </w:tc>
        <w:tc>
          <w:tcPr>
            <w:tcW w:w="2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8"/>
              </w:rPr>
              <w:t>BZAIW</w:t>
            </w: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03"/>
        </w:trPr>
        <w:tc>
          <w:tcPr>
            <w:tcW w:w="5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stock at an exercise price of $11.50 per share</w:t>
            </w:r>
          </w:p>
        </w:tc>
        <w:tc>
          <w:tcPr>
            <w:tcW w:w="23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06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0" w:lineRule="exact"/>
        <w:rPr>
          <w:sz w:val="20"/>
          <w:szCs w:val="20"/>
          <w:color w:val="auto"/>
        </w:rPr>
      </w:pPr>
    </w:p>
    <w:p>
      <w:pPr>
        <w:ind w:right="268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6"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0"/>
          <w:szCs w:val="20"/>
          <w:color w:val="auto"/>
        </w:rPr>
      </w:pPr>
    </w:p>
    <w:tbl>
      <w:tblPr>
        <w:tblLayout w:type="fixed"/>
        <w:tblInd w:w="2880" w:type="dxa"/>
        <w:tblCellMar>
          <w:top w:w="0" w:type="dxa"/>
          <w:left w:w="0" w:type="dxa"/>
          <w:bottom w:w="0" w:type="dxa"/>
          <w:right w:w="0" w:type="dxa"/>
        </w:tblCellMar>
      </w:tblP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5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ectPr>
          <w:pgSz w:w="11900" w:h="16838" w:orient="portrait"/>
          <w:cols w:equalWidth="0" w:num="1">
            <w:col w:w="11240"/>
          </w:cols>
          <w:pgMar w:left="320" w:top="1181" w:right="339" w:bottom="1440" w:gutter="0" w:footer="0" w:header="0"/>
        </w:sectPr>
      </w:pPr>
    </w:p>
    <w:bookmarkStart w:id="2" w:name="page3"/>
    <w:bookmarkEnd w:id="2"/>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p>
    <w:p>
      <w:pPr>
        <w:spacing w:after="0" w:line="28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common stock held by non-affiliates was approximately $217.4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20, 2026, the registrant had 122,744,509 shares of common stock, $0.0001 par value per share, outstanding.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Part III incorporates information by reference to the registrant’s definitive proxy statement for the 2026 Annual Meeting of Stockholders, to be filed with the Securities and Exchange Commission no later than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13"/>
          </w:tcPr>
          <w:p>
            <w:pPr>
              <w:ind w:left="6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3740" w:type="dxa"/>
            <w:vAlign w:val="bottom"/>
            <w:tcBorders>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i w:val="1"/>
                <w:iCs w:val="1"/>
                <w:color w:val="0000FF"/>
              </w:rPr>
              <w:t>Cautionary Note Regarding Forward-Looking Statements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left="779"/>
              <w:spacing w:after="0" w:line="161" w:lineRule="exact"/>
              <w:rPr>
                <w:sz w:val="20"/>
                <w:szCs w:val="20"/>
                <w:color w:val="auto"/>
              </w:rPr>
            </w:pPr>
            <w:r>
              <w:rPr>
                <w:rFonts w:ascii="Times New Roman" w:cs="Times New Roman" w:eastAsia="Times New Roman" w:hAnsi="Times New Roman"/>
                <w:sz w:val="16"/>
                <w:szCs w:val="16"/>
                <w:color w:val="0000FF"/>
                <w:w w:val="99"/>
              </w:rPr>
              <w:t>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i w:val="1"/>
                <w:iCs w:val="1"/>
                <w:color w:val="0000FF"/>
                <w:w w:val="98"/>
              </w:rPr>
              <w:t>Important Information Regarding Our Disclosure to Investors</w:t>
            </w:r>
          </w:p>
        </w:tc>
        <w:tc>
          <w:tcPr>
            <w:tcW w:w="4160" w:type="dxa"/>
            <w:vAlign w:val="bottom"/>
            <w:gridSpan w:val="10"/>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80" w:type="dxa"/>
            <w:vAlign w:val="bottom"/>
          </w:tcPr>
          <w:p>
            <w:pPr>
              <w:spacing w:after="0"/>
              <w:rPr>
                <w:sz w:val="16"/>
                <w:szCs w:val="16"/>
                <w:color w:val="auto"/>
              </w:rPr>
            </w:pPr>
          </w:p>
        </w:tc>
        <w:tc>
          <w:tcPr>
            <w:tcW w:w="3980" w:type="dxa"/>
            <w:vAlign w:val="bottom"/>
            <w:gridSpan w:val="16"/>
            <w:vMerge w:val="continue"/>
          </w:tcPr>
          <w:p>
            <w:pPr>
              <w:spacing w:after="0"/>
              <w:rPr>
                <w:sz w:val="16"/>
                <w:szCs w:val="16"/>
                <w:color w:val="auto"/>
              </w:rPr>
            </w:pPr>
          </w:p>
        </w:tc>
        <w:tc>
          <w:tcPr>
            <w:tcW w:w="4160" w:type="dxa"/>
            <w:vAlign w:val="bottom"/>
            <w:gridSpan w:val="10"/>
            <w:vMerge w:val="continue"/>
          </w:tcPr>
          <w:p>
            <w:pPr>
              <w:spacing w:after="0"/>
              <w:rPr>
                <w:sz w:val="16"/>
                <w:szCs w:val="16"/>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6"/>
                <w:szCs w:val="16"/>
                <w:i w:val="1"/>
                <w:iCs w:val="1"/>
                <w:color w:val="0000FF"/>
              </w:rPr>
              <w:t>Glossary</w:t>
            </w:r>
          </w:p>
        </w:tc>
        <w:tc>
          <w:tcPr>
            <w:tcW w:w="4160" w:type="dxa"/>
            <w:vAlign w:val="bottom"/>
            <w:gridSpan w:val="10"/>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BUSINESS</w:t>
            </w:r>
          </w:p>
        </w:tc>
        <w:tc>
          <w:tcPr>
            <w:tcW w:w="7380" w:type="dxa"/>
            <w:vAlign w:val="bottom"/>
            <w:gridSpan w:val="24"/>
          </w:tcPr>
          <w:p>
            <w:pPr>
              <w:spacing w:after="0"/>
              <w:rPr>
                <w:sz w:val="24"/>
                <w:szCs w:val="24"/>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7"/>
              </w:rPr>
              <w:t>RISK FACTORS</w:t>
            </w:r>
          </w:p>
        </w:tc>
        <w:tc>
          <w:tcPr>
            <w:tcW w:w="7020" w:type="dxa"/>
            <w:vAlign w:val="bottom"/>
            <w:gridSpan w:val="21"/>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3"/>
              </w:rPr>
              <w:t>PROPERTIES</w:t>
            </w:r>
          </w:p>
        </w:tc>
        <w:tc>
          <w:tcPr>
            <w:tcW w:w="400" w:type="dxa"/>
            <w:vAlign w:val="bottom"/>
            <w:gridSpan w:val="3"/>
          </w:tcPr>
          <w:p>
            <w:pPr>
              <w:spacing w:after="0"/>
              <w:rPr>
                <w:sz w:val="17"/>
                <w:szCs w:val="17"/>
                <w:color w:val="auto"/>
              </w:rPr>
            </w:pPr>
          </w:p>
        </w:tc>
        <w:tc>
          <w:tcPr>
            <w:tcW w:w="6820" w:type="dxa"/>
            <w:vAlign w:val="bottom"/>
            <w:gridSpan w:val="20"/>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744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27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[RESERVED]</w:t>
            </w:r>
          </w:p>
        </w:tc>
        <w:tc>
          <w:tcPr>
            <w:tcW w:w="5360" w:type="dxa"/>
            <w:vAlign w:val="bottom"/>
            <w:gridSpan w:val="13"/>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55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2620" w:type="dxa"/>
            <w:vAlign w:val="bottom"/>
            <w:gridSpan w:val="7"/>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0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w w:val="99"/>
              </w:rPr>
              <w:t>DISCLOSURE</w:t>
            </w:r>
          </w:p>
        </w:tc>
        <w:tc>
          <w:tcPr>
            <w:tcW w:w="614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23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640" w:type="dxa"/>
            <w:vAlign w:val="bottom"/>
            <w:gridSpan w:val="3"/>
          </w:tcPr>
          <w:p>
            <w:pPr>
              <w:spacing w:after="0"/>
              <w:rPr>
                <w:sz w:val="17"/>
                <w:szCs w:val="17"/>
                <w:color w:val="auto"/>
              </w:rPr>
            </w:pP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2920" w:type="dxa"/>
            <w:vAlign w:val="bottom"/>
            <w:gridSpan w:val="8"/>
          </w:tcPr>
          <w:p>
            <w:pPr>
              <w:spacing w:after="0"/>
              <w:rPr>
                <w:sz w:val="24"/>
                <w:szCs w:val="24"/>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22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3020" w:type="dxa"/>
            <w:vAlign w:val="bottom"/>
            <w:gridSpan w:val="8"/>
          </w:tcPr>
          <w:p>
            <w:pPr>
              <w:spacing w:after="0"/>
              <w:rPr>
                <w:sz w:val="17"/>
                <w:szCs w:val="17"/>
                <w:color w:val="auto"/>
              </w:rPr>
            </w:pPr>
          </w:p>
        </w:tc>
        <w:tc>
          <w:tcPr>
            <w:tcW w:w="2920" w:type="dxa"/>
            <w:vAlign w:val="bottom"/>
            <w:gridSpan w:val="8"/>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96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w w:val="98"/>
              </w:rPr>
              <w:t>STOCKHOLDER MATTERS</w:t>
            </w:r>
          </w:p>
        </w:tc>
        <w:tc>
          <w:tcPr>
            <w:tcW w:w="5240" w:type="dxa"/>
            <w:vAlign w:val="bottom"/>
            <w:tcBorders>
              <w:top w:val="single" w:sz="8" w:color="0000FF"/>
            </w:tcBorders>
            <w:gridSpan w:val="14"/>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69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220" w:type="dxa"/>
            <w:vAlign w:val="bottom"/>
            <w:gridSpan w:val="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FORM 10-K SUMMARY</w:t>
            </w:r>
          </w:p>
        </w:tc>
        <w:tc>
          <w:tcPr>
            <w:tcW w:w="2280" w:type="dxa"/>
            <w:vAlign w:val="bottom"/>
            <w:gridSpan w:val="8"/>
          </w:tcPr>
          <w:p>
            <w:pPr>
              <w:spacing w:after="0"/>
              <w:rPr>
                <w:sz w:val="17"/>
                <w:szCs w:val="17"/>
                <w:color w:val="auto"/>
              </w:rPr>
            </w:pPr>
          </w:p>
        </w:tc>
        <w:tc>
          <w:tcPr>
            <w:tcW w:w="4160" w:type="dxa"/>
            <w:vAlign w:val="bottom"/>
            <w:gridSpan w:val="10"/>
          </w:tcPr>
          <w:p>
            <w:pPr>
              <w:spacing w:after="0"/>
              <w:rPr>
                <w:sz w:val="17"/>
                <w:szCs w:val="17"/>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6440" w:type="dxa"/>
            <w:vAlign w:val="bottom"/>
            <w:gridSpan w:val="18"/>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6440" w:type="dxa"/>
            <w:vAlign w:val="bottom"/>
            <w:gridSpan w:val="18"/>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81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Annual Report on Form 10-K, including but not limited to, changes in domestic and foreign business, market, financial, political and legal conditions; risks related to the Business Combination, as defined in the Glossary of this Annual Report on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herein, elsewhere in this Annual report on Form 10-K and other documents filed by us from time to time with the U.S. Securities and Exchange Commission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13" w:right="35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IMPORTANT INFORMATION REGARDING OUR DISCLOSURE TO INVESTORS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Annual Report on Form 10-K.</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5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This glossary highlights some of the terms that we use elsewhere in this Annual Report on Form 10-K and is not a complete list of all the defined terms used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means artificial intelligence.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“API” means application programming interface.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 means the Company and its subsidiaries, after the Business Combination.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“Board of Directors” means the board of directors of the Company.</w:t>
      </w:r>
    </w:p>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“BurTech” means BurTech Acquisition Corporation, a SPAC, which was a publicly traded entity existing prior to the Closing Date of the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means Burkhan Capital LLC, a Delaware limited liability company, an affiliate of BurTech.</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“Business Combination” means the transaction pursuant to the Merger Agreement, whereby Merger Sub merged with and into Legacy Blaize, with Legacy Blaize being the surviving company and a wholly owned subsidiary of BurTech. The Business Combination may also be referred to as a “de-SPAC” transaction.</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“CFIUS” means the Committee on Foreign Investment in the United States, which is an inter-governmental agency committee in the United States government that reviews the national security implications of foreign investments in the economy of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means January 13, 2025, the date that the Company consummated the transaction contemplated by the Merger Agreement.</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“de-SPAC” transaction means a process where a private operating company (in this case, Legacy Blaize) merges with a SPAC (in this case, BurTech) to become a publicly traded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“FCPA” means the U.S. Foreign Corrupt Practices Act of 1977,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“GSP” means Graph Streaming Processor, a specialized AI accelerator designed for graph-native computing.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Blaize” means Blaize, Inc., which survived the Merger as a wholly owned subsidiary of the Company.</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“Merger” means the transactions contemplated by the Merger Agreement as defined below, and, together with the other transactions contemplated by the Merger Agreement, the “Business Combination”.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“Merger Agreement” means the Agreement and Plan of Merger, dated as of December 22, 2023 (as amended on April 22, 2024, October 24, 2024, and November 21, 2024), by and among BurTech, Merger Sub, Legacy Blaize and, for the limited purposes set forth therein, Burkhan.</w:t>
      </w:r>
    </w:p>
    <w:p>
      <w:pPr>
        <w:sectPr>
          <w:pgSz w:w="11900" w:h="16838" w:orient="portrait"/>
          <w:cols w:equalWidth="0" w:num="1">
            <w:col w:w="11180"/>
          </w:cols>
          <w:pgMar w:left="320" w:top="14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80"/>
          </w:cols>
          <w:pgMar w:left="320" w:top="1413" w:right="399" w:bottom="1440" w:gutter="0" w:footer="0" w:header="0"/>
          <w:type w:val="continuous"/>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“Merger Sub” means BurTech Merger Sub, Inc., a former Delaware corporation and former wholly owned subsidiary of BurTech. Merger Sub was a shell company formed by BurTech solely in order to complete the acquisition of Legacy Blaize.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“Nasdaq” means The Nasdaq Stock Market LLC. Both the Nasdaq Global Market (on which the Company’s common stock is listed) and Nasdaq Capital Market (on which the Company’s warrants are listed) are tiers of markets within the broader Nasdaq Stock Market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“NRE” means non-recurring engineering engagements, also referred to as strategic consulting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“OEM” means original equipment manufacturer.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“PCIe card” means a peripheral component interconnected express card, an expansion component that upgrades computer functionality.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means a restricted stock unit.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 means System-on-a-Chip products, including our wafer fabrication, assembly, and testing processes.</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“SPAC” means Special Purpose Acquisition Company, which is a blank check, publicly traded shell company that has raised capital through an initial public offering and is formed with the purpose of performing a business combination transaction within a specified timeframe.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“Sponsor” means BurTech LP, LLC, which prior to the Merger was the sponsor of BurTech. After the close of the Merger, the Sponsor and its affiliated entities remained a significant shareholder in the Company and are therefore considered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1417" w:right="4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Blaize Holdings, Inc. (“Blaize,” the “Company,” “we,” “us,” and “our”) develops purpose-built AI-enabled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incorporated in 2010, headquartered in El Dorado Hills, California.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Reverse Recapitalization</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and the Merger was accounted for as a reverse merger and recapitalization, with BurTech considered the acquired company, and Legacy Blaize considered the acquirer, for financial statement reporting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file our annual, periodic and current reports, and other required information, electronically with the SEC. The SEC maintains a website at www.sec.gov that contains reports, proxy and information statements and other information that we file with the SEC electronically. We also make available on our website at https://ir.blaize.com, free of charge, copies of these reports and other information as soon as reasonably practicable after we electronically file such material with, or furnish it to, the SEC. The contents of our website referenced herein are not incorporated by reference into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created an AI computing accelerator, the GSP. This processor has been designed from the ground up for compute-intensive data parallel workloads, such as computer vision, machine learning, and AI applications. It is fully programmable, making it flexible and adaptable. The GSP leverages a data streaming mechanism to enable efficient parallelism at the data, instruction, task, chip, and system level, streamlining execution processing and enabling low energy consumption, high performance, and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13" w:right="359" w:bottom="1440" w:gutter="0" w:footer="0" w:header="0"/>
        </w:sectPr>
      </w:pPr>
    </w:p>
    <w:bookmarkStart w:id="8" w:name="page9"/>
    <w:bookmarkEnd w:id="8"/>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our hardware offerings include compute cards (PCIe cards and other cards) that incorporate our GSP and come in a comprehensive set of commonly used form factors. We work closely with our vendors to qualify these cards to add AI compute acceleration to their systems, with the intention to deliver solutions across a broad spectrum of performance points and deployment verticals, from the edge to the data center.</w:t>
      </w:r>
    </w:p>
    <w:p>
      <w:pPr>
        <w:spacing w:after="0" w:line="20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to our internally developed products, we deliver third-party hardware solutions, primarily comprised of servers and small form factor stand-alone systems, that host our proprietary technology. We support industry standard APIs and frameworks, enabling customers to execute AI models and develop new applications on our hardware.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2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software suite includes a software development kit which complies with open standards and can be used by customers to program their own models and algorithms. We also provide a comprehensive software suite, Blaize AI Studio (“AI Studio”). AI Studio provides a visual no-code or low-code environment intended to simplify the creation and deployment of AI models and features a robust set of tools and libraries designed to streamline the software development lifecycle.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strategic consulting services to configure our hardware and licensed intellectual property to a customer’s needs.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integrating our branded products into complementary hardware, promoting our branded products, and raising awareness of our product offerings to prospects in selected target markets. This includes participation at trade events, demonstrations of our technology, collaborations and co-promotions with ecosystem partners, social campaigns, competitive positioning and other marketing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revenue has been generated from a limited number of significant customers, some of whom have been, and may in the future be, related parties. For the year ended December 31, 2025, two major customers located in China accounted for 61% and 27% of our total revenue, respectively. Neither of these customers was a related party. In 2025, all of our revenue was attributable to sales of hardware and software products, with no revenue generated from services.</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2024, 98% of our revenue was attributable to two different customers, located in the United States and Japan, both of whom were related parties. In 2024, substantially all of our revenue was derived from providing strategic consulting services, and these service contracts have since expired.</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our revenue is currently concentrated among a small number of customers, revenue recognized from any one significant customer may change the geographical mix of our revenue. Going forward, we expect to derive revenue from sales of third-party solutions and our hardware and software products, as well as from strategic consulting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outsource all of our manufacturing in relation to our AI chips and PCIe cards.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Samsung Foundry is our foundry for the current generation SoC. All packaging and testing of the SoC is performed by our partners located in Taiwan. Our design and manufacturing partners closely monitor and reserve raw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auto"/>
        </w:rPr>
        <w:t>for silicon wafers and related packaging for our finished SoCs. The raw materials and components used in our products include silicon, polymers, copper, aluminum, other metal alloys, and plastics, which are generally available throughout the world but are largely provided by companies in China.</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have manufacturing contracts with Plexus, a contract manufacturer with a facility located in Penang, Malaysia, that provides new product introduction services and mass produces all of our products. In addition to performing printed circuit board assembly, final assembly, and functional testing for our products, Plexus procures raw material components to meet our periodic build forecasts and provides turnaround shipments of our products to our third-party logistics partner and customers around the world. The raw materials and components that we use include integrated circuits, epoxy glass fabric laminate, metals, plastics, resistors, capacitors, inductors, transistors, diodes, and sensors, which are generally available throughout the world, but largely provided by companies in Asia.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 As a result, our competitors vary depending on the target market line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(“U.S.”) and internationally. These laws and regulations include, but are not limited to, data privacy and data localization, copyright and other intellectual property laws, anti-spam, consumer protection, employment, export control laws, tariffs, and 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Protection and Privacy</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governmental bodies and agencies have introduced, or are currently considering, AI laws and regulations. Additionally, existing laws and regulations may be interpreted in ways that could affect the operation of our AI Technologies. As a result, implementation standards and enforcement practices are likely to remain uncertain for the foreseeable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 Sanctions and CFIUS</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the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or retain business from, expedite or secure the performance of official acts of a routine nature, secure an improper advantage, or otherwise violate any anti-bribery laws, from any such person. Similar laws exist in other countries, such as the UK, which restrict improper payments to persons in the public or private sector. Historically, technology companies have been the target of FCPA and other anti-corruption investigations and penalties.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machine learning at the edge sectors.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2025, we held 43 patents and had 16 pending patent applications. Our patents are expected to expire between June 16, 2031 and September 24, 2044. We own two issued foreign patents, one in the United Kingdom and one in the Republic of Korea. Our five pending foreign patent applications include patent applications in India. Our patents contain a broad range of claims related to the field of AI and parallel processing architecture.</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either acquire patents outright, or licenses to use patents, to the extent we believe such patents may be useful or relevant to our business.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 chain vendors, employees, and consultants, as well as close monitoring of the developments and products in the industry.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254 people, of whom 228 were full-time employees. None of our employees are represented by a labor union or covered by collective bargaining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should be considered in addition to the other information, including Item 7. and Item 8. of this Annual Report on Form 10-K. The following risks could harm our business, financial condition, results of operations or reputation, which could cause our stock price to decline. Additional risks, trends and uncertainties not presently known to us or that we currently believe are immaterial may also harm our business, financial condition, results of operations or reputation. Our actual results could differ materially and adversely from those anticipated in these forward-looking statements as a result of certain factors, including those set forth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and uncertainties described in more detail in this Annual Report on Form 10-K:</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27"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customers, including related parties, for a significant portion of our revenue, and our accounts receivable balances are similarly concentrated.</w:t>
      </w:r>
    </w:p>
    <w:p>
      <w:pPr>
        <w:ind w:left="660" w:right="2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next-generation chip may be delayed or may not be feasible due to financial constraints.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pipeline may take time to mature and may not result in revenue opportunities.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for the fiscal year ended December 31, 2025 was generated from sales of third-party hardware products. These products generally carry lower gross margins compared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1" w:name="page12"/>
    <w:bookmarkEnd w:id="11"/>
    <w:p>
      <w:pPr>
        <w:ind w:left="328" w:right="220"/>
        <w:spacing w:after="0" w:line="261" w:lineRule="auto"/>
        <w:rPr>
          <w:sz w:val="20"/>
          <w:szCs w:val="20"/>
          <w:color w:val="auto"/>
        </w:rPr>
      </w:pPr>
      <w:r>
        <w:rPr>
          <w:rFonts w:ascii="Times New Roman" w:cs="Times New Roman" w:eastAsia="Times New Roman" w:hAnsi="Times New Roman"/>
          <w:sz w:val="18"/>
          <w:szCs w:val="18"/>
          <w:color w:val="auto"/>
        </w:rPr>
        <w:t>branded offerings. As a result, our overall profitability may be adversely affected if the proportion of third-party hardware sales remains high or increases in future periods.</w:t>
      </w:r>
    </w:p>
    <w:p>
      <w:pPr>
        <w:ind w:left="328" w:right="6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partnerships with certain automotive OEMs and Tier-1 suppliers are long-term in nature, and we will not receive firm purchase order commitments until we deliver our auto-grade chip.</w:t>
      </w:r>
    </w:p>
    <w:p>
      <w:pPr>
        <w:ind w:left="328" w:right="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could be harmed if we are unable to acquire new customers, retain existing customers, or expand sales to our existing customers.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9" w:lineRule="exact"/>
        <w:rPr>
          <w:rFonts w:ascii="Times New Roman" w:cs="Times New Roman" w:eastAsia="Times New Roman" w:hAnsi="Times New Roman"/>
          <w:sz w:val="18"/>
          <w:szCs w:val="18"/>
          <w:color w:val="auto"/>
        </w:rPr>
      </w:pPr>
    </w:p>
    <w:p>
      <w:pPr>
        <w:ind w:left="328" w:right="24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with large enterprise customers can be long and unpredictable, and our sales efforts require considerable time and expense.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offer high quality support, our business and reputation could suffer.</w:t>
      </w:r>
    </w:p>
    <w:p>
      <w:pPr>
        <w:spacing w:after="0" w:line="9" w:lineRule="exact"/>
        <w:rPr>
          <w:rFonts w:ascii="Times New Roman" w:cs="Times New Roman" w:eastAsia="Times New Roman" w:hAnsi="Times New Roman"/>
          <w:sz w:val="18"/>
          <w:szCs w:val="18"/>
          <w:color w:val="auto"/>
        </w:rPr>
      </w:pP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ind w:left="328" w:right="420" w:hanging="328"/>
        <w:spacing w:after="0" w:line="265" w:lineRule="auto"/>
        <w:tabs>
          <w:tab w:leader="none" w:pos="32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driving the global deployment and customer adoption of digital offerings characterized by digital applications and solutions.</w:t>
      </w:r>
    </w:p>
    <w:p>
      <w:pPr>
        <w:ind w:left="328" w:right="7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9" w:lineRule="exact"/>
        <w:rPr>
          <w:rFonts w:ascii="Times New Roman" w:cs="Times New Roman" w:eastAsia="Times New Roman" w:hAnsi="Times New Roman"/>
          <w:sz w:val="18"/>
          <w:szCs w:val="18"/>
          <w:color w:val="auto"/>
        </w:rPr>
      </w:pPr>
    </w:p>
    <w:p>
      <w:pPr>
        <w:ind w:left="328" w:right="8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ind w:left="328" w:right="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1" w:lineRule="exact"/>
        <w:rPr>
          <w:rFonts w:ascii="Times New Roman" w:cs="Times New Roman" w:eastAsia="Times New Roman" w:hAnsi="Times New Roman"/>
          <w:sz w:val="18"/>
          <w:szCs w:val="18"/>
          <w:color w:val="auto"/>
        </w:rPr>
      </w:pPr>
    </w:p>
    <w:p>
      <w:pPr>
        <w:jc w:val="both"/>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or datasets could subject us to possible litigation or cause us to subject our platform or products to unwanted open source license conditions that could negatively impact our sales.</w:t>
      </w:r>
    </w:p>
    <w:p>
      <w:pPr>
        <w:ind w:left="328" w:hanging="328"/>
        <w:spacing w:after="0"/>
        <w:tabs>
          <w:tab w:leader="none" w:pos="3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computer hardware, purchased or leased, and software licensed from and services rendered by third parties in order to run our business.</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our operations will continue to increase in complexity as we grow, which will create management challenges.</w:t>
      </w:r>
    </w:p>
    <w:p>
      <w:pPr>
        <w:spacing w:after="0" w:line="9" w:lineRule="exact"/>
        <w:rPr>
          <w:rFonts w:ascii="Times New Roman" w:cs="Times New Roman" w:eastAsia="Times New Roman" w:hAnsi="Times New Roman"/>
          <w:sz w:val="18"/>
          <w:szCs w:val="18"/>
          <w:color w:val="auto"/>
        </w:rPr>
      </w:pPr>
    </w:p>
    <w:p>
      <w:pPr>
        <w:ind w:left="328" w:right="760" w:hanging="328"/>
        <w:spacing w:after="0" w:line="26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8"/>
          </w:cols>
          <w:pgMar w:left="652" w:top="1417" w:right="359" w:bottom="1440" w:gutter="0" w:footer="0" w:header="0"/>
        </w:sectPr>
      </w:pPr>
    </w:p>
    <w:bookmarkStart w:id="12" w:name="page13"/>
    <w:bookmarkEnd w:id="12"/>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27" w:lineRule="exact"/>
        <w:rPr>
          <w:rFonts w:ascii="Times New Roman" w:cs="Times New Roman" w:eastAsia="Times New Roman" w:hAnsi="Times New Roman"/>
          <w:sz w:val="18"/>
          <w:szCs w:val="18"/>
          <w:color w:val="auto"/>
        </w:rPr>
      </w:pPr>
    </w:p>
    <w:p>
      <w:pPr>
        <w:ind w:left="328" w:right="2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our corporate culture as we grow, we could lose the innovation, teamwork, passion and focus on execution that we believe contribute to our success, and our business may be harmed.</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associated with being a public company require significant resources and attention from our senior management team.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has limited experience with the complexities of managing a publicly traded company.</w:t>
      </w:r>
    </w:p>
    <w:p>
      <w:pPr>
        <w:spacing w:after="0" w:line="9" w:lineRule="exact"/>
        <w:rPr>
          <w:rFonts w:ascii="Times New Roman" w:cs="Times New Roman" w:eastAsia="Times New Roman" w:hAnsi="Times New Roman"/>
          <w:sz w:val="18"/>
          <w:szCs w:val="18"/>
          <w:color w:val="auto"/>
        </w:rPr>
      </w:pPr>
    </w:p>
    <w:p>
      <w:pPr>
        <w:jc w:val="both"/>
        <w:ind w:left="328" w:right="60" w:hanging="328"/>
        <w:spacing w:after="0" w:line="265"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ind w:left="328" w:right="6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we are subject to various laws and regulations in the U.S. and internationally, which may expose us to liability, increased costs or have other adverse effects that could harm our business.</w:t>
      </w:r>
    </w:p>
    <w:p>
      <w:pPr>
        <w:ind w:left="328"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 w:lineRule="exact"/>
        <w:rPr>
          <w:rFonts w:ascii="Times New Roman" w:cs="Times New Roman" w:eastAsia="Times New Roman" w:hAnsi="Times New Roman"/>
          <w:sz w:val="18"/>
          <w:szCs w:val="18"/>
          <w:color w:val="auto"/>
        </w:rPr>
      </w:pPr>
    </w:p>
    <w:p>
      <w:pPr>
        <w:ind w:left="328" w:right="4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conduct a portion of our business with third-party ecosystem partners to provide defensive solutions that incorporate our products to various foreign and domestic government agencies, which are subject to unique risks.</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anti-corruption, anti-bribery, anti-money laundering and similar laws. Non-compliance with such laws can subject us to criminal and/or civil liability and harm our business.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may limit our ability to access or repatriate funds.</w:t>
      </w:r>
    </w:p>
    <w:p>
      <w:pPr>
        <w:spacing w:after="0" w:line="9" w:lineRule="exact"/>
        <w:rPr>
          <w:rFonts w:ascii="Times New Roman" w:cs="Times New Roman" w:eastAsia="Times New Roman" w:hAnsi="Times New Roman"/>
          <w:sz w:val="18"/>
          <w:szCs w:val="18"/>
          <w:color w:val="auto"/>
        </w:rPr>
      </w:pPr>
    </w:p>
    <w:p>
      <w:pPr>
        <w:ind w:left="328" w:right="20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or other securities convertible into our common stock could cause the market value of shares of our common stock to decline and could result in dilution of your shares.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the continued listing standards of the Nasdaq from time to time. This could result in our common stock being delisted from the exchange.</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shareholders could disrupt our operations, cause uncertainty, and adversely affect our business and stock price.</w:t>
      </w:r>
    </w:p>
    <w:p>
      <w:pPr>
        <w:spacing w:after="0" w:line="9" w:lineRule="exact"/>
        <w:rPr>
          <w:rFonts w:ascii="Times New Roman" w:cs="Times New Roman" w:eastAsia="Times New Roman" w:hAnsi="Times New Roman"/>
          <w:sz w:val="18"/>
          <w:szCs w:val="18"/>
          <w:color w:val="auto"/>
        </w:rPr>
      </w:pPr>
    </w:p>
    <w:p>
      <w:pPr>
        <w:ind w:left="328" w:right="2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for the foreseeable future, and investors should plan to rely on stock price appreciation for a return on their investment.</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ind w:left="328" w:right="1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provisions of Delaware law and our certificate of incorporation and bylaws may deter third parties from acquiring us and diminish the value of our common stock.</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could materially adversely affect our business, financial condition, results of operations, and prospects.</w:t>
      </w:r>
    </w:p>
    <w:p>
      <w:pPr>
        <w:spacing w:after="0" w:line="9" w:lineRule="exact"/>
        <w:rPr>
          <w:rFonts w:ascii="Times New Roman" w:cs="Times New Roman" w:eastAsia="Times New Roman" w:hAnsi="Times New Roman"/>
          <w:sz w:val="18"/>
          <w:szCs w:val="18"/>
          <w:color w:val="auto"/>
        </w:rPr>
      </w:pPr>
    </w:p>
    <w:p>
      <w:pPr>
        <w:ind w:left="328" w:right="1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and production process may be affected by tariffs on equipment or materials that we may rely on or use for our products, which could also cause our costs to increase.</w:t>
      </w:r>
    </w:p>
    <w:p>
      <w:pPr>
        <w:ind w:left="328" w:right="20" w:hanging="328"/>
        <w:spacing w:after="0" w:line="26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8"/>
          </w:cols>
          <w:pgMar w:left="652" w:top="1417" w:right="359" w:bottom="1440" w:gutter="0" w:footer="0" w:header="0"/>
        </w:sectPr>
      </w:pPr>
    </w:p>
    <w:bookmarkStart w:id="13" w:name="page14"/>
    <w:bookmarkEnd w:id="13"/>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may differ significantly from any guidance that we may provide.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claims, investigations, and regulatory actions from time to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2025 and 2024, we incurred losses from operations of $103.8 million and $47.6 million, respectively, and used cash in operating activities of $73.8 million and $53.5 million, respectively. In 2025, our revenue was substantially comprised of sales of third-party hardware which supports our hardware products, certain of our hardware products, and our software products. In 2024, our revenue was substantially attributed to NRE engagements with automotive partners.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including related parties, for a significant portion of our revenue, and our accounts receivable balances are similarly concentrated.</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relatively small number of customers currently account for, and have historically accounted for, a significant portion of our revenue and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213"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 substantial part of our sales is outside of the United States and some of our customers have some or all of their operations in countries other than the United States.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practices and may have payment terms that are longer than customary in the United States, which has delayed, and may in the future continue to delay, our ability to collect amounts due to us. Problems with collections from, or sales to, any one of those customers could materially and adversely affect our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417"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our next-generation chip may be delayed or may not be feasible due to financial constraints.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Development of silicon chip products is a highly complex process involving specialized third-party partners, and we cannot guarantee that any next-generation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 pipeline may take time to mature and may not result in revenue opportunities.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recent years, we have developed a customer pipeline and expect the delivery of our hardware and software solutions based on our production chip that came to market at the end of 2022. This pipeline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a customer or end customer is ready to deploy AI solutions. Furthermore, we believe our revenue growth depends on a number of factors, including our ability to:</w:t>
      </w: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OEMs and Tier-1 suppliers.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for the fiscal year ended December 31, 2025 was generated from sales of third-party hardware products. These products generally carry lower gross margins compared to our branded offerings. As a result, our overall profitability may be adversely affected if the proportion of third-party hardware sales remains high or increases in future periods.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business strategy has historically emphasized both our strategic consulting services and the development, marketing, and sale of our branded AI chip products, which typically yield higher margins due to proprietary technology and value-added features. However, competitive pressures and supply chain considerations have led to a shift in our sales mix. If we are unable to successfully promote and sell our own branded products, or if market conditions continue to favor third-party hardware, our gross margin and net income could decline.</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Additionally, reliance on third-party hardware exposes us to risks related to supplier relationships, product quality, and inventory management. We may have limited control over pricing, product availability, and warranty terms, which could further impact our financial results. If we are unable to mitigate these risks or improve the margin profile of our sales mix,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13" w:right="379" w:bottom="1440" w:gutter="0" w:footer="0" w:header="0"/>
        </w:sectPr>
      </w:pPr>
    </w:p>
    <w:bookmarkStart w:id="15" w:name="page16"/>
    <w:bookmarkEnd w:id="15"/>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automotive-grade chip.</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long-term joint development agreements for expected revenue predicated upon us delivering automotive-grade chips to these partners.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We have not yet entered into any contractual arrangements for any ADAS solutions with any automotive partners based on our technology. This technology is not expected to be in production until 2028 or later.</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may choose to adopt competing technologies. If this occurs, it will be extremely difficult to retain our specialist automotive skills and there is a high risk of losing that expertise altogether.</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could be harmed if we are unable to acquire new customers, retain existing customers, or expand sales to our existing customers.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majority of revenues that we have generated to date are through sales of third-party hardware and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and increase the proportion of our complementary products in relation to other hardware sales such as servers sourced from third parties. Our ability to increase sales to existing customers and prospective customers depends on several factors, including their experience with using our products and our pricing model.</w:t>
      </w:r>
    </w:p>
    <w:p>
      <w:pPr>
        <w:spacing w:after="0" w:line="21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base and customer location footprint;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3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may not be able to realize,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13" w:right="379" w:bottom="1440" w:gutter="0" w:footer="0" w:header="0"/>
        </w:sectPr>
      </w:pPr>
    </w:p>
    <w:bookmarkStart w:id="16" w:name="page17"/>
    <w:bookmarkEnd w:id="16"/>
    <w:p>
      <w:pPr>
        <w:ind w:right="440"/>
        <w:spacing w:after="0" w:line="282" w:lineRule="auto"/>
        <w:rPr>
          <w:sz w:val="20"/>
          <w:szCs w:val="20"/>
          <w:color w:val="auto"/>
        </w:rPr>
      </w:pPr>
      <w:r>
        <w:rPr>
          <w:rFonts w:ascii="Times New Roman" w:cs="Times New Roman" w:eastAsia="Times New Roman" w:hAnsi="Times New Roman"/>
          <w:sz w:val="18"/>
          <w:szCs w:val="18"/>
          <w:color w:val="auto"/>
        </w:rPr>
        <w:t>or in part, the anticipated benefits we expect our strategy will achieve. The failure to realize those benefits could have a material adverse effect on our business, financial condition and results of operations.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cycle with large enterprise customers can be long and unpredictable, and our sales efforts require considerable time and expense.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U.S. that impose supply chain and manufacturing location restrictions.</w:t>
      </w:r>
    </w:p>
    <w:p>
      <w:pPr>
        <w:spacing w:after="0" w:line="23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maintain or grow our brand recognition, our ability to expand our customer base will be impaired and our financial condition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17" w:name="page18"/>
    <w:bookmarkEnd w:id="17"/>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2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18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chip manufacturers could lead to production delays, increased costs, and could potentially lead to a compromise in the quality and performance of our products, which could significantly impact our business and financial results.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our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17" w:right="359" w:bottom="1440" w:gutter="0" w:footer="0" w:header="0"/>
        </w:sectPr>
      </w:pPr>
    </w:p>
    <w:bookmarkStart w:id="18" w:name="page19"/>
    <w:bookmarkEnd w:id="18"/>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reasons outside our control;</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we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our suppliers.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impacted.</w:t>
      </w: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17" w:right="359" w:bottom="1440" w:gutter="0" w:footer="0" w:header="0"/>
        </w:sectPr>
      </w:pPr>
    </w:p>
    <w:bookmarkStart w:id="19" w:name="page20"/>
    <w:bookmarkEnd w:id="19"/>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0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207"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ind w:left="660" w:right="5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It is uncertain whether our strategies will attract customers or generate revenue required to succeed in this highly competitive and rapidly changing global market. We have committed and continue to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overly 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20" w:name="page21"/>
    <w:bookmarkEnd w:id="20"/>
    <w:p>
      <w:pPr>
        <w:ind w:right="180"/>
        <w:spacing w:after="0" w:line="266" w:lineRule="auto"/>
        <w:rPr>
          <w:sz w:val="20"/>
          <w:szCs w:val="20"/>
          <w:color w:val="auto"/>
        </w:rPr>
      </w:pPr>
      <w:r>
        <w:rPr>
          <w:rFonts w:ascii="Times New Roman" w:cs="Times New Roman" w:eastAsia="Times New Roman" w:hAnsi="Times New Roman"/>
          <w:sz w:val="18"/>
          <w:szCs w:val="18"/>
          <w:color w:val="auto"/>
        </w:rPr>
        <w:t>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18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ability to manage our business will depend in part on our ability to manage this growth effectively. If we fail to manage our anticipated growth and change in a manner that preserves our corporate culture, it could negatively affect our reputation and ability to retain and attract customers and employees.</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may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what we believe to be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our finances to defend against lawsuits or detrimental publicity, or to comply with new regulations imposed on AI technologies or products.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four years ago and it is possible that in certain situations, it may not be competitive in performance and features. This will impact our ability to deliver the revenue forecast until our next-generation chip is available and we may lose key customer opportunities in the meantime.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1417" w:right="399" w:bottom="1440" w:gutter="0" w:footer="0" w:header="0"/>
        </w:sectPr>
      </w:pPr>
    </w:p>
    <w:bookmarkStart w:id="22" w:name="page23"/>
    <w:bookmarkEnd w:id="2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1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Further, provisions typically included in our agreements with our customers that attempt to limit our exposure to claims may not be enforceable or adequate or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10"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use AI Technologies throughout our business and are making significant investments in this area. For example, we use AI Technologies internally to prepare data provided by customers for assisting such customers with AI development when using AI Studio.</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 usage of, or our investments in, such technologies may not ultimately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13" w:right="359" w:bottom="1440" w:gutter="0" w:footer="0" w:header="0"/>
        </w:sectPr>
      </w:pPr>
    </w:p>
    <w:bookmarkStart w:id="23" w:name="page24"/>
    <w:bookmarkEnd w:id="23"/>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Any measures we take to reduce such risks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2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9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 company located in the southeastern United States.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achieve or maintain sufficient and performance data transmission capacity could significantly reduce demand for our platform.</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civil unrest in the area, and/or the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1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or datasets could subject us to possible litigation or cause us to subject our platform or products to unwanted open source license conditions that could negatively impact our sales.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25" w:name="page26"/>
    <w:bookmarkEnd w:id="25"/>
    <w:p>
      <w:pPr>
        <w:ind w:right="160"/>
        <w:spacing w:after="0" w:line="255" w:lineRule="auto"/>
        <w:rPr>
          <w:sz w:val="20"/>
          <w:szCs w:val="20"/>
          <w:color w:val="auto"/>
        </w:rPr>
      </w:pPr>
      <w:r>
        <w:rPr>
          <w:rFonts w:ascii="Times New Roman" w:cs="Times New Roman" w:eastAsia="Times New Roman" w:hAnsi="Times New Roman"/>
          <w:sz w:val="18"/>
          <w:szCs w:val="18"/>
          <w:color w:val="auto"/>
        </w:rPr>
        <w:t>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Our executive officers and key employees are employed “at will” and could choose to terminate their employment with us at any time. The loss of one or more of our executive officers or key employees could have a serious adverse effect on our business.</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candidates for employment and existing employees often consider the value of the stock awards they may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we compete for highly skilled talent has been extremely high in the past few years. Although we have managed to retain our key employees, we may experience some level of employee attrition or turnover, and there is no guarantee that we will be able to continue to retain key employees or respond to these conditions in these locations if these trends continue.</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have in the past and intend to continue to issue equity awards as key components of our overall compensation and employee attraction and retention efforts, we are required under GAAP to recognize compensation expense in our operating results for employee stock-based compensation under our equity grant programs, which may increase the pressure to limit stock-based compensation. Further, the dilutive effect of substantial equity awards may have a negative effect upon our stock, which could increase the pressure to limit stock-based compensation, or, conversely, should we fail to effectively limit the dilutive effects of stock based compensation, our stockholders may experience a decline in the stock price from such dilution.</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and cultivating a corporate culture which we believe motivates employees and is attractive to potential employees. As we grow and develop our infrastructure as a public company, our operations may become increasingly complex. We may find it difficult to maintain important aspects of our corporate culture. Any failure to preserve our corporate culture could negatively affect our future success, including our ability to retain and recruit personnel, and to effectively focus on and pursue our corporate objectives.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attention from our senior management team.</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with listed common stock, we are required to comply with various laws, regulations and requirements, including the requirements of the Exchange Act, certain corporate governance provisions of the Sarbanes-Oxley Act, related regulations of the SEC and requirements of the Nasdaq. The Exchange Act requires that we file annual, quarterly and current reports with respect to our business and financial condition. The Sarbanes-Oxley Act requires, among other things, that we establish and maintain effective internal control over financial reporting. While Section 404 of the Sarbanes-Oxley Act requires, among other things, that we assess the effectiveness of our internal control structure and procedures for financial reporting on an annual basis, for as long as we are a non-accelerated filer or an Emerging Growth Company, the registered public accounting firm that issues an audit report on our financial statements will not be required to attest to or report on the effectiveness of our internal control over financial reporting pursuant to Section 404(b) of the Sarbanes-Oxley Act. An independent assessment of the effectiveness of our internal controls could detect problems that our management’s assessment might not. We cannot be certain if the scaled SEC reporting options available to Smaller Reporting Companies or the delay in implementing new accounting standards available to us as an Emerging Growth Company will make our common stock less attractive to investors, possibly making the market price of our common stock decline and the trading volume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41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management team has limited experience with the complexities of managing a publicly traded company.</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Since completing the Merger in 2025, we have been required, on an ongoing basis, to comply with various laws, regulations and requirements, including the requirements of the Exchange Act, related regulations of the SEC, and continued listing requirements of the Nasdaq, along with certain extremely technical and complex accounting requirements of GAAP, and reports required under these laws, regulations, and requirements, which must be communicated to the market on a timely basis. Our senior management team has limited experience with these laws, regulations, and requirements, and a failure to timely identify any potential for noncompliance with the foregoing may result in a material adverse event, and have significant consequences to our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13" w:right="359" w:bottom="1440" w:gutter="0" w:footer="0" w:header="0"/>
        </w:sectPr>
      </w:pPr>
    </w:p>
    <w:bookmarkStart w:id="29" w:name="page30"/>
    <w:bookmarkEnd w:id="29"/>
    <w:p>
      <w:pPr>
        <w:ind w:right="20"/>
        <w:spacing w:after="0" w:line="282" w:lineRule="auto"/>
        <w:rPr>
          <w:sz w:val="20"/>
          <w:szCs w:val="20"/>
          <w:color w:val="auto"/>
        </w:rPr>
      </w:pPr>
      <w:r>
        <w:rPr>
          <w:rFonts w:ascii="Times New Roman" w:cs="Times New Roman" w:eastAsia="Times New Roman" w:hAnsi="Times New Roman"/>
          <w:sz w:val="18"/>
          <w:szCs w:val="18"/>
          <w:color w:val="auto"/>
        </w:rPr>
        <w:t>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U.S., is constantly developing. Changes in the law could make it harder for us to enforce our rights.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general, we are subject to various laws and regulations in the U.S. and internationally, which may expose us to liability, increased costs or have other adverse effects that could harm our business.</w:t>
      </w:r>
    </w:p>
    <w:p>
      <w:pPr>
        <w:spacing w:after="0" w:line="18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may grow in popularity, the risk that additional laws and regulations will impact our business will continue to increase.</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21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17" w:right="359" w:bottom="1440" w:gutter="0" w:footer="0" w:header="0"/>
        </w:sectPr>
      </w:pPr>
    </w:p>
    <w:bookmarkStart w:id="30" w:name="page31"/>
    <w:bookmarkEnd w:id="30"/>
    <w:p>
      <w:pPr>
        <w:ind w:right="10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U.S. only with the required export authorizations, including by license, a license exception or other appropriate government authorizations.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a portion of our business with third-party ecosystem partners to provide defensive solutions that incorporate our products to various foreign and domestic government agencies, which are subject to unique risks.</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any third-party ecosystem partners’ compliance costs, including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17" w:right="359" w:bottom="1440" w:gutter="0" w:footer="0" w:header="0"/>
        </w:sectPr>
      </w:pPr>
    </w:p>
    <w:bookmarkStart w:id="31" w:name="page32"/>
    <w:bookmarkEnd w:id="31"/>
    <w:p>
      <w:pPr>
        <w:ind w:right="100"/>
        <w:spacing w:after="0" w:line="266" w:lineRule="auto"/>
        <w:rPr>
          <w:sz w:val="20"/>
          <w:szCs w:val="20"/>
          <w:color w:val="auto"/>
        </w:rPr>
      </w:pPr>
      <w:r>
        <w:rPr>
          <w:rFonts w:ascii="Times New Roman" w:cs="Times New Roman" w:eastAsia="Times New Roman" w:hAnsi="Times New Roman"/>
          <w:sz w:val="18"/>
          <w:szCs w:val="18"/>
          <w:color w:val="auto"/>
        </w:rPr>
        <w:t>form of withheld payments and/or reduced future business if we or any third-party ecosystem partners fail to comply with these requirements in the future, or otherwise have a material impact on our or any third-party ecosystem partners’ business, which could negatively impact our financial condition and operating results.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In addition, transactions involving government contractors may be subject to government review and approvals and may require the contractor to hold certain national security clearances in order to perform them.</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w:t>
      </w:r>
    </w:p>
    <w:p>
      <w:pPr>
        <w:spacing w:after="0" w:line="2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1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21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may fail to properly assess and understand the risks of information security breaches and cannot guarantee that any measures we take to ameliorate these risks will be effective. Like other companies, we have been the subject of various cyber incidents. While we believe these incidents have not been material, we cannot guarantee that any future will not have a material impact.</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17" w:right="359" w:bottom="1440" w:gutter="0" w:footer="0" w:header="0"/>
        </w:sectPr>
      </w:pPr>
    </w:p>
    <w:bookmarkStart w:id="33" w:name="page34"/>
    <w:bookmarkEnd w:id="33"/>
    <w:p>
      <w:pPr>
        <w:ind w:right="100"/>
        <w:spacing w:after="0" w:line="254" w:lineRule="auto"/>
        <w:rPr>
          <w:sz w:val="20"/>
          <w:szCs w:val="20"/>
          <w:color w:val="auto"/>
        </w:rPr>
      </w:pPr>
      <w:r>
        <w:rPr>
          <w:rFonts w:ascii="Times New Roman" w:cs="Times New Roman" w:eastAsia="Times New Roman" w:hAnsi="Times New Roman"/>
          <w:sz w:val="18"/>
          <w:szCs w:val="18"/>
          <w:color w:val="auto"/>
        </w:rPr>
        <w:t>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w:t>
      </w:r>
    </w:p>
    <w:p>
      <w:pPr>
        <w:spacing w:after="0" w:line="21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Market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a going concern basis, which contemplates the realization of assets and the discharge of liabilities in the normal course of business. Our ability to continue to meet our obligations, achieve our business objectives, and continue as a going concern is dependent upon several factors, including our revenue growth rate and the timing and extent of spending to support further sales, marketing and research and development efforts. Although we intend to raise additional capital through issuances of additional debt and/or equity, additional financing may not be available at terms acceptable to us or at all. These factors raise substantial doubt about our ability to continue as a going concern. If we cannot continue as a viable entity, this could materially adversely affect the value of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controls may limit our ability to access or repatriate funds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portion of our business operations, customers, or suppliers are located in China, and we may continue to expand our presence in the region. The Chinese government maintains strict currency controls and regulations on the convertibility of the Renminbi (RMB) into foreign currencies. These controls can restrict the free flow of capital into and out of China and may limit our ability to access, transfer, or repatriate funds generated from our operations or sales in China.</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Approval from or registration with appropriate government authorities is required for the conversion of RMB into foreign currency and remittance of such foreign currency out of China for capital account items, such as direct investment, loans, and repatriation of investment proceeds.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we are unable to obtain the necessary government approvals or complete the required registration processes, or if the Chinese government tightens its currency controls, we may be unable to repatriate funds from China or finance our operations. In addition, changes in foreign exchange policies or fluctuations in the value of the RMB could adversely affect our financial condition, results of operations, and cash flows.</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Furthermore, any future restrictions on currency exchange or capital outflows imposed by the Chinese government could limit our ability to use cash generated in China to fund our business activities outside of China or 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7" w:right="339" w:bottom="1440" w:gutter="0" w:footer="0" w:header="0"/>
        </w:sectPr>
      </w:pPr>
    </w:p>
    <w:bookmarkStart w:id="34" w:name="page35"/>
    <w:bookmarkEnd w:id="34"/>
    <w:p>
      <w:pPr>
        <w:ind w:right="540"/>
        <w:spacing w:after="0" w:line="282" w:lineRule="auto"/>
        <w:rPr>
          <w:sz w:val="20"/>
          <w:szCs w:val="20"/>
          <w:color w:val="auto"/>
        </w:rPr>
      </w:pPr>
      <w:r>
        <w:rPr>
          <w:rFonts w:ascii="Times New Roman" w:cs="Times New Roman" w:eastAsia="Times New Roman" w:hAnsi="Times New Roman"/>
          <w:sz w:val="18"/>
          <w:szCs w:val="18"/>
          <w:color w:val="auto"/>
        </w:rPr>
        <w:t>our obligations denominated in foreign currencies. These risks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or other securities convertible into our common stock could cause the market value of shares of our common stock to decline and could result in dilution of your shares.</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substantial number of warrants and equity awards are outstanding, each of which are convertible into common stock in the case of warrants, exercisable for shares of our common stock in the case of stock options, or become common stock after the passage of time in the case of RSUs.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issuances of common stock upon the conversion or exercise of warrants, issuances of additional equity awards, issuances of other classes of stock, or issuances of preferred stock could cause the market price of shares of our common stock to decrease significantly. We cannot predict the effect, if any, of future sales of shares of our common stock, or the availability of shares of our common stock for future sales, on the value of shares of our common stock. Sales of substantial amounts of shares of our common stock, or the perception that such sales could occur, may adversely affect prevailing market prices for shares of our common stock.</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the continued listing standards of the Nasdaq from time to time. This could result in our common stock being delisted from the exchange.</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Delisting could have several adverse consequences for our company and our shareholders. It would likely reduce the liquidity and marketability of our common stock, making it more difficult for shareholders to buy or sell shares. Delisting may also negatively impact our ability to raise capital, attract and retain employees, and pursue strategic transactions. Furthermore, it could diminish our visibility and credibility in the marketplace, potentially affecting relationships with customers, suppliers, and other business partners.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are unable to improve our stock price or otherwise comply with the listing requirements, and our common stock is delisted, it may only be traded on the over-the-counter market, which is generally less liquid and more volatile. This could further depress the market price of our common stock and adversely affect the value of your investment. You could lose some or all of your 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Activist shareholders could disrupt our operations, cause uncertainty, and adversely affect our business and stock price.</w:t>
      </w:r>
    </w:p>
    <w:p>
      <w:pPr>
        <w:spacing w:after="0" w:line="25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may be subject to actions or proposals from activist shareholders, including unsolicited offers to acquire control, proposals to change our governance structure, or demands for strategic, operational, or financial changes. Activist shareholders may seek to effect changes in how the Company is governed, managed, or operated, or may seek to acquire control of the Company without paying a premium for all of our outstanding shares. Such activities could include public campaigns, proxy contests, or litigation.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Responding to activist shareholders can be costly and time-consuming, may divert the attention of our Board of Directors and management from the operation of our business, and could disrupt our ability to execute our strategic plans. Even if activist campaigns are not successful, the process of engaging with activist shareholders and responding to their proposals can create uncertainty among employees, customers, suppliers, and other stakeholders, potentially harming our business relationships and reputation.</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perceived or actual actions by activist shareholders may cause volatility in the market price of our common stock, particularly if activist campaigns are accompanied by negative publicity or speculation regarding the Company’s future. If activist shareholders are successful in electing directors or effecting changes in management or strategy, such changes may not be in the best interests of all shareholders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417" w:right="379" w:bottom="1440" w:gutter="0" w:footer="0" w:header="0"/>
        </w:sectPr>
      </w:pPr>
    </w:p>
    <w:bookmarkStart w:id="35" w:name="page36"/>
    <w:bookmarkEnd w:id="35"/>
    <w:p>
      <w:pPr>
        <w:spacing w:after="0" w:line="2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actions of activist shareholders may adversely impact our ability to achieve our business objectives, maintain stable operations, and deliver long-term value to our shareholders.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 and investors should intend to rely on stock price appreciation for a return on their investment.</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paying any cash dividends in the foreseeable future. Our current policy is to retain all available funds and future earnings, if any, to fund the development and growth of our business, support our working capital needs, and for general corporate purposes. As a result, investors seeking cash dividends should not purchase our common stock.</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future determination to pay dividends will be at the discretion of our Board of Directors and will depend on a number of factors, including our financial condition, results of operations, capital requirements, contractual restrictions, and other factors that the Board of Directors may deem relevant. In addition, our ability to pay dividends may be limited by covenants in any future debt agreements or other financing arrangements.</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Accordingly, investors should intend to rely on sales of their shares of our common stock after price appreciation, which may never occur, as the only way to realize any future gains on their investment. If our common stock does not appreciate in value, or if it declines in value, investors may lose part or all of their investment.</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Furthermore, if we were to incur debt, the terms of such debt, including the accrual and payment of interest at fixed or variable interest rates, could restrict our operations.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common stock to make claims on our assets. As a result, our stockholders bear the risk of future issuances of debt securities reducing the value of our common stock.</w:t>
      </w: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As of October 17, 2025, the most recent date of such a sale, we had sold a total of 8,410,321 shares of our common stock to B. Riley for net proceeds of $33.2 million.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36" w:name="page37"/>
    <w:bookmarkEnd w:id="36"/>
    <w:p>
      <w:pPr>
        <w:spacing w:after="0" w:line="2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spacing w:after="0" w:line="21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under the applicable Nasdaq rules, we may not issue to B. Riley more than 20,326,159 shares of common stock without stockholder approval, which number of shares is equal to 19.99% of the shares of the 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issuance and sale by us under the Committed Equity Facility of a substantial amount of shares of common stock could cause additional substantial dilution to our stockholders, which may not be in your best interest as a stockholder.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inability to access a portion or the full amount available under the Committed Equity Facility, in the absence of any other financing sources, could have a material adverse effect on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certificate of incorporation and bylaws may deter third parties from acquiring us and diminish the value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provide for, among other things:</w:t>
      </w:r>
    </w:p>
    <w:p>
      <w:pPr>
        <w:spacing w:after="0" w:line="252" w:lineRule="exact"/>
        <w:rPr>
          <w:sz w:val="20"/>
          <w:szCs w:val="20"/>
          <w:color w:val="auto"/>
        </w:rPr>
      </w:pPr>
    </w:p>
    <w:p>
      <w:pPr>
        <w:ind w:left="660" w:right="3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 voting or other rights or preferences that could have the effect of impeding the success of an attempt to acquire us or otherwise effect a change in control;</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limits the ability of minority stockholders to elect director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stockholder meetings;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234" w:lineRule="exact"/>
        <w:rPr>
          <w:sz w:val="20"/>
          <w:szCs w:val="20"/>
          <w:color w:val="auto"/>
        </w:rPr>
      </w:pPr>
    </w:p>
    <w:p>
      <w:pPr>
        <w:ind w:right="40"/>
        <w:spacing w:after="0" w:line="222" w:lineRule="exact"/>
        <w:rPr>
          <w:sz w:val="20"/>
          <w:szCs w:val="20"/>
          <w:color w:val="auto"/>
        </w:rPr>
      </w:pPr>
      <w:r>
        <w:rPr>
          <w:rFonts w:ascii="Times New Roman" w:cs="Times New Roman" w:eastAsia="Times New Roman" w:hAnsi="Times New Roman"/>
          <w:sz w:val="18"/>
          <w:szCs w:val="18"/>
          <w:color w:val="auto"/>
        </w:rPr>
        <w:t>In addition, in our certificate of incorporation, we have not opted out of Section 203 of the Delaware General Corporation Law, which prohibits a Delaware corporation from engaging in certain “business combinations” with any “interested stockholder”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following the time that the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21" w:lineRule="exact"/>
        <w:rPr>
          <w:sz w:val="20"/>
          <w:szCs w:val="20"/>
          <w:color w:val="auto"/>
        </w:rPr>
      </w:pPr>
    </w:p>
    <w:p>
      <w:pPr>
        <w:ind w:left="660" w:right="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that resulted in the stockholder becoming an interested stockholder;</w:t>
      </w:r>
    </w:p>
    <w:p>
      <w:pPr>
        <w:ind w:left="660" w:right="3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ind w:left="660" w:hanging="328"/>
        <w:spacing w:after="0" w:line="216"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of the votes of our outstanding voting stock that is not owned by the interested stockholder.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207"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2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of Directors and take other corporate 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prolonged or recurring U.S. federal government shutdowns, epidemics,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38" w:name="page39"/>
    <w:bookmarkEnd w:id="3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are often required to enter or exit the United States. Those components are at the highest risk of being affected by the aforementioned changes, and in turn disrupting the supply chain and our product pipeline.</w:t>
      </w:r>
    </w:p>
    <w:p>
      <w:pPr>
        <w:spacing w:after="0" w:line="21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19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write reports and downgrade our stock or publish inaccurate or unfavorable research about our business, our share price could decline. If one or more of these analysts cease coverage of us or fail to publish reports on us regularly, our securities price or trading volume could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any guidance that we may provide.</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claims, investigations, and regulatory actions from time to time.</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claims, investigations, and regulatory actions arising in the ordinary course of our business. These matters may include, but are not limited to, commercial disputes, employment-related claims, intellectual property matters, product liability, contractual obligations, and regulatory compliance issues. The outcome of litigation and other legal proceedings is inherently uncertain, and regardless of the merits of the claims, defending against such actions can be costly, time-consuming, and may divert management’s attention from our core business operations.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Adverse outcomes in one or more of these proceedings could result in significant monetary damages, penalties, or injunctive relief against us, which could negatively impact our financial condition, results of operations, and reputation. Even if we ultimately prevail in any such matters, the costs of defense and the potential impact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39" w:name="page40"/>
    <w:bookmarkEnd w:id="39"/>
    <w:p>
      <w:pPr>
        <w:ind w:right="60"/>
        <w:spacing w:after="0" w:line="282" w:lineRule="auto"/>
        <w:rPr>
          <w:sz w:val="20"/>
          <w:szCs w:val="20"/>
          <w:color w:val="auto"/>
        </w:rPr>
      </w:pPr>
      <w:r>
        <w:rPr>
          <w:rFonts w:ascii="Times New Roman" w:cs="Times New Roman" w:eastAsia="Times New Roman" w:hAnsi="Times New Roman"/>
          <w:sz w:val="18"/>
          <w:szCs w:val="18"/>
          <w:color w:val="auto"/>
        </w:rPr>
        <w:t>business relationships and reputation could be material. Additionally, the initiation of litigation or regulatory actions, or the announcement of such matters, could result in negative publicity and harm our brand or market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program for overseeing and managing cybersecurity and related risks, which is supported by both management and our Board of Directors.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cybersecurity functions are led by our Chief Scientist and Chief Operating Officer (“CSCOO”), who is one of the Company’s founders and reports to our Chief Executive Officer. Our CSCOO has delegated the overall responsibility for overseeing our cybersecurity management program and the protection and defense of our networks and systems to the Director of IT and Information Security (“DITIS”). The DITIS’s relevant experience in cybersecurity includes over 25 years of extensive experience, including six years with us, and roles including Director of Information Technology and Chief Information Officer at various other companies. The DITIS manages a team of IT professionals with broad experience and expertise, including in cybersecurity threat assessments, corporate firewall installation and management, enterprise infrastructure engineering, and network analysis, and who also support our cybersecurity incident response and vulnerability management efforts.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responsible for overseeing our enterprise risk management activities in general, and the Audit Committee of the Board (“Audit Committee”), also reviews the adequacy and effectiveness of our information security policies and practices and the internal controls regarding information security risks. The Audit Committee receives regular information security updates from management. The full Board receives an update on our risk management process and the risk trends related to cybersecurity at least annually from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consult with external parties, such as cybersecurity firms and risk management and governance experts, on risk management and strategy.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strategy includes but is not limited to the following key elements:</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Assessment and Management </w:t>
      </w:r>
      <w:r>
        <w:rPr>
          <w:rFonts w:ascii="Times New Roman" w:cs="Times New Roman" w:eastAsia="Times New Roman" w:hAnsi="Times New Roman"/>
          <w:sz w:val="18"/>
          <w:szCs w:val="18"/>
          <w:color w:val="auto"/>
        </w:rPr>
        <w:t>– We follow processes outlined in the international standard ISO 27001, an Information Security Management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(ISMS), which helps safeguard the confidentiality, integrity, and availability of information through a structured risk management process. We believe that this approach helps us to manage cybersecurity risks by using a structured framework. However, as with any risk management program, absolute assurance cannot be provided.</w:t>
      </w:r>
    </w:p>
    <w:p>
      <w:pPr>
        <w:spacing w:after="0" w:line="20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Technical Security Controls </w:t>
      </w:r>
      <w:r>
        <w:rPr>
          <w:rFonts w:ascii="Times New Roman" w:cs="Times New Roman" w:eastAsia="Times New Roman" w:hAnsi="Times New Roman"/>
          <w:sz w:val="18"/>
          <w:szCs w:val="18"/>
          <w:color w:val="auto"/>
        </w:rPr>
        <w:t>– We employ layered security controls, including firewalls, identity and access management software and/or multi-factor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authentication requirements for access to internal applications, and encryption technologies.</w:t>
      </w:r>
    </w:p>
    <w:p>
      <w:pPr>
        <w:spacing w:after="0" w:line="18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Vendor Risk Management Program </w:t>
      </w:r>
      <w:r>
        <w:rPr>
          <w:rFonts w:ascii="Times New Roman" w:cs="Times New Roman" w:eastAsia="Times New Roman" w:hAnsi="Times New Roman"/>
          <w:sz w:val="18"/>
          <w:szCs w:val="18"/>
          <w:color w:val="auto"/>
        </w:rPr>
        <w:t>– We have implemented processes to oversee, identify and manage risks from cybersecurity threats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third-party service providers. Our vendor risk management program establishes governance, processes and tools for managing various risks related to third-party service providers, including information security and supplier-related risks.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we have not identified risks from cybersecurity threats, including as a result of any previous cybersecurity incidents, that have materially affected or are reasonably likely to materially affect us, including our business strategy, results of operations or financial condition. For more information regarding the risks we face from cybersecurity threats, please see Part 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leased office space located in El Dorado Hills, California. All of our facilities are substantially comprised of leased premises for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13" w:right="359" w:bottom="1440" w:gutter="0" w:footer="0" w:header="0"/>
        </w:sectPr>
      </w:pPr>
    </w:p>
    <w:bookmarkStart w:id="41" w:name="page42"/>
    <w:bookmarkEnd w:id="4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“BZAI”.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20, 2026, there were approximately 122,744,509 shares of our common stock outstanding with 105 holders of record of our common stock. The actual number of stockholders is greater than this number of record holders and includes stockholders who are beneficial owners but whose shares are held in “street name” accounts by brokers and other nominees.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any cash dividends on our common stock to date and we have no current plans to pay cash dividends to holders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1413"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consolidated financial statements and related notes thereto, included in Part 1I, Item 8. of this Annual Report on Form 10-K, and risk factors, included in Part I, Item 1A.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BurTech was considered the acquired company and Legacy Blaize was considered the acquirer for financial statement reporting purposes, and the Merger was accounted for as a reverse merger and recapitalization.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in Our Business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16, 2025, we entered into a Strategic Cooperation Agreement (the “Starshine Agreement”) with Starshine Computing Power Technology Limited, a Hong Kong company (“Starshine”). Pursuant to the terms of the Starshine Agreement, we entered into a strategic partnership with Starshine to develop business opportunities for the sale of our hybrid AI platform and other products and services through Starshine in the Asia Pacific region. Starshine agreed to deliver a minimum of $120.0 million in revenue to us over the first 18 months of the Starshine Agreement. Any such commitments made by Starshine are subject to issuance of purchase orders by Starshine. Starshine initiated one purchase order to us in the third quarter of 2025 for $10.4 million. Starshine paid $1.6 million to us in regards to its account receivable, and the remainder of $8.8 million of its account receivable remains outstanding as of March 24, 2026. As of March 24, 2026, we have not received any further purchase orders from Starshine.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413" w:right="37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10, 2025, Blaize and affiliates of Polar Asset Management Partners Inc. (“Polar”) entered into a Securities Purchase Agreement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December 31, 2025, 25 POCs were initiated or in progress with a potential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December 31, 2025, we had a total of 30 Partners.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December 31, 2025, 20 Design Wins had been confirmed with a Partner or customer.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52"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and/or third-party hardware products which support our semiconductor products through various supply agreements.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consulting services revenue — providing customized design services to our customers, tailored to their specific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4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revenue increased to $38.6 million compared to $1.6 million for the year ended December 31, 2024. The increase was due to hardware sales in 2025, primarily comprised of hardware sales to third parties, while revenue from the comparable period in 2024 was derived primarily from strategic consulting services provided to related parties. Strategic consulting services revenue with the related party is no longer expected, as the development contract with this party has been completed.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Since our revenue is concentrated among a small number of customers, revenue from any one significant customer may significantly change the geographical mix of our revenue. Customer C and Customer D, below, are both located in China, along with a customer in “Others,”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revenue by customer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Others</w:t>
            </w:r>
            <w:r>
              <w:rPr>
                <w:rFonts w:ascii="Times New Roman" w:cs="Times New Roman" w:eastAsia="Times New Roman" w:hAnsi="Times New Roman"/>
                <w:sz w:val="10"/>
                <w:szCs w:val="10"/>
                <w:color w:val="auto"/>
              </w:rPr>
              <w:t xml:space="preserve"> (2) (3)</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both related parties.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2025, “Others” included $3.4 million in revenue from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revenue is currently primarily comprised of the cost of purchase of hardware from third parties (servers into which our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cost of revenue has historically also included direct labor costs associated with the servicing of our strategic consulting services revenue contracts with a related party. Strategic consulting services revenue with the related party is no longer expected, as the development contract with this party has been completed. There is no depreciation allocable to cost of revenue; however, if such depreciation expense were to be incurred, it would be allocated to cost of revenue.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consists of ordinary depreciation on long-lived assets such as computer equipment, furniture and fixtures, leasehold improvements, and office equipment and is generally not material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Merger which was completed in the first quarter of 2025. No additional costs relating to the Merger are expected to be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1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140.7 %</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cost of revenue increased by $31.9 million to $32.4 million, compared to $0.6 million for the year ended December 31, 2024. The increase was primarily driven by purchases of hardware from third party vendors in order to fulfil sales contracts.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R&amp;D expense increased by $17.4 million, or 69.5%, to $42.5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compared to $25.1 million for the year ended December 31, 2024. The increase during the year ended December 31, 2025 was primarily due to higher stock-based compensation expenses allocated to R&amp;D of $17.1 million and the acquisition of third-party intellectual property for new chip development.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R&amp;D expenses described above are expected to continue as we support the development of our next generation of products.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SG&amp;A expense increased by $31.3 million, or 140.7%, to $53.5 million, up from $22.2 million for the year ended December 31, 2024. This increase during the year ended December 31, 2025 was primarily due to stock-based compensation expense of $20.5 million, which is the largest component of payroll expense, which is, in turn, the largest component of SG&amp;A.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11"/>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57"/>
        </w:trPr>
        <w:tc>
          <w:tcPr>
            <w:tcW w:w="40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Change in fair value of Legacy Blaize convertible</w:t>
            </w: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warrants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(210,325)</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unissued shares of common</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“total other expense, net” for the year ended December 31, 2025 compared to the year ended December 31, 2024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only outstanding fully during the comparative period for 2024.</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After the Merger, the earnout awards issued to Burkhan that were classified as a derivative liability, and the derivative asset (fair value of the initial put option) and liability (forward contracts at each date of purchase of common stock by B. Riley) associated with the Committed Equity Facility were recorded, and subsequently marked to market at the end of each quarterly period. The derivatives associated with the Committed Equity Facility were marked to zero as of December 31, 2025, due to the immateriality of the remaining balances. “Other, net” includes fines and penalties (and the reversal of the same) regarding non-income tax based tax positions as well as the Committed Equity Facility transaction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GAAP, we also use EBITDA and Adjusted EBITDA, as defined below, to evaluate our ongoing operations and for internal planning and forecasting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further adjusted for non-cash items such as stock-based compensation, changes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and operational income and expenses that are not expected to be ongoing, as discussed below in the footnote to “other adjustments”.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00" w:type="dxa"/>
            <w:vAlign w:val="bottom"/>
          </w:tcPr>
          <w:p>
            <w:pPr>
              <w:spacing w:after="0"/>
              <w:rPr>
                <w:sz w:val="18"/>
                <w:szCs w:val="18"/>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spacing w:after="0"/>
              <w:rPr>
                <w:sz w:val="18"/>
                <w:szCs w:val="18"/>
                <w:color w:val="auto"/>
              </w:rPr>
            </w:pPr>
          </w:p>
        </w:tc>
      </w:tr>
      <w:tr>
        <w:trPr>
          <w:trHeight w:val="21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(145,709)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238.1 %</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for income taxes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9"/>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(144,079)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228.1 %</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876.0 %</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547.9 %</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125.2 %</w:t>
            </w:r>
          </w:p>
        </w:tc>
      </w:tr>
      <w:tr>
        <w:trPr>
          <w:trHeight w:val="229"/>
        </w:trPr>
        <w:tc>
          <w:tcPr>
            <w:tcW w:w="40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445.1 %</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80" w:firstLine="8"/>
        <w:spacing w:after="0" w:line="255"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consolidated financial statements, as we cannot expect that the sources of financing currently available to us will be sufficient to fund our ongoing cash requirements for at least the next twelve months and/or into the foreseeable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described in Item 8 — “Financial Statements and Supplementary Data,” in Note 2 — “Liquidity and Going Concern,” our consolidated financial statements accompanying this Annual Report on Form 10-K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2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7" w:right="339" w:bottom="1440" w:gutter="0" w:footer="0" w:header="0"/>
        </w:sectPr>
      </w:pPr>
    </w:p>
    <w:bookmarkStart w:id="49" w:name="page50"/>
    <w:bookmarkEnd w:id="49"/>
    <w:p>
      <w:pPr>
        <w:ind w:right="80"/>
        <w:spacing w:after="0" w:line="282" w:lineRule="auto"/>
        <w:rPr>
          <w:sz w:val="20"/>
          <w:szCs w:val="20"/>
          <w:color w:val="auto"/>
        </w:rPr>
      </w:pPr>
      <w:r>
        <w:rPr>
          <w:rFonts w:ascii="Times New Roman" w:cs="Times New Roman" w:eastAsia="Times New Roman" w:hAnsi="Times New Roman"/>
          <w:sz w:val="18"/>
          <w:szCs w:val="18"/>
          <w:color w:val="auto"/>
        </w:rPr>
        <w:t>further sales and marketing initiatives, as well as our research and development efforts. In order to continue to finance our operations, we will need to raise additional financing, if such financing is available at all.</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During the Current Year</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sets forth a description of our issuance of common stock during the year ended December 31, 2025, commencing from the Closing Date of the Merger: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Committed Equity Facility</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agreement governing the Committed Equity Facility,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See “Trends and Recent Developments — </w:t>
      </w:r>
      <w:r>
        <w:rPr>
          <w:rFonts w:ascii="Times New Roman" w:cs="Times New Roman" w:eastAsia="Times New Roman" w:hAnsi="Times New Roman"/>
          <w:sz w:val="18"/>
          <w:szCs w:val="18"/>
          <w:i w:val="1"/>
          <w:iCs w:val="1"/>
          <w:color w:val="auto"/>
        </w:rPr>
        <w:t>Recent Developments in Our Business”</w:t>
      </w:r>
      <w:r>
        <w:rPr>
          <w:rFonts w:ascii="Times New Roman" w:cs="Times New Roman" w:eastAsia="Times New Roman" w:hAnsi="Times New Roman"/>
          <w:sz w:val="18"/>
          <w:szCs w:val="18"/>
          <w:color w:val="auto"/>
        </w:rPr>
        <w:t xml:space="preserve"> for a description of the shares of our common stock issued in the Polar Private Placement.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common stock. In July 2025, the Company issued the shares of common stock due to 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Commitments to Issue Shares of Our Common Stock</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80" w:type="dxa"/>
            <w:vAlign w:val="bottom"/>
          </w:tcPr>
          <w:p>
            <w:pPr>
              <w:spacing w:after="0"/>
              <w:rPr>
                <w:sz w:val="18"/>
                <w:szCs w:val="18"/>
                <w:color w:val="auto"/>
              </w:rPr>
            </w:pPr>
          </w:p>
        </w:tc>
        <w:tc>
          <w:tcPr>
            <w:tcW w:w="2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9"/>
        </w:trPr>
        <w:tc>
          <w:tcPr>
            <w:tcW w:w="888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88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Stock options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Employee stock purchase plan shares available for future purchase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Earnout shares </w:t>
            </w:r>
            <w:r>
              <w:rPr>
                <w:rFonts w:ascii="Times New Roman" w:cs="Times New Roman" w:eastAsia="Times New Roman" w:hAnsi="Times New Roman"/>
                <w:sz w:val="23"/>
                <w:szCs w:val="23"/>
                <w:color w:val="auto"/>
                <w:vertAlign w:val="superscript"/>
              </w:rPr>
              <w:t>(2)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BZAI warrants </w:t>
            </w:r>
            <w:r>
              <w:rPr>
                <w:rFonts w:ascii="Times New Roman" w:cs="Times New Roman" w:eastAsia="Times New Roman" w:hAnsi="Times New Roman"/>
                <w:sz w:val="23"/>
                <w:szCs w:val="23"/>
                <w:color w:val="auto"/>
                <w:vertAlign w:val="superscript"/>
              </w:rPr>
              <w:t>(3)</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Warrants issued to an advisor </w:t>
            </w:r>
            <w:r>
              <w:rPr>
                <w:rFonts w:ascii="Times New Roman" w:cs="Times New Roman" w:eastAsia="Times New Roman" w:hAnsi="Times New Roman"/>
                <w:sz w:val="23"/>
                <w:szCs w:val="23"/>
                <w:color w:val="auto"/>
                <w:vertAlign w:val="superscript"/>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(3)</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Sales Partner Referral Agreement </w:t>
            </w:r>
            <w:r>
              <w:rPr>
                <w:rFonts w:ascii="Times New Roman" w:cs="Times New Roman" w:eastAsia="Times New Roman" w:hAnsi="Times New Roman"/>
                <w:sz w:val="23"/>
                <w:szCs w:val="23"/>
                <w:color w:val="auto"/>
                <w:vertAlign w:val="superscript"/>
              </w:rPr>
              <w:t>(4)</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Committed Equity Facility </w:t>
            </w:r>
            <w:r>
              <w:rPr>
                <w:rFonts w:ascii="Times New Roman" w:cs="Times New Roman" w:eastAsia="Times New Roman" w:hAnsi="Times New Roman"/>
                <w:sz w:val="23"/>
                <w:szCs w:val="23"/>
                <w:color w:val="auto"/>
                <w:vertAlign w:val="superscript"/>
              </w:rPr>
              <w:t>(5)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commitments to issue common stock</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97,826,696</w:t>
            </w:r>
          </w:p>
        </w:tc>
      </w:tr>
      <w:tr>
        <w:trPr>
          <w:trHeight w:val="21"/>
        </w:trPr>
        <w:tc>
          <w:tcPr>
            <w:tcW w:w="8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Variable number of shares not determinable as of December 31, 2025.</w:t>
      </w:r>
    </w:p>
    <w:p>
      <w:pPr>
        <w:spacing w:after="0" w:line="252" w:lineRule="exact"/>
        <w:rPr>
          <w:sz w:val="20"/>
          <w:szCs w:val="20"/>
          <w:color w:val="auto"/>
        </w:rPr>
      </w:pPr>
    </w:p>
    <w:p>
      <w:pPr>
        <w:jc w:val="both"/>
        <w:ind w:right="40" w:firstLine="8"/>
        <w:spacing w:after="0" w:line="251"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we had commitments to issue 28,746,278 shares of common stock to employees and others under stock option awards, and an additional 9,359,499 shares of our common stock under employee and other RSU awards. We have further reserved 3,047,669 shares of our common stock under an employee stock purchase plan, which has not yet commenced.</w:t>
      </w:r>
    </w:p>
    <w:p>
      <w:pPr>
        <w:spacing w:after="0" w:line="217" w:lineRule="exact"/>
        <w:rPr>
          <w:rFonts w:ascii="Times New Roman" w:cs="Times New Roman" w:eastAsia="Times New Roman" w:hAnsi="Times New Roman"/>
          <w:sz w:val="22"/>
          <w:szCs w:val="22"/>
          <w:color w:val="auto"/>
          <w:vertAlign w:val="superscript"/>
        </w:rPr>
      </w:pPr>
    </w:p>
    <w:p>
      <w:pPr>
        <w:ind w:right="14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215" w:lineRule="exact"/>
        <w:rPr>
          <w:rFonts w:ascii="Times New Roman" w:cs="Times New Roman" w:eastAsia="Times New Roman" w:hAnsi="Times New Roman"/>
          <w:sz w:val="22"/>
          <w:szCs w:val="22"/>
          <w:color w:val="auto"/>
          <w:vertAlign w:val="superscript"/>
        </w:rPr>
      </w:pPr>
    </w:p>
    <w:p>
      <w:pPr>
        <w:ind w:right="2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 See “Trends and Recent Developments — </w:t>
      </w:r>
      <w:r>
        <w:rPr>
          <w:rFonts w:ascii="Times New Roman" w:cs="Times New Roman" w:eastAsia="Times New Roman" w:hAnsi="Times New Roman"/>
          <w:sz w:val="17"/>
          <w:szCs w:val="17"/>
          <w:i w:val="1"/>
          <w:iCs w:val="1"/>
          <w:color w:val="auto"/>
        </w:rPr>
        <w:t>Recent Developments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Our Business” </w:t>
      </w:r>
      <w:r>
        <w:rPr>
          <w:rFonts w:ascii="Times New Roman" w:cs="Times New Roman" w:eastAsia="Times New Roman" w:hAnsi="Times New Roman"/>
          <w:sz w:val="17"/>
          <w:szCs w:val="17"/>
          <w:color w:val="auto"/>
        </w:rPr>
        <w:t>for a description of the warrants issued in the Polar Private Placement (the “Polar warrants”).</w:t>
      </w:r>
    </w:p>
    <w:p>
      <w:pPr>
        <w:spacing w:after="0" w:line="215" w:lineRule="exact"/>
        <w:rPr>
          <w:rFonts w:ascii="Times New Roman" w:cs="Times New Roman" w:eastAsia="Times New Roman" w:hAnsi="Times New Roman"/>
          <w:sz w:val="22"/>
          <w:szCs w:val="22"/>
          <w:color w:val="auto"/>
          <w:vertAlign w:val="superscript"/>
        </w:rPr>
      </w:pPr>
    </w:p>
    <w:p>
      <w:pPr>
        <w:ind w:right="160" w:firstLine="8"/>
        <w:spacing w:after="0" w:line="259"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Sales Partner Referral Agreement with Burkhan LLC (the “Sales Partner”), an affiliate of the Sponsor,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Subsequent to December 31, 2025, we received the payment from the Sales Partner and then paid the sales commission in cash, although future sales commissions may be partially payable in shares of our common stock at our discretion.</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remaining number of shares that we may sell under the Committed Equity Facility varies in relation to our stock price.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Utilized Financing Facilities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Prior to the Merger, certain arrangements such as Legacy Blaize convertible notes, Legacy Blaize convertible preferred stock, and Legacy Blaize warrants provided us with funding. Upon the consummation of the Merger, these agreements all converted to equity (shares of our common stock or warrants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$73.8 million for the year ended December 31, 2025, compared to $53.5 million for the year ended December 31, 2024. The increase in cash used in operating activities was primarily due to an increase of $145.7 million in net loss, partially offset by an increase in adjustments to reconcile net loss to net cash used in operating expenses of $126.4 million and an increase in changes in operating assets and liabilities of $0.9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we used $0.8 million and $0.9 million, respectively, of cash to purchase property and equipment.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$70.1 million, which primarily consisted of $33.2 million of net proceeds from the Committed Equity Facility, $27.9 million of net proceeds from the issuance of common stock to Polar, and $15.9 million of proceeds from the Merger and PIPE financing, partially offset by the $7.7 million payment of deferred offering costs. Net cash provided by financing activities for the year ended December 31, 2024 of $101.7 million primarily consisted of $110.7 million in proceeds from the issuance of secured convertible notes, partially offset by the payment of demand notes of $4.8 million and deferred offering costs of $4.4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Cash Collections, and Cash Availability</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Material cash requirements as of December 31, 2025 included trade accounts payable of $22.8 million for the purchase of finished goods hardware as described below, along with the near-term general corporate expenses of the business, such as employee payroll and consulting fees.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sold certain hardware in the amount of $23.8 million, and at the same time, purchased hardware from a third-party vendor in order to fulfil that sales contract, recording the trade account payable referred to, above. During the first quarter of 2026, we received payments of $15.2 million from our customer, and paid our vendor $15.8 million. The remainder of $8.6 million is due from our customer on March 31, 2026.</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2025, we collected cash from a related party in the amount of $6.4 million, which fully settled the related party’s outstanding accounts receivable balance as of December 31, 2025 of $3.4 million. The remaining $3.0 million was recorded as deferred revenue as of the date of receipt within the first quarter of 2026 and will be recognized as revenue in the first quarter of 2026 as we fulfilled our performance obligations to the related party at that time.</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on hand of $45.8 million, and we had approximately $16.6 million remaining available to draw on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60"/>
          </w:cols>
          <w:pgMar w:left="320" w:top="1440"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which is the last day of our first fiscal year following the fifth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BurTech’s initial public offering, (ii) the last date of our fiscal year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date on which we are deemed to be a “large accelerated filer” under the rules of the SEC with at least $700.0 million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by non-affiliates or (iv) the date on which we have issued more than $1.0 billion in non-convertible debt securities during the previous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at the date of the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t>Our critical accounting estimates include estimates related to accounting for the Merger and reverse recapitalization, revenue recognition, valuation of accounts receivable, the net realizable value of inventories, and the liability or equity classification and/or valuation of financial instruments, which may be complex financial instruments. Our financial instruments subject to valuation other than a Level 1 valuation technique currently include the earnout shares, stock-based compensation awards such as stock options, and the valuation of the Polar warrants; and historically have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discusses the ongoing development and selection of these critical accounting policies and estimates with the Audit Committee of our Board of Directors.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 to Note 3 — “Summary of Significant Accounting Policies,” in the Notes to the Consolidated Financial Statements in Part II, Item 8 of this Annual Report on Form 10-K for a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reflect the results of the Merger, which was accounted for as a reverse recapitalization in accordance with U.S. GAAP. The accounting for the Merger required management to make significant estimates and judgments, particularly in identifying the accounting acquirer, determining the fair value of financial instruments issued, and evaluating the classification of certain financial instruments.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guidance in ASC 805 — “Business Combinations,”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2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management evaluated the appropriate classification of certain financial instruments such as contingent earnout liabilities under ASC 480, “Distinguishing Liabilities from Equity,” and ASC 815, “Derivatives and Hedging”.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21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make significant estimates and assumptions as we follow the revenue accounting model of ASC 606 — “Revenue from Contracts with Customers,” (“ASC 606”) to (i) identify the contract(s) with a customer; (ii) identify the performance obligations in the contract; (iii) determine the transaction price;</w:t>
      </w:r>
    </w:p>
    <w:p>
      <w:pPr>
        <w:ind w:right="760" w:firstLine="8"/>
        <w:spacing w:after="0" w:line="260"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w:t>
      </w:r>
    </w:p>
    <w:p>
      <w:pPr>
        <w:spacing w:after="0" w:line="2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contracts may contain more than one performance obligation. Judgment is required in determining whether each performance obligation within a customer contract is distinct. Some of our products and services function on a standalone basis and do not require a significant amount of integration or interdependency. Therefore,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17" w:right="359" w:bottom="1440" w:gutter="0" w:footer="0" w:header="0"/>
        </w:sectPr>
      </w:pPr>
    </w:p>
    <w:bookmarkStart w:id="54" w:name="page55"/>
    <w:bookmarkEnd w:id="54"/>
    <w:p>
      <w:pPr>
        <w:ind w:right="80"/>
        <w:spacing w:after="0" w:line="258" w:lineRule="auto"/>
        <w:rPr>
          <w:sz w:val="20"/>
          <w:szCs w:val="20"/>
          <w:color w:val="auto"/>
        </w:rPr>
      </w:pPr>
      <w:r>
        <w:rPr>
          <w:rFonts w:ascii="Times New Roman" w:cs="Times New Roman" w:eastAsia="Times New Roman" w:hAnsi="Times New Roman"/>
          <w:sz w:val="18"/>
          <w:szCs w:val="18"/>
          <w:color w:val="auto"/>
        </w:rPr>
        <w:t>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concept of “probability of collection” of revenue is a significant estimate in the step of “identifying a valid contract,” in ASC 606, as collection need be assessed as “probable,” which is generally considered to be over 75% likely to occur, before revenue can be recognized. Probability estimates hinge upon the management’s assessment of a customer’s financial ability to pay, credit history or past history of payments, and intent to pay. If there is uncertainty regarding the ability of collecting potential revenue in accordance with the terms of a credit agreement at the time of a sale, it may be appropriate to defer revenue recognition or apply a constraint against revenue recognition until payment is received from the customer. Since we have a concentration in our customer base, management carefully assesses the probability of collection from each customer at the time of 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Accounts Receivable</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“current expected credit loss” accounting standard, or “CECL” is the accounting model that is used to measure the valuation of trade accounts receivable. Estimates of expected credit losses on trade receivables are required to be recorded at inception, based on historical information, current conditions, and reasonable and supportable forecasts.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makes complex judgments about future economic conditions, borrower creditworthiness, and historical loss experience. Our customer base is highly concentrated, and many of our customers have limited or no established credit history. As a result, the estimation of expected credit losses involves significant judgment and is subject to a high degree of uncertainty.</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particularly sensitive to changes in the financial condition or payment behavior of individual customers. A default by a single significant customer could have a material impact on our results of operations and financial position. We regularly review and update our estimates as new information becomes available and as economic conditions evolve.</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Given the inherent limitations in the available data and the significant judgment required, actual credit losses may differ materially from our estimates. We believe our approach is reasonable and appropriate given the unique characteristics of our customer base, and we continue to refine our methodology as more information becomes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Realizable Value of Inventories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determination of the net realizable value (“NRV”) of inventory is a critical accounting estimate that requires management judgment. Inventories are stated at the lower of cost or NRV. Cost is determined using the first-in, first-out method. NRV represents the estimated selling price in the ordinary course of business, less reasonably predictable costs of completion, disposal, and transportation.</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Changes in assumptions or market conditions could materially affect the carrying value of our inventory. Once recorded, write-downs to NRV establish a new cost basis and are not subsequently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1417" w:right="379" w:bottom="1440" w:gutter="0" w:footer="0" w:header="0"/>
        </w:sectPr>
      </w:pPr>
    </w:p>
    <w:bookmarkStart w:id="55" w:name="page56"/>
    <w:bookmarkEnd w:id="55"/>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Complex Financial Instruments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financial statements include various instruments with characteristics of both debt and equity, currently including the Committed Equity Facility, earnout shares, warrants trading under the ticker symbol “BZAIW”, and the Polar warrants,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 “Distinguishing Liabilities from Equity,” and ASC 815 — “Derivatives and Hedging”.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Valuation of any financial instrument depends on the underlying characteristics of the instrument, which generally dictate the valuation model to be used. Currently outstanding instruments subject to valuation include the earnout shares, stock options, and the Polar warrants. Previously outstanding instruments subject to valuation have included the Committed Equity Facility, convertible notes and previously outstanding warrants.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earnout shares are valued on a quarterly basis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Polar warrants is determined using the Black-Scholes option pricing model as described above.</w:t>
      </w:r>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of the put option embedded in the Committed Equity Facility at its inception was determined using a Monte Carlo simulation model, as described above. As of December 31, 2025, the fair value of this put option was deemed to be de minimis and was therefore written down to zero.</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fair value of the forward contract embedded in the Committed Equity Facility at each point of issuance of our common stock to B. Riley is the difference between a volume-weighted average purchase price and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17" w:right="35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date closing share price of our common stock. The embedded derivative of the forward contract does not involve a complex valuation model. The fair value of this forward contract as of December 31, 2025 was de minimis.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previous issuance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previous issuance of convertible notes was valued at an assumed market price, and did not involve a complex valuation model.</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17"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2"/>
        </w:trPr>
        <w:tc>
          <w:tcPr>
            <w:tcW w:w="20" w:type="dxa"/>
            <w:vAlign w:val="bottom"/>
          </w:tcPr>
          <w:p>
            <w:pPr>
              <w:spacing w:after="0"/>
              <w:rPr>
                <w:sz w:val="15"/>
                <w:szCs w:val="15"/>
                <w:color w:val="auto"/>
              </w:rPr>
            </w:pPr>
          </w:p>
        </w:tc>
        <w:tc>
          <w:tcPr>
            <w:tcW w:w="4320" w:type="dxa"/>
            <w:vAlign w:val="bottom"/>
            <w:tcBorders>
              <w:bottom w:val="single" w:sz="8" w:color="0000FF"/>
            </w:tcBorders>
            <w:gridSpan w:val="12"/>
          </w:tcPr>
          <w:p>
            <w:pPr>
              <w:spacing w:after="0" w:line="16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6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(PCAOB ID 1195)</w:t>
            </w:r>
          </w:p>
        </w:tc>
        <w:tc>
          <w:tcPr>
            <w:tcW w:w="12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92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jc w:val="center"/>
              <w:ind w:right="520"/>
              <w:spacing w:after="0" w:line="196" w:lineRule="exact"/>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18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120" w:type="dxa"/>
            <w:vAlign w:val="bottom"/>
            <w:gridSpan w:val="1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60" w:type="dxa"/>
            <w:vAlign w:val="bottom"/>
            <w:tcBorders>
              <w:top w:val="single" w:sz="8" w:color="0000FF"/>
            </w:tcBorders>
            <w:gridSpan w:val="8"/>
          </w:tcPr>
          <w:p>
            <w:pPr>
              <w:spacing w:after="0"/>
              <w:rPr>
                <w:sz w:val="18"/>
                <w:szCs w:val="18"/>
                <w:color w:val="auto"/>
              </w:rPr>
            </w:pPr>
          </w:p>
        </w:tc>
        <w:tc>
          <w:tcPr>
            <w:tcW w:w="494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 — Organization and Description of Business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Note 2 — Liquidity and Going Concern</w:t>
            </w:r>
          </w:p>
        </w:tc>
        <w:tc>
          <w:tcPr>
            <w:tcW w:w="592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Note 3 — Summary of Significant Accounting Policies</w:t>
            </w: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4 — Revenue and Accounts Receivable</w:t>
            </w:r>
          </w:p>
        </w:tc>
        <w:tc>
          <w:tcPr>
            <w:tcW w:w="740" w:type="dxa"/>
            <w:vAlign w:val="bottom"/>
            <w:gridSpan w:val="3"/>
          </w:tcPr>
          <w:p>
            <w:pPr>
              <w:spacing w:after="0"/>
              <w:rPr>
                <w:sz w:val="18"/>
                <w:szCs w:val="18"/>
                <w:color w:val="auto"/>
              </w:rPr>
            </w:pP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5 — Fair Value Measurements and Derivative Instruments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Note 6 — Financial Statement Details</w:t>
            </w:r>
          </w:p>
        </w:tc>
        <w:tc>
          <w:tcPr>
            <w:tcW w:w="1840" w:type="dxa"/>
            <w:vAlign w:val="bottom"/>
            <w:gridSpan w:val="9"/>
          </w:tcPr>
          <w:p>
            <w:pPr>
              <w:spacing w:after="0"/>
              <w:rPr>
                <w:sz w:val="18"/>
                <w:szCs w:val="18"/>
                <w:color w:val="auto"/>
              </w:rPr>
            </w:pPr>
          </w:p>
        </w:tc>
        <w:tc>
          <w:tcPr>
            <w:tcW w:w="50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Note 7 — Income Taxes</w:t>
            </w:r>
          </w:p>
        </w:tc>
        <w:tc>
          <w:tcPr>
            <w:tcW w:w="692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8 — Leases and Geographic Location of ROU Assets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Note 9 — Property and Equipment Details and Geographic Location</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Note 10 — Financial Instruments Existing Prior to the Merger</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11 — Common Stock, Currently Outstanding Warrants to Purchase Common Stock, and Earnout Shares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Note 12 — Stock Based Compensation</w:t>
            </w:r>
          </w:p>
        </w:tc>
        <w:tc>
          <w:tcPr>
            <w:tcW w:w="5060" w:type="dxa"/>
            <w:vAlign w:val="bottom"/>
            <w:gridSpan w:val="11"/>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Note 13 — Net Loss per Share of Common Stock</w:t>
            </w:r>
          </w:p>
        </w:tc>
        <w:tc>
          <w:tcPr>
            <w:tcW w:w="60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 14 — Segment Reporting</w:t>
            </w:r>
          </w:p>
        </w:tc>
        <w:tc>
          <w:tcPr>
            <w:tcW w:w="60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15 — Related Party Transactions and Balances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16 — Commitments and Contingencies</w:t>
            </w:r>
          </w:p>
        </w:tc>
        <w:tc>
          <w:tcPr>
            <w:tcW w:w="500" w:type="dxa"/>
            <w:vAlign w:val="bottom"/>
            <w:gridSpan w:val="2"/>
          </w:tcPr>
          <w:p>
            <w:pPr>
              <w:spacing w:after="0"/>
              <w:rPr>
                <w:sz w:val="18"/>
                <w:szCs w:val="18"/>
                <w:color w:val="auto"/>
              </w:rPr>
            </w:pPr>
          </w:p>
        </w:tc>
        <w:tc>
          <w:tcPr>
            <w:tcW w:w="592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Note 17 — Subsequent Events</w:t>
            </w:r>
          </w:p>
        </w:tc>
        <w:tc>
          <w:tcPr>
            <w:tcW w:w="1040" w:type="dxa"/>
            <w:vAlign w:val="bottom"/>
            <w:gridSpan w:val="6"/>
          </w:tcPr>
          <w:p>
            <w:pPr>
              <w:spacing w:after="0"/>
              <w:rPr>
                <w:sz w:val="18"/>
                <w:szCs w:val="18"/>
                <w:color w:val="auto"/>
              </w:rPr>
            </w:pPr>
          </w:p>
        </w:tc>
        <w:tc>
          <w:tcPr>
            <w:tcW w:w="642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3" w:right="339" w:bottom="1440" w:gutter="0" w:footer="0" w:header="0"/>
        </w:sectPr>
      </w:pPr>
    </w:p>
    <w:bookmarkStart w:id="58" w:name="page59"/>
    <w:bookmarkEnd w:id="5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Holdings, Inc. (the “Company”) as of December 31, 2025 and 2024, and the related consolidated statements of operations, changes in stockholders’ equity (deficit), and cash flows for each of the years in the two-year period ended December 31, 2025, and the related notes thereto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to the consolidated financial statements, the Company has incurred recurring operating losses and negative cash flows from operations, has an accumulated deficit, and has historically relied on cash flows from financing activities to fund its operations. These conditions raise substantial doubt about its ability to continue as a going concern. Management’s plans regarding these matters are also described in Note 2. The consolidated financial statements do not include any adjustments that might result from the outcome of this uncertainty.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UHY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413" w:right="37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21590</wp:posOffset>
            </wp:positionV>
            <wp:extent cx="261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6" w:lineRule="exact"/>
        <w:rPr>
          <w:sz w:val="20"/>
          <w:szCs w:val="20"/>
          <w:color w:val="auto"/>
        </w:rPr>
      </w:pPr>
    </w:p>
    <w:p>
      <w:pPr>
        <w:jc w:val="both"/>
        <w:ind w:left="7960"/>
        <w:spacing w:after="0"/>
        <w:tabs>
          <w:tab w:leader="none" w:pos="1006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21590</wp:posOffset>
            </wp:positionV>
            <wp:extent cx="2614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261"/>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45,781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$523 and $420, respectively</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33,363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9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Accounts receivable - related party, net of allowance for credit losses of $34 and $—,</w:t>
            </w:r>
          </w:p>
        </w:tc>
        <w:tc>
          <w:tcPr>
            <w:tcW w:w="740" w:type="dxa"/>
            <w:vAlign w:val="bottom"/>
          </w:tcPr>
          <w:p>
            <w:pPr>
              <w:spacing w:after="0"/>
              <w:rPr>
                <w:sz w:val="15"/>
                <w:szCs w:val="15"/>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3,330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respectively</w:t>
            </w:r>
          </w:p>
        </w:tc>
        <w:tc>
          <w:tcPr>
            <w:tcW w:w="7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7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parties</w:t>
            </w:r>
          </w:p>
        </w:tc>
        <w:tc>
          <w:tcPr>
            <w:tcW w:w="7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tcPr>
          <w:p>
            <w:pPr>
              <w:spacing w:after="0"/>
              <w:rPr>
                <w:sz w:val="22"/>
                <w:szCs w:val="22"/>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96,607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50,237</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8,561</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12,621</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250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71,669</w:t>
      </w:r>
    </w:p>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2,081</w:t>
      </w:r>
    </w:p>
    <w:p>
      <w:pPr>
        <w:spacing w:after="0" w:line="75"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2,157</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1,773</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17145</wp:posOffset>
            </wp:positionV>
            <wp:extent cx="1276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9860" w:space="720"/>
            <w:col w:w="660"/>
          </w:cols>
          <w:pgMar w:left="320" w:top="117" w:right="33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payable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trade payables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 related party</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Working capital loan - related party</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Advances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Legacy Blaize convertible notes and warrants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earnout shares - related party</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Polar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 w:lineRule="exact"/>
        <w:rPr>
          <w:sz w:val="20"/>
          <w:szCs w:val="20"/>
          <w:color w:val="auto"/>
        </w:rPr>
      </w:pPr>
    </w:p>
    <w:p>
      <w:pPr>
        <w:ind w:left="240"/>
        <w:spacing w:after="0" w:line="233" w:lineRule="auto"/>
        <w:rPr>
          <w:sz w:val="20"/>
          <w:szCs w:val="20"/>
          <w:color w:val="auto"/>
        </w:rPr>
      </w:pPr>
      <w:r>
        <w:rPr>
          <w:rFonts w:ascii="Times New Roman" w:cs="Times New Roman" w:eastAsia="Times New Roman" w:hAnsi="Times New Roman"/>
          <w:sz w:val="17"/>
          <w:szCs w:val="17"/>
          <w:color w:val="auto"/>
        </w:rPr>
        <w:t>Common stock - $0.0001 par value; 600,000,000 and 136,562,809 shares authorized as of December 31, 2025 and 2024, respectively, and 122,043,966 and 48,376,052 shares issued</w:t>
      </w:r>
    </w:p>
    <w:p>
      <w:pPr>
        <w:ind w:left="240"/>
        <w:spacing w:after="0"/>
        <w:rPr>
          <w:sz w:val="20"/>
          <w:szCs w:val="20"/>
          <w:color w:val="auto"/>
        </w:rPr>
      </w:pPr>
      <w:r>
        <w:rPr>
          <w:rFonts w:ascii="Times New Roman" w:cs="Times New Roman" w:eastAsia="Times New Roman" w:hAnsi="Times New Roman"/>
          <w:sz w:val="18"/>
          <w:szCs w:val="18"/>
          <w:color w:val="auto"/>
        </w:rPr>
        <w:t>and outstanding as of December 31, 2025 and 2024, respectively</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723"/>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180</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22,838</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6,700</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331</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644</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1,500</w:t>
      </w:r>
    </w:p>
    <w:p>
      <w:pPr>
        <w:spacing w:after="0" w:line="5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2,857</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2769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43,389</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804</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6,745</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2,184</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8,813</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2769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63,211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675,143</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(636,155)</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Times New Roman" w:cs="Times New Roman" w:eastAsia="Times New Roman" w:hAnsi="Times New Roman"/>
          <w:sz w:val="18"/>
          <w:szCs w:val="18"/>
          <w:b w:val="1"/>
          <w:bCs w:val="1"/>
          <w:color w:val="auto"/>
        </w:rPr>
        <w:t>78,495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36830</wp:posOffset>
            </wp:positionV>
            <wp:extent cx="12769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7,904</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14,300</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578</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163,340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1276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186,122</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1,166</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12769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188,958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318,783</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(429,251)</w:t>
      </w:r>
    </w:p>
    <w:p>
      <w:pPr>
        <w:spacing w:after="0" w:line="34" w:lineRule="exact"/>
        <w:rPr>
          <w:sz w:val="20"/>
          <w:szCs w:val="20"/>
          <w:color w:val="auto"/>
        </w:rPr>
      </w:pPr>
    </w:p>
    <w:p>
      <w:pPr>
        <w:sectPr>
          <w:pgSz w:w="11900" w:h="16838" w:orient="portrait"/>
          <w:cols w:equalWidth="0" w:num="3">
            <w:col w:w="6760" w:space="360"/>
            <w:col w:w="2540" w:space="720"/>
            <w:col w:w="8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7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39,000</w:t>
            </w:r>
          </w:p>
        </w:tc>
        <w:tc>
          <w:tcPr>
            <w:tcW w:w="8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(110,463)</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78,495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type w:val="continuous"/>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7"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33"/>
        </w:trPr>
        <w:tc>
          <w:tcPr>
            <w:tcW w:w="7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revenue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Strategic consulting services revenue - related party</w:t>
            </w:r>
          </w:p>
        </w:tc>
        <w:tc>
          <w:tcPr>
            <w:tcW w:w="4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7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48,610</w:t>
            </w:r>
          </w:p>
        </w:tc>
      </w:tr>
      <w:tr>
        <w:trPr>
          <w:trHeight w:val="26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(103,841)</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(47,635)</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64"/>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r>
      <w:tr>
        <w:trPr>
          <w:trHeight w:val="26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(206,687)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(62,147)</w:t>
            </w: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6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(206,904)</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(61,195)</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8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0"/>
        </w:trPr>
        <w:tc>
          <w:tcPr>
            <w:tcW w:w="7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360"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 except shares)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100" w:type="dxa"/>
        <w:tblCellMar>
          <w:top w:w="0" w:type="dxa"/>
          <w:left w:w="0" w:type="dxa"/>
          <w:bottom w:w="0" w:type="dxa"/>
          <w:right w:w="0" w:type="dxa"/>
        </w:tblCellMar>
      </w:tblPr>
      <w:tr>
        <w:trPr>
          <w:trHeight w:val="186"/>
        </w:trPr>
        <w:tc>
          <w:tcPr>
            <w:tcW w:w="1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Common Stock Subject</w:t>
            </w: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60" w:type="dxa"/>
            <w:vAlign w:val="bottom"/>
            <w:gridSpan w:val="2"/>
            <w:vMerge w:val="continue"/>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16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4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35"/>
        </w:trPr>
        <w:tc>
          <w:tcPr>
            <w:tcW w:w="1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5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to Possible Redemption</w:t>
            </w:r>
          </w:p>
        </w:tc>
        <w:tc>
          <w:tcPr>
            <w:tcW w:w="162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09803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ectPr>
          <w:pgSz w:w="11900" w:h="16838" w:orient="portrait"/>
          <w:cols w:equalWidth="0" w:num="1">
            <w:col w:w="11160"/>
          </w:cols>
          <w:pgMar w:left="340" w:top="360" w:right="399" w:bottom="1440" w:gutter="0" w:footer="0" w:header="0"/>
        </w:sect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Retroactive application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recapitalization</w:t>
            </w: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Adjusted balance - January 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120"/>
              <w:spacing w:after="0" w:line="166" w:lineRule="exact"/>
              <w:rPr>
                <w:sz w:val="20"/>
                <w:szCs w:val="20"/>
                <w:color w:val="auto"/>
              </w:rPr>
            </w:pPr>
            <w:r>
              <w:rPr>
                <w:rFonts w:ascii="Times New Roman" w:cs="Times New Roman" w:eastAsia="Times New Roman" w:hAnsi="Times New Roman"/>
                <w:sz w:val="16"/>
                <w:szCs w:val="16"/>
                <w:color w:val="auto"/>
              </w:rPr>
              <w:t>Conversion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notes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Net exercise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 and PIPE financing</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2,854,242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33,061</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Payment on shareholder note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advisors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 to advisor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in redemption value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Redemption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(2,800,489)</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subject to possible redemption</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Lapse of redemption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Exercises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Releases of restricted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issued under</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committed equity facility</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Committed equity facility fee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settled in common stock</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Polar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Excise tax reversal</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13,613,269</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141,496</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(368,056)</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(226,560)</w:t>
            </w:r>
          </w:p>
        </w:tc>
      </w:tr>
      <w:tr>
        <w:trPr>
          <w:trHeight w:val="381"/>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173,342</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48,325,794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314,838</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r>
      <w:tr>
        <w:trPr>
          <w:trHeight w:val="219"/>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48,376,052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318,783</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(429,251)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(110,463)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31,433,259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314,334</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75,057</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11,408,957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(126,164)</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873,486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3,961,729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8,410,321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32,832</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-4247515</wp:posOffset>
            </wp:positionV>
            <wp:extent cx="709803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-3870325</wp:posOffset>
            </wp:positionV>
            <wp:extent cx="70980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-3596005</wp:posOffset>
            </wp:positionV>
            <wp:extent cx="709803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-3115945</wp:posOffset>
            </wp:positionV>
            <wp:extent cx="709803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-2738755</wp:posOffset>
            </wp:positionV>
            <wp:extent cx="709803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-2258695</wp:posOffset>
            </wp:positionV>
            <wp:extent cx="709803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-1881505</wp:posOffset>
            </wp:positionV>
            <wp:extent cx="709803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-1504315</wp:posOffset>
            </wp:positionV>
            <wp:extent cx="709803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-1127125</wp:posOffset>
            </wp:positionV>
            <wp:extent cx="709803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-647065</wp:posOffset>
            </wp:positionV>
            <wp:extent cx="709803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-269875</wp:posOffset>
            </wp:positionV>
            <wp:extent cx="70980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60" w:space="80"/>
            <w:col w:w="5820"/>
          </w:cols>
          <w:pgMar w:left="340" w:top="360" w:right="39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36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  $</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  $</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122,043,966</w:t>
            </w:r>
          </w:p>
        </w:tc>
        <w:tc>
          <w:tcPr>
            <w:tcW w:w="2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  $</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  675,143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(636,155)</w:t>
            </w:r>
          </w:p>
        </w:tc>
        <w:tc>
          <w:tcPr>
            <w:tcW w:w="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39,000</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098030"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60"/>
          </w:cols>
          <w:pgMar w:left="340" w:top="360" w:right="39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33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Pr>
          <w:p>
            <w:pPr>
              <w:spacing w:after="0"/>
              <w:rPr>
                <w:sz w:val="16"/>
                <w:szCs w:val="16"/>
                <w:color w:val="auto"/>
              </w:rPr>
            </w:pPr>
          </w:p>
        </w:tc>
      </w:tr>
      <w:tr>
        <w:trPr>
          <w:trHeight w:val="37"/>
        </w:trPr>
        <w:tc>
          <w:tcPr>
            <w:tcW w:w="7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0"/>
        </w:trPr>
        <w:tc>
          <w:tcPr>
            <w:tcW w:w="7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20"/>
                <w:szCs w:val="20"/>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 charge on Legacy Blaize convertible notes</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expense related to issuance of common stock</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expense related to issuance of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 - related party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trade payables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(73,751)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(53,532)</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in escrow</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common stock to Polar, net of offering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Proceeds from issuance of common stock, net of financing charge on the committed equity</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1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demand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Legacy Blaize convertible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70,101</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101,709</w:t>
            </w: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36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34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6"/>
                <w:szCs w:val="16"/>
                <w:color w:val="auto"/>
              </w:rPr>
            </w:pPr>
          </w:p>
        </w:tc>
      </w:tr>
      <w:tr>
        <w:trPr>
          <w:trHeight w:val="37"/>
        </w:trPr>
        <w:tc>
          <w:tcPr>
            <w:tcW w:w="7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0"/>
        </w:trPr>
        <w:tc>
          <w:tcPr>
            <w:tcW w:w="7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47,275</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6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7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w:t>
            </w:r>
          </w:p>
        </w:tc>
      </w:tr>
      <w:tr>
        <w:trPr>
          <w:trHeight w:val="230"/>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taxes - State</w:t>
            </w:r>
          </w:p>
        </w:tc>
        <w:tc>
          <w:tcPr>
            <w:tcW w:w="126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taxes - Foreign (India)</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refund received for taxes - Foreign (United Kingdom)</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paid for taxes, net of refunds</w:t>
            </w:r>
          </w:p>
        </w:tc>
        <w:tc>
          <w:tcPr>
            <w:tcW w:w="126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0"/>
        </w:trPr>
        <w:tc>
          <w:tcPr>
            <w:tcW w:w="7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Legacy Blaize convertible notes to common stock</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 of Legacy Blaize warrants for common stock</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w:t>
            </w: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Legacy Blaize warrants with Legacy Blaize convertible notes</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Reversal of excise tax accrual to additional paid-in-capital</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w:t>
            </w:r>
          </w:p>
        </w:tc>
        <w:tc>
          <w:tcPr>
            <w:tcW w:w="1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committed equity facility</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360" w:right="339" w:bottom="1440" w:gutter="0" w:footer="0" w:header="0"/>
        </w:sectPr>
      </w:pPr>
    </w:p>
    <w:bookmarkStart w:id="64" w:name="page65"/>
    <w:bookmarkEnd w:id="6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consolidated financial statements of the Company, after the Merger (as defined below), include the accounts of the Company and its wholly owned subsidiaries. Prior to the Merger, the Company’s consolidated financial statements included that of Legacy Blaize, as defined below, and included the accounts of Legacy Blaize and its wholly owned subsidiaries.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provides purpose-built, transformative artificial intelligence (“AI”)-enabled edge computing solutions comprised of both its proprietary hardware and software, and complementary third-party hardware solutions, as further described below.</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spacing w:after="0" w:line="2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 The Company’s principal market for its products is currently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January 13, 2025 (the “Closing Date”), Merger Sub merged with and into Legacy Blaize, with Legacy Blaize surviving the Merger as a wholly owned subsidiary of the Company.</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Merger, BurTech LP, LLC (“BurTech LP” or the “Sponsor”) was the sponsor of BurTech, and after the consummation of the Merger, the Sponsor and its affiliated entities remained significant shareholders in the Company and are therefore considered related parties. Concurrent with the Merger, BurTech was renamed “Blaize Holdings, Inc.” Beginning on January 14, 2025, Blaize’s common stock and warrants began trading on The Nasdaq Stock Market LLC (“Nasdaq”) under the ticker symbols “BZAI” and “BZAIW,”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with BurTech treated as the acquired company and Legacy Blaize treated as the acquirer for financial reporting purposes. This accounting treatment was equivalent to Legacy Blaize issuing stock for the net assets of BurTech, accompanied by a recapitalization whereby no goodwill or other intangible assets were recorded. Operations prior to the Merger are those of Legacy Blaize. Upon the consummation of the Merger, each share of Legacy Blaize common stock issued and outstanding was canceled and converted into the right to receive approximately 0.78 shares (the “Exchange Ratio”) of common stock of BurTech. For periods prior to the Merger, the reported share and per share amounts have been retroactively converted by applying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80"/>
          </w:cols>
          <w:pgMar w:left="320" w:top="117" w:right="39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net cash proceeds received and the net non-cash liabilities assumed by the Company as a result of the Merger:</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BurTech trust and cash, net of redemption</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PIPE</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transaction and advisory costs paid by BurTech</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23"/>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proceeds from the Merger</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Merger and PIPE financing</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(126,164)</w:t>
            </w:r>
          </w:p>
        </w:tc>
      </w:tr>
      <w:tr>
        <w:trPr>
          <w:trHeight w:val="20"/>
        </w:trPr>
        <w:tc>
          <w:tcPr>
            <w:tcW w:w="9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 and Going Concern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on hand of $45.8 million and accounts receivable less allowance for credit losses of $33.4 million, while accounts payable along with and accrued expenses and other current liabilities (excluding amounts due to related parties) and accrued trade payables totaled $37.9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17" w:right="3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and for the year ended December 31, 2025, the Company funded its operations by using cash generated from financing activities and at the same time, has incurred negative cash flows from operations. Cash provided by financing activities was $70.1 million and $101.7 million for the years ended December 31, 2025 and 2024, respectively, and cash used in operations was $73.8 million and $53.5 million for the years ended December 31, 2025 and 2024, respectively.</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historically incurred recurring operating losses, including a loss from operations of $103.8 million and $47.6 million for the years ended December 31, 2025 and 2024, respectively.</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above, in connection with its assessment of going concern considerations in accordance with Financial Accounting Standards Board’s (“FASB”) Accounting Standards Codification (“ASC”) 205-40-50 — “Going Concern — Disclosure,” management has determined that the Company’s liquidity condition raises substantial doubt about its ability to continue as a going concern through one year from the date that these consolidated financial statements have been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(“GAAP”) and reflect all adjustments, including normal recurring adjustments, which, in the opinion of management, are necessary to present fairly the financial position, results of operations, and cash flows for the periods presented in accordance with GAAP. The consolidated financial statements include the financial statements of the Company and its wholly-owned subsidiaries. All intercompany balances and transactions have been eliminated upon consolidation. The Company has no other comprehensive income or loss, therefore net loss was equal to other comprehensive loss for all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required to make estimates and assumptions when preparing our consolidated financial statements in accordance with GAAP. These estimates and assumptions affect the amounts reported in our consolidated financial statements and the accompanying notes. Actual results could differ materially from those estimates. As future events and their effects cannot be determined with precision, actual results could differ significantly from these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The Company’s cash equivalents are currently primarily comprised of money market funds, and, as of December 31, 2024, also included U.S. Government treasury securities. The Company has cash deposits in a financial institution that, at times, may be in excess of Federal Deposit Insurance Corporation (“FDIC”) insurance limits.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“Fair Value Measurements and Derivative Instruments” for details regarding the composition of the Company’s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17"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December 31, 2025 and 2024, restricted cash of $0.3 million was included as a long-term asset within “other assets”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Company recognizes an allowance for current expected credit losses (“CECL”) in accordance with ASC 326 — “Financial Instruments - Credit Losses” on accounts receivable at the time the receivable is initially recorded (“Day One”), and subsequently according to an aging schedule. The Day One provision is set at 1% of the gross accounts receivable balance, reflecting management’s judgment of the current estimate of expected losses on Day One of the establishment of the receivable.</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to the Day One provision, the Company utilizes an aging schedule to monitor and assess the collectability of outstanding receivables. Receivables are categorized into aging buckets (e.g., current, 1–30 days past due, 31–60 days past due, 61–90 days past due, and over 90 days past due). The Company reviews the aging schedule at each reporting period and adjusts the allowance for credit losses as necessary, considering factors such as customer-specific risks, historical loss trends, and macroeconomic conditions. The allowance for credit losses is reviewed and updated quarterly, or more frequently if circumstances warrant.</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the limited number of customers and the Company’s relatively short operating history, there is insufficient data to establish a robust historical loss rate for the implementation of the receivables aging model. As a result, the Company is not applying a traditional aging of receivables approach to estimate credit losses. Instead, management currently evaluates the collectability of accounts receivable on a customer-by-customer basis, considering all available information relevant to each customer’s credit risk and payment history. This individualized assessment allows the Company to gather data to make reasonable and supportable estimates of expected credit losses, even in the absence of significant historical loss experience. The Company continues to refine its CECL process as more data becomes available and will adjust its methodology accordingly to reflect the evolving risk profile of its receivables portfolio.</w:t>
      </w: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Account balances are charged off against the allowance (“written off”) after all means of attempted collection indicate that the potential for recovery is considered remote.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Inventories, net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raw materials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The liability balances of the Company’s accrued losses on purchase commitments as of December 31, 2025 and 2024 are set forth in Note 6 — “Financial Statement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17" w:right="35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is substantially comprised of server and network equipment, laptop computers, and software. Property and equipment are stated at cost less accumulated depreciation. Depreciation is computed using the straight-line method over the useful life of the asset. All of the Company’s depreciation expense for the years ended December 31, 2025 and 2024 as presented on the consolidated statements of operations related to the depreciation of property and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Impairment of long-lived assets is performed at the lowest level of an “asset group,” as further described below, and generally involves assessing if a triggering event of impairment has occurred (a “triggering event”) and if a triggering event has occurred, comparing the sum of the asset group’s expected undiscounted future cash flows to the carrying value of assets (a “recoverability test”).</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as a whole is considered the lowest level of the asset group. As the Company is in the position of substantial doubt regarding its ability to continue as a going concern, the sum of undiscounted future cash flows would be considered negative and both the carrying amount of the assets and the fair value of the assets would therefore exceed the sum of the undiscounted future cash flows if a triggering event were deemed to have occurred and a recoverability test were to be performed. An impairment would thus generally only be recognized on a triggering event that would require the Company to consider the carrying values compared to the fair values of its assets using the liquidation basis of accounting. No such triggering events occurred during the year ended December 31, 2025.</w:t>
      </w: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also assesses the remaining useful lives of long-lived assets, and records a prospective acceleration of depreciation should the estimated useful lives of its long-lived assets be evaluated as shorter than their original estimated useful lives. No significant accelerations of depreciation were recorded for the years ended December 31,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2025 and 2024, the Company had no finance leases.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an element of variable payments for taxes, parking, and common area maintenance. Variable lease payments are expensed as incurred and not included in the operating lease ROU assets and lease liabilities.</w:t>
      </w:r>
    </w:p>
    <w:p>
      <w:pPr>
        <w:spacing w:after="0" w:line="21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17" w:right="3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vs. equity classification of complex financial instruments</w:t>
      </w:r>
    </w:p>
    <w:p>
      <w:pPr>
        <w:spacing w:after="0" w:line="25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accounts for complex financial instruments as either equity-classified or liability-classified instruments based on an assessment of the instrument’s specific terms and applicable authoritative guidance in ASC 480 — “Distinguishing Liabilities from Equity” (“ASC 480”) and ASC 815 — “Derivatives and Hedging” (“ASC 815”). The assessment considers whether the instruments are freestanding financial instruments pursuant to ASC 480, meet the definition of a liability pursuant to ASC 480, and, if not classified as a liability, if the accounting meets the requirements for derivative classification under ASC 815, which is precluded if the instruments are indexed to the Company’s own common stock, or meet the other conditions for equity classification. This assessment, which requires the use of management’s judgment, is conducted at the time of the instrument’s issuance, as well as each subsequent reporting period-end date while any given complex financial instrument is outstanding.</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at their initial fair value on the date of issuance, and each balance sheet date thereafter, until the instrument is either reclassified into equity by modification or expires by its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derives all its revenue from contracts with customers, including sales of hardware and software products and strategic consulting services, all as further described below. The Company recognizes revenue under ASC 606, Revenue from Contracts with Customers (“ASC 606”), in which it determines revenue recognition through the following steps: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If there is uncertainty regarding the ability of collecting potential revenue at the time of a sale, the Company may determine that it may be appropriate to defer revenue recognition or apply a constraint against revenue recognition until payment is received from the customer.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At contract inception, the Company will evaluate whether two or more contracts should be combined and accounted for as a single contract and whether the combined or single contract includes more than one performance obligation.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17" w:right="339" w:bottom="1440" w:gutter="0" w:footer="0" w:header="0"/>
        </w:sectPr>
      </w:pPr>
    </w:p>
    <w:bookmarkStart w:id="70" w:name="page71"/>
    <w:bookmarkEnd w:id="7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5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which is generally at a point in time, unless a revenue recognition deferral or constraint is deemed applicable. The Company offers unspecified upgrades and support on certain products, however, the related revenue has historically not been material.</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Revenue from services is recognized at the time the related performance obligation is satisfied by transferring the control of the promised service to a customer. Revenue in respect of services, including strategic consulting services or marketing services, is recognized over the contractual terms during which the Company provides services over a period of time.</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 which warranties are not material for accrual.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hardware products and materials and associated freight expense, and direct labor costs when applicable as well as indirect costs such as inventory carrying costs and inventory valuation reserves. There is no depreciation allocable to cost of revenue; however, if such depreciation expense were to be incurred, it would be allocated to cost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60"/>
          </w:cols>
          <w:pgMar w:left="320" w:top="117" w:right="419" w:bottom="1440" w:gutter="0" w:footer="0" w:header="0"/>
        </w:sectPr>
      </w:pPr>
    </w:p>
    <w:bookmarkStart w:id="71" w:name="page72"/>
    <w:bookmarkEnd w:id="7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grants restricted stock units (“RSUs”) to employees, consultants, and directors which vest upon the satisfaction of a service-based condition. The fair value of RSUs is determined based on the fair value of common stock at the date of grant. Due to the Merger that occurred during the year ended December 31,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Forfeitures are recognized as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cost of revenues, and operating expenses are remeasured at the average exchange rates in effect during each reporting period. The resulting transaction gains or losses are recognized in other, net, in the consolidated statements of operations. During the years ended December 31, 2025 and 2024, foreign currency transaction gains and losses were immaterial.</w:t>
      </w:r>
    </w:p>
    <w:p>
      <w:pPr>
        <w:spacing w:after="0" w:line="21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the Company’s reporting and functional currency is the USD, there is no cumulative translation adjustment; thus, the Company does not have accumulated other comprehensive income or loss on its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each an “ASU”) issued by the Financial Accounting Standards Board (“FASB”). The following ASUs were adopted by the Company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 (“ASU 2023-09”)</w:t>
      </w:r>
    </w:p>
    <w:p>
      <w:pPr>
        <w:spacing w:after="0" w:line="2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requiring greater disaggregation of income statement disclosures related to the income tax rate reconciliation, income taxes paid, and other disclosures.</w:t>
      </w:r>
    </w:p>
    <w:p>
      <w:pPr>
        <w:spacing w:after="0" w:line="189" w:lineRule="exact"/>
        <w:rPr>
          <w:sz w:val="20"/>
          <w:szCs w:val="20"/>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rate reconciliation – ASU 2023-09 requires disclosing additional information in specified categories to reconcile the effective tax rate to the statutory rate (the rate reconciliation) for federal, state, and foreign income taxes. It also requires greater detail about individual reconciling items in the rate reconciliation to the extent the impact of those items exceeds a specified threshold.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117" w:right="4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 ASU 2023-09 requires disclosing information about taxes paid (net of refunds received) to be disaggregated for federal, state, and foreign taxes and further disaggregated for specific jurisdictions to the extent the related amounts exceed a quantitative threshold.</w:t>
      </w:r>
    </w:p>
    <w:p>
      <w:pPr>
        <w:ind w:left="660" w:right="80" w:hanging="328"/>
        <w:spacing w:after="0" w:line="25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disclosures – ASU 2023-09 requires disclosing income (or loss) from continuing operations before income tax expense (or benefit) disaggregated between domestic and foreign, and income tax expense (or benefit) from continuing operations disaggregated by federal (national), state, and foreign.</w:t>
      </w:r>
    </w:p>
    <w:p>
      <w:pPr>
        <w:spacing w:after="0" w:line="2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amendments in ASU 2023-09 eliminated the requirement for all entities to (1) disclose the nature and estimate of the range of the reasonably possible change in the unrecognized tax benefits balance in the next 12 months or (2) make a statement that an estimate of the range cannot be made. The amendments in this update also removed the requirement to disclose the cumulative amount of each type of temporary difference when a deferred tax liability is not recognized because of the exceptions to comprehensive recognition of deferred taxes related to subsidiaries and corporate joint ventures.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amendments in ASU 2023-09 became effective for annual periods beginning after December 15, 2024. The Company adopted ASU 2023-09 prospectively for the year ended December 31, 2025. See Note 7 — “Income Taxes”. Since this new ASU addresses only disclosures, its adoption did not have any effect on the Company’s financial position, results of operations, or cash flows.</w:t>
      </w:r>
    </w:p>
    <w:p>
      <w:pPr>
        <w:spacing w:after="0" w:line="201"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ASU 2025-05, Financial Instruments—Credit Losses (Topic 326): Measurement of Credit Losses for Accounts Receivable and Contract Assets (“ASU 2025-05”)</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This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ASC 606. This guidance is effective for the Company beginning on January 1, 2026, and early adoption is permitted. The amendments in this ASU should be applied prospectively. The Company has elected to early adopt the provisions of this practical expedient, and the adoption of this practical expedient did not have a material effect on the Company’s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ASUs not listed below were assessed and determined to be either not applicable or are not expected to have a material effect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 (“ASU 2024-03”)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4, 2024, the FASB issued ASU 2024-03 requiring additional income tax disclosures related to certain costs and expenses as listed below:</w:t>
      </w:r>
    </w:p>
    <w:p>
      <w:pPr>
        <w:spacing w:after="0" w:line="252" w:lineRule="exact"/>
        <w:rPr>
          <w:sz w:val="20"/>
          <w:szCs w:val="20"/>
          <w:color w:val="auto"/>
        </w:rPr>
      </w:pPr>
    </w:p>
    <w:p>
      <w:pPr>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amounts of (a) purchases of inventory, (b) employee compensation, (c) depreciation, (d) intangible asset amortization, and (e) depreciation, depletion, and amortization recognized as part of oil and gas producing activities (or other amounts of depletion expense) included in each relevant expense caption.</w:t>
      </w:r>
    </w:p>
    <w:p>
      <w:pPr>
        <w:spacing w:after="0" w:line="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certain amounts that are already required to be disclosed under current U.S. GAAP in the same disclosure as the other disaggregation requirements.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a qualitative description of the amounts remaining in relevant expense captions that are not separately disaggregated quantitatively.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total amount of selling expenses and, in annual reporting periods, an entity’s definition of selling expenses.</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amendments in ASU 2024-03 are effective for annual reporting periods beginning after December 15, 2026, and interim reporting periods beginning after December 15, 2027. Early adoption is permitted. They should be applied either prospectively to financial statements issued for reporting periods after the effective date or retrospectively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17"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or all prior periods presented in the consolidated financial statements. The Company is currently evaluating the effect of this new guidance on the consolidated financial statement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2025-11, Interim Reporting (Topic 270): Narrow Scope Improvements (“ASU 2025-11”)</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8, 2025, the FASB issued ASU 2025-11 to clarify the current interim disclosure requirements and the applicability of ASC 270 — “Interim Reporting” (“ASC 270”). The ASU creates a comprehensive list of interim disclosures in ASC 270 that are required in interim financial statements and the accompanying notes under GAAP. It also incorporates a disclosure principle requiring entities to disclose in interim periods events and changes that occur after the end of the most recent annual reporting period that have a material impact on the entity. ASU 2025-11 also clarifies that SEC registrants are required to refer to existing SEC guidance, such as Rule 10-01 of Regulation S-X, since those rules provide form and content requirements for condensed financial statements. ASU 2025-11 will be effective for interim and annual reporting periods beginning after 2027, which will be first quarter of fiscal 2028 for the Company. Early adoption is permitted, and the guidance can be applied prospectively or retrospectively. Since ASU 2025-11 is disclosure-related only, its adoption is not expected to have an effect on the Company’s financial position, results of operations, or cash flows. The Company is currently evaluating the disclosure guidance in ASU 2025-11 to determine if any new or amended disclosures will be required upon adoption.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by geographical location, determined by reference to the customer’s shipping location for the years ended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4"/>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78.19 %</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21.36 %</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based on the method of revenue recognition for the years ended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concentrations in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76.77%</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 (3)</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related parties to the Company.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2025, “Others” included $3.4 million in revenue from a related party.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Constrained revenue and variable consideration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years ended December 31, 2025 and 2024, the Company had no revenue that was subject to constraint or variable consideration.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revenue-related matters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no contract assets (unbilled receivables) and no material contract liabilities (deferred revenue) as of December 31, 2025 and 2024. The Company did not have any outstanding or unsatisfied performance obligations as of December 31, 2025 and 2024. The Company did not have material costs related to obtaining a contract, or fulfilling a contract that are not addressed by other accounting standards, with amortization periods greater than one year as of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Normal credit terms for the Company’s accounts receivable are generally up to net 30 days, although credit terms for a customer sale that occurred in the fourth quarter of 2025 included credit terms up to 90 days. As of December 31, 2025, the Company’s accounts receivable, excluding accounts receivable due from a related party, were 69% current, 26% over 60 days past due, and 5% over 90 days past due.</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that were due from a related party were substantially all 90 days past due as of December 31, 2025, but were collected in full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balances and activity within the Company’s provision for credit losses as of and for the years ended December 31, 2025 and 2024 are set forth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 - related party</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
        </w:trPr>
        <w:tc>
          <w:tcPr>
            <w:tcW w:w="9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recoveries of the provision for credit losses during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of accounts receivable</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summary of the Company’s concentration of accounts receivable, including accounts receivable due from a related party, by customer, as of the year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4"/>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(1) (2)</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(3) (4)</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including due from related party</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18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18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including due from related party</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180" w:type="dxa"/>
            <w:vAlign w:val="bottom"/>
          </w:tcPr>
          <w:p>
            <w:pPr>
              <w:spacing w:after="0"/>
              <w:rPr>
                <w:sz w:val="19"/>
                <w:szCs w:val="19"/>
                <w:color w:val="auto"/>
              </w:rPr>
            </w:pPr>
          </w:p>
        </w:tc>
      </w:tr>
      <w:tr>
        <w:trPr>
          <w:trHeight w:val="21"/>
        </w:trPr>
        <w:tc>
          <w:tcPr>
            <w:tcW w:w="7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from customers located in China.</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Subsequent to December 31, 2025, the Company received payments of $15.2 million from this customer.</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receivable due from a related party of $3.4 million, which was paid in full subsequent to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 and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w:t>
      </w:r>
    </w:p>
    <w:p>
      <w:pPr>
        <w:ind w:right="80" w:firstLine="8"/>
        <w:spacing w:after="0" w:line="265" w:lineRule="auto"/>
        <w:tabs>
          <w:tab w:leader="none" w:pos="2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“Fair Value Measurements,” requires fair value measurements be classified and disclosed in one of the following pricing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Carrying amounts that approximate fair value</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deferred tax assets, operating lease ROU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Company’s financial instruments measured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financial assets and liabilities measured at fair value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230"/>
        </w:trPr>
        <w:tc>
          <w:tcPr>
            <w:tcW w:w="4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$2.2 million in earnout shares -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0" w:type="dxa"/>
            <w:vAlign w:val="bottom"/>
          </w:tcPr>
          <w:p>
            <w:pPr>
              <w:spacing w:after="0"/>
              <w:rPr>
                <w:sz w:val="18"/>
                <w:szCs w:val="18"/>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Blaize convertible notes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1"/>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2025 and 2024.</w:t>
      </w:r>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for the years ended December 31, 2025 and December 31, 2024 about the Company’s Level 3 liabilities measured at fair value on a 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issuance of Legacy Blaize convertible notes and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111,182</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165,703</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60,345</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 and exercise of Legacy Blaize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(389,387)</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other earnout shares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126,042</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Polar warrants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significant Level 3 inputs as of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 valued using Level 3</w:t>
            </w: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gridSpan w:val="2"/>
            <w:vMerge w:val="continue"/>
          </w:tcPr>
          <w:p>
            <w:pPr>
              <w:spacing w:after="0"/>
              <w:rPr>
                <w:sz w:val="2"/>
                <w:szCs w:val="2"/>
                <w:color w:val="auto"/>
              </w:rPr>
            </w:pP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methods</w:t>
            </w:r>
          </w:p>
        </w:tc>
        <w:tc>
          <w:tcPr>
            <w:tcW w:w="254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16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w:t>
            </w:r>
          </w:p>
        </w:tc>
        <w:tc>
          <w:tcPr>
            <w:tcW w:w="14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19"/>
                <w:szCs w:val="19"/>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4.87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earnout shares</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 Carlo Simulation</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(continuous)</w:t>
            </w:r>
          </w:p>
        </w:tc>
        <w:tc>
          <w:tcPr>
            <w:tcW w:w="46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(interpolated)</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(continuous)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19"/>
                <w:szCs w:val="19"/>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4.04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Legacy Blaize convertible</w:t>
            </w: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Assumed market price</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22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40" w:type="dxa"/>
            <w:vAlign w:val="bottom"/>
            <w:gridSpan w:val="2"/>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6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0" w:firstLine="8"/>
        <w:spacing w:after="0" w:line="258" w:lineRule="auto"/>
        <w:tabs>
          <w:tab w:leader="none" w:pos="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convertible notes were issued in a number of different tranches. The assumptions for recording these instruments at fair value involved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each tranche of Legacy Blaize convertible notes under each event scenario was discounted back to the valuation date using a discount rate aligned with the Company’s assumed credit rating and the weighted average present value of each scenario as assumed by management.</w:t>
      </w:r>
    </w:p>
    <w:p>
      <w:pPr>
        <w:spacing w:after="0" w:line="210" w:lineRule="exact"/>
        <w:rPr>
          <w:sz w:val="20"/>
          <w:szCs w:val="20"/>
          <w:color w:val="auto"/>
        </w:rPr>
      </w:pPr>
    </w:p>
    <w:p>
      <w:pPr>
        <w:ind w:right="60" w:firstLine="8"/>
        <w:spacing w:after="0" w:line="254" w:lineRule="auto"/>
        <w:tabs>
          <w:tab w:leader="none" w:pos="2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warrants were issued in a number of different tranches. Certain of the Legacy Blaize warrants were issued along with convertible notes, and others were issued separately. All were considered freestanding financial instruments. The 2023 issuance-date tranches of the Legacy Blaize warrants were valued using the Black-Scholes option pricing model probability-weighted for the same future event scenarios as used in the Legacy Blaize convertible notes, wherein the warrant strike price and the fair value of the respective conversion shares was calculated for each of participation group with different percentages. The fair value of other Legacy Blaize warrants issued in 2024 was valued using the Black-Scholes option pricing model, as probability-weighted for future event scenarios as defined in the associated convertible note agreement. The exercise price for that warrant tranche was a floating exercise price and thus was estimated using a Monte Carlo simulation model. The fair value of other Legacy Blaize warrants issued in 2024 separately from a convertible note issuance was estimated based on a probability-weighted approach of scenarios, including the scenarios that the Merger would and would not be consummated.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Merger and during the year ended December 31, 2025, the Company’s derivatives were comprised of:</w:t>
      </w:r>
    </w:p>
    <w:p>
      <w:pPr>
        <w:spacing w:after="0" w:line="25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Earnout Shares, representing a freestanding structured forward contract;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Polar warrants, representing a freestanding liability-classified derivative instrument; and</w:t>
      </w:r>
    </w:p>
    <w:p>
      <w:pPr>
        <w:spacing w:after="0" w:line="9"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Committed Equity Facility, which upon execution on July 14, 2025, was considered a freestanding purchased put right, with each draw on the Committed Equity Facility considered an embedded forward contract.</w:t>
      </w:r>
    </w:p>
    <w:p>
      <w:pPr>
        <w:spacing w:after="0" w:line="2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the remaining value of the freestanding purchased put right of the Committed Equity Facility was considered nominal, and was marked to zero. No draws on the Committed Equity Facility were outstanding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Merger, and as of December 31, 2024, certain of the Legacy warrants were considered derivative financial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Financial Statement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net” as of December 31, 2025 and 2024 and significant activity within the balances of inventories during the years ended December 31, 2025 and 2024 are set forth on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0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154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 in progress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 - manufactured</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manufactured inventories</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1"/>
        </w:trPr>
        <w:tc>
          <w:tcPr>
            <w:tcW w:w="636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5"/>
        </w:trPr>
        <w:tc>
          <w:tcPr>
            <w:tcW w:w="6360" w:type="dxa"/>
            <w:vAlign w:val="bottom"/>
          </w:tcPr>
          <w:p>
            <w:pPr>
              <w:spacing w:after="0"/>
              <w:rPr>
                <w:sz w:val="24"/>
                <w:szCs w:val="24"/>
                <w:color w:val="auto"/>
              </w:rPr>
            </w:pPr>
          </w:p>
        </w:tc>
        <w:tc>
          <w:tcPr>
            <w:tcW w:w="418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As of and for the years ended December 31,</w:t>
            </w:r>
          </w:p>
        </w:tc>
        <w:tc>
          <w:tcPr>
            <w:tcW w:w="700" w:type="dxa"/>
            <w:vAlign w:val="bottom"/>
            <w:tcBorders>
              <w:bottom w:val="single" w:sz="8" w:color="auto"/>
            </w:tcBorders>
          </w:tcPr>
          <w:p>
            <w:pPr>
              <w:spacing w:after="0"/>
              <w:rPr>
                <w:sz w:val="24"/>
                <w:szCs w:val="24"/>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Beginning balance - finished goods - resale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 of finished goods - resale </w:t>
            </w:r>
            <w:r>
              <w:rPr>
                <w:rFonts w:ascii="Times New Roman" w:cs="Times New Roman" w:eastAsia="Times New Roman" w:hAnsi="Times New Roman"/>
                <w:sz w:val="23"/>
                <w:szCs w:val="23"/>
                <w:color w:val="auto"/>
                <w:vertAlign w:val="superscript"/>
              </w:rPr>
              <w:t>(2)</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finished goods - resale</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 - finished goods - resale</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54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Finished goods - resale is comprised of purchased hardware, primarily servers.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Supplier concentration for “Purchase of finished goods - resale” is concentrated between two suppliers located in China.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“accrued trade payables” of $22.8 million on the Company’s consolidated balance sheet was payable for the Company’s purchase of finished goods - resale, which had been sold to a customer and thus was included in “cost of revenue” on the Company’s consolidated statements of operations for the year ended December 31, 2025. Subsequent to December 31, 2025, the Company paid $15.8 million on this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December 31, 2025 and 2024 are set forth on the table,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6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Prepaid expenses: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software licenses and maintenance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compensation</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prepaid expenses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offering costs</w:t>
            </w:r>
          </w:p>
        </w:tc>
        <w:tc>
          <w:tcPr>
            <w:tcW w:w="580" w:type="dxa"/>
            <w:vAlign w:val="bottom"/>
          </w:tcPr>
          <w:p>
            <w:pPr>
              <w:spacing w:after="0"/>
              <w:rPr>
                <w:sz w:val="23"/>
                <w:szCs w:val="23"/>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Vendor deposits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assets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4,003</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accrued expenses and other current liabilities is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2,787</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1,685</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6,124</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purchase commitments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3,289</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technology fees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2,104</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603</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tcPr>
          <w:p>
            <w:pPr>
              <w:spacing w:after="0"/>
              <w:rPr>
                <w:sz w:val="22"/>
                <w:szCs w:val="22"/>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14,300</w:t>
            </w:r>
          </w:p>
        </w:tc>
      </w:tr>
      <w:tr>
        <w:trPr>
          <w:trHeight w:val="20"/>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
        <w:spacing w:after="0" w:line="222" w:lineRule="auto"/>
        <w:tabs>
          <w:tab w:leader="none" w:pos="187"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assets includes corporate income tax receivables, sale taxes receivable and withholding taxes related to compensation as of December 31, 2025 and sale taxes receivable and withholding taxes related to compensation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domestic and foreign components of the Company’s loss before income taxes: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(209,230)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(64,690)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2,543</w:t>
            </w: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(206,687)</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(62,147)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17"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provision for (benefit from) income taxes are set forth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States</w:t>
            </w:r>
          </w:p>
        </w:tc>
        <w:tc>
          <w:tcPr>
            <w:tcW w:w="58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w:t>
            </w:r>
          </w:p>
        </w:tc>
        <w:tc>
          <w:tcPr>
            <w:tcW w:w="58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for income taxes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Deferred income taxes were comprised solely of foreign taxes as of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set forth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3"/>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6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(206,687)</w:t>
            </w:r>
          </w:p>
        </w:tc>
        <w:tc>
          <w:tcPr>
            <w:tcW w:w="16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(43,404)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17,842</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Transaction costs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63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Change in fair value of Legacy Blaize convertible notes and warrants and Polar</w:t>
            </w:r>
          </w:p>
        </w:tc>
        <w:tc>
          <w:tcPr>
            <w:tcW w:w="5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46,604</w:t>
            </w:r>
          </w:p>
        </w:tc>
        <w:tc>
          <w:tcPr>
            <w:tcW w:w="16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(24,594)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California state taxes made up more than 50% of the tax effect in this category.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80"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set forth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3"/>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6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(62,147)</w:t>
            </w:r>
          </w:p>
        </w:tc>
        <w:tc>
          <w:tcPr>
            <w:tcW w:w="16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(13,049)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remeasurement of warranty liability</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3,302</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Uncertain tax position</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only adjustment to beginning deferred balances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10,290</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as of December 31, 2025 and 2024 are set forth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68,847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55,739</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5,678</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(Section 174)</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17,767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13,423</w:t>
            </w:r>
          </w:p>
        </w:tc>
      </w:tr>
      <w:tr>
        <w:trPr>
          <w:trHeight w:val="230"/>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asset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102,662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78,060</w:t>
            </w:r>
          </w:p>
        </w:tc>
      </w:tr>
      <w:tr>
        <w:trPr>
          <w:trHeight w:val="229"/>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(100,506)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(75,826)</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and expected future losses and, as such, management does not believe it is more likely than not that the deferred tax assets will be realized. Accordingly, a full valuation allowance has been established in the U.S. and the Philippines. The valuation allowance as of December 31, 2025 and 2024 was $100.5 million and $75.8 million, respectively. The increase of</w:t>
      </w:r>
    </w:p>
    <w:p>
      <w:pPr>
        <w:spacing w:after="0" w:line="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$24.7 million in the Company’s valuation allowance as of December 31, 2025 compared to December 31, 2024 was due to increases in deferred taxes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U.S. federal and U.S. state net operating loss carryforwards of $256.6 million and $213.8 million, respectively. The U.S. federal and U.S. state net operating loss carryforwards will begin to expire in 2030. As of December 31, 2025, the Company had U.S. federal research and development tax credit carryforwards of $6.8 million and U.S. state research and development tax credit carryforwards of $5.1 million. The U.S. federal research and development tax credit carryforwards will begin to expire in the year 2035 and the U.S. state research and development tax credit carryforwards, all of which are in the state of California, do not expire. As of December 31, 2025, the Company had foreign tax credit carryforwards of $1.1 million available to offset future income taxes payable in India.</w:t>
      </w:r>
    </w:p>
    <w:p>
      <w:pPr>
        <w:spacing w:after="0" w:line="2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its belief that its tax return positions are fully supportable. The Company adjusts these reserves in light of changing facts and circumstances, such as the outcome of tax examinations.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total amounts of unrecognized tax benefits, excluded from the Company’s consolidated balance sheets, as the Company’s ability to realize these potential benefits is restricted: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tcPr>
          <w:p>
            <w:pPr>
              <w:spacing w:after="0"/>
              <w:rPr>
                <w:sz w:val="19"/>
                <w:szCs w:val="19"/>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related to prior year</w:t>
            </w:r>
          </w:p>
        </w:tc>
        <w:tc>
          <w:tcPr>
            <w:tcW w:w="5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6,230</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is not expected to significantly change over the next twelve months. No amounts, outside of the valuation allowance, would impact the Company’s effective tax rate on continuing operations. It is the Company’s policy to include penalties and interest expense related to income taxes as a component of the provision for income taxes, as necessary. Management determined that no accrual for penalties and interest expense related to income taxes was required as of December 31, 2025.</w:t>
      </w:r>
    </w:p>
    <w:p>
      <w:pPr>
        <w:spacing w:after="0" w:line="20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Company’s primary tax jurisdictions are the U.S., California, United Kingdom and India. All tax years since inception remain open to examination by the U.S. authority as a result of the net operating losses and credit carryforwards. Foreign and U.S. state jurisdictions have statutes of limitations generally ranging from three to four years. The Company is not currently under income tax examinations in any federal, state, local or foreign jurisdiction.</w:t>
      </w:r>
    </w:p>
    <w:p>
      <w:pPr>
        <w:spacing w:after="0" w:line="18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July 4, 2025, the law formally titled “An Act to Provide for the Reconciliation Pursuant to Title II of H. Con. Res. 14” (commonly referred to as “OBBBA”) was signed into law. Per the OBBBA, 100% bonus depreciation has been reinstated for all fixed assets placed in service after January 19, 2025. As such, 100% depreciation for tax purposes was taken on all current year additions, in the amount of $0.2 million. The OBBBA did not have a material effect on the Company’s effective income tax rates for the year ended December 31, 2025 and is not expected to have a material effect in future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 and Geographic Location of ROU Assets</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with lease periods expiring between fiscal years 2026 and 2029, some of which include options to extend up to 12 months. Payments under these lease arrangements are primarily fixed, however, certain lease agreements contain variable payments for maintenance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services, utilities, and other expenses, which are expensed as incurred and not included in the operating lease ROU assets and liabilities. The Company does not have any leases that include residual value guarantees.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lease costs reflected in the Company’s consolidated statements of operations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operating leases had a weighted average remaining lease term of 2.3 years and 3.2 years as of December 31, 2025 and 2024, respectively, and a weighted average discount rate related to the Company’s ROU assets and lease liabilities of 10.0% and 9.9% as of December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ROU assets as of December 31, 2025, and 2024:</w:t>
            </w: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880" w:type="dxa"/>
            <w:vAlign w:val="bottom"/>
            <w:gridSpan w:val="4"/>
            <w:vMerge w:val="continue"/>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thousands)</w:t>
            </w: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ROU assets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Details and Geographic Location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property and equipment included on the consolidated balance sheets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long-lived assets, by major asset category,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0"/>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Instruments Existing Prior to the Merger</w:t>
      </w:r>
    </w:p>
    <w:p>
      <w:pPr>
        <w:spacing w:after="0" w:line="25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Upon the consummation of the Merger,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(See Note 11 — “Common Stock, Currently Outstanding Warrants to Purchase Common Stock, and Earnout Shares” for a description of the earnout shares). Additionally, each Legacy Blaize RSU was converted into an RSU of the Company, upon substantially the same terms and conditions as in effect with respect to the corresponding Legacy Blaize RSU, and the right to receive a number of earnout shares. See Note 12 — “Stock Based Compensation” regarding previous options and RSUs issued under the historical 2011 Equity Incentive Plan (“2011 Amended Stock Plan”).</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other outstanding financial instruments were automatically converted into shares of common stock in the Company, as further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Convertible Notes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elected to account for its convertible notes at fair value at each period end pursuant to ASC 825 — “Financial Instruments,” wherein changes in the fair value were recorded at each reporting period in the consolidated statements of operations. As of December 31, 2024, the fair value of the Legacy Blaize Convertible Notes was $148.6 million, and the change in fair value recognized in the Company’s consolidated statements of operations for the year ended December 31, 2024 was a loss of $10.0 million. The convertible notes were remeasured just prior to the date of the Merger, and upon the closing of the Merger, the convertible notes were fully converted into shares of common stock in the Company, with a loss due to the change in fair value upon conversion of $165.7 million recognized in the Company’s consolidated statements of operations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Warrants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freestanding warrants in connection with certain of its convertible debt agreements and preferred stock issuances which were recorded as liabilities on the consolidated balance sheets at their estimated fair value, calculated using the Black-Scholes option pricing model. As of December 31, 2024, the fair value of the Legacy Blaize warrants was $14.7 million, and the change in fair value recognized in the Company’s consolidated statements of operations for the year ended December 31, 2024 was a loss of $5.7 million. The warrants were remeasured just prior to the date of the Merger and, upon the consummation of the Merger, the warrants were fully converted into shares of common stock in the Company, with a loss due to the change in fair value upon conversion of $60.3 million recognized in the Company’s consolidated statements of operations for the year ended 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Redeemable Convertible Preferred Stock</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and outstanding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together referred to as the “Legacy Blaize Redeemable Convertible Preferred Stock”. The Legacy Blaize Redeemable Convertible Preferred Stock had been classified as mezzanine equity due to the redemption option of the preferred stock shareholders. The Legacy Blaize Redeemable Convertible Preferred Stock was recorded at fair value on the dates of issuance, net of issuance costs. Legacy Blaize adjusted the carrying values of the redeemable convertible preferred stock, subsequent to the initial issuance date, to the redemption value of such shares because it was probable that the convertible preferred stock would become redeemable. Upon the consummation of the Merger, all shares of Legacy Blaize Redeemable Convertible Preferred Stock outstanding were converted into shares of common stock in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the Closing Date of the Merger, the Company and certain subscribers (collectively, the “Subscribers”) entered into subscription agreements under which the Company agreed to issue and sell to the Subscribers, immediately before the Closing Date, collectively, 1,529,500 shares of Class A Stock (the “PIPE Shares”) at a price per share equal to $10.00 per share. Upon the consummation of the Merger, all PIPE Shares that were outstanding were converted into shares of common stock 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 Currently Outstanding Warrants to Purchase Common Stock, and Earnout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Company’s common stock outstanding immediately following the consummation of the Merger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320" w:top="117" w:right="37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prior to the Merger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10,816,995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Sponsor forfeiture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subject to redemption, outstanding prior to the Merger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4,104,543</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 of Class A common stock</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(937,844)</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Class A Shares in non-redemption escrow</w:t>
            </w: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(2,791,230)</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9,942,464</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PIPE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1,529,500</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B common stock, outstanding prior to the Merger</w:t>
            </w:r>
          </w:p>
        </w:tc>
        <w:tc>
          <w:tcPr>
            <w:tcW w:w="20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11,471,969</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Legacy Blaize shares (see table below)</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94,949</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0"/>
        </w:trPr>
        <w:tc>
          <w:tcPr>
            <w:tcW w:w="8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8"/>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number of Legacy Blaize shares of common stock immediately prior to the Merger and after the Merger is set forth in the table below:</w:t>
            </w:r>
          </w:p>
        </w:tc>
      </w:tr>
      <w:tr>
        <w:trPr>
          <w:trHeight w:val="483"/>
        </w:trPr>
        <w:tc>
          <w:tcPr>
            <w:tcW w:w="6820" w:type="dxa"/>
            <w:vAlign w:val="bottom"/>
          </w:tcPr>
          <w:p>
            <w:pPr>
              <w:spacing w:after="0"/>
              <w:rPr>
                <w:sz w:val="24"/>
                <w:szCs w:val="24"/>
                <w:color w:val="auto"/>
              </w:rPr>
            </w:pPr>
          </w:p>
        </w:tc>
        <w:tc>
          <w:tcPr>
            <w:tcW w:w="22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Pre-Conversion</w:t>
            </w:r>
          </w:p>
        </w:tc>
        <w:tc>
          <w:tcPr>
            <w:tcW w:w="216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Post-Conversion</w:t>
            </w:r>
          </w:p>
        </w:tc>
      </w:tr>
      <w:tr>
        <w:trPr>
          <w:trHeight w:val="226"/>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prior to the Merger</w:t>
            </w:r>
          </w:p>
        </w:tc>
        <w:tc>
          <w:tcPr>
            <w:tcW w:w="2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17,518,791</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13,663,527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redeemable convertible preferred stock</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44,506,781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34,712,525</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w:t>
            </w:r>
          </w:p>
        </w:tc>
        <w:tc>
          <w:tcPr>
            <w:tcW w:w="2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40,302,382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31,433,259</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exercise of Legacy Blaize warrants</w:t>
            </w: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9,623,432</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after the Merger</w:t>
            </w:r>
          </w:p>
        </w:tc>
        <w:tc>
          <w:tcPr>
            <w:tcW w:w="2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111,951,386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shares of the Company’s common stock from the Closing Date of the Merger through 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29"/>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under Committed Equity Facility</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Committed Equity Facility agreement,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7"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under the Committed Equity Facility are subject to the following conditions:</w:t>
      </w:r>
    </w:p>
    <w:p>
      <w:pPr>
        <w:spacing w:after="0" w:line="252" w:lineRule="exact"/>
        <w:rPr>
          <w:sz w:val="20"/>
          <w:szCs w:val="20"/>
          <w:color w:val="auto"/>
        </w:rPr>
      </w:pPr>
    </w:p>
    <w:p>
      <w:pPr>
        <w:ind w:left="660" w:right="14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the Company’s common stock on the trading day immediately prior to each Purchase is required to be greater than $1.00 per share.</w:t>
      </w:r>
    </w:p>
    <w:p>
      <w:pPr>
        <w:ind w:left="660" w:right="28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to be issued per Purchase may not exceed 1.0 million shares and is further limited by a calculated percentage, not to exceed 25%, of the total aggregate trading volume during a defined period of time applicable to each Purchase.</w:t>
      </w: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purchase price per share of common stock is defined by the Committed Equity Facility as 97% of the volume-weighted average price (“VWAP”) of the common stock for the defined period applicable to each Purchase, with 3% of the VWAP as commission to B. Riley, excluding specific transactions outlined in the Committed Equity Facility agreement. All such calculations are subject to adjustments for any stock dividend, stock split, stock combination, recapitalization or other similar transactions. The Committed Equity Facility will automatically terminate on the earlier of (i) one day after the 36-month anniversary of the Commencement Date, (ii) the date on which B. Riley shall have purchased the shares of common stock for an aggregate purchase price of $50.0 million or (iii) various other dates associated with events as set forth in the agreement.</w:t>
      </w: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inception, the Company evaluated the Committed Equity Facility agreement and determined that it was considered to be a derivative instrument. See Note 5 — “Fair Value Measurements and Derivative Instruments”.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agreement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certain warrants to purchase additional shares of the Company’s common stock, as further described below, resulting in aggregate gross proceeds of approximately $30.0 million, before deducting offering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the Company’s common stock. In July 2025, the Company issued the shares of common stock due to the Cantor.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Outstanding Warrants to Purchase 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BZAI warrants</w:t>
      </w:r>
    </w:p>
    <w:p>
      <w:pPr>
        <w:spacing w:after="0" w:line="2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the total of 29,648,250 warrants outstanding immediately prior to the Merger became warrants to purchase the Company’s common stock (the “BZAI warrants”). The Company determined that the BZAI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7" w:right="3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warrants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10, 2025, the Company issued 9,375,000 freestanding warrants (the “Polar warrants”), each Polar warrant exchangeable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consolidated statements of operations. The warrants will continue to be remeasured until the earlier of the exercise during the warrant term or the automatic exercise on a cashless basis at the end of the warrant term of five years, or November 10, 2030.</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Polar warrants are considered long-term liabilities, due to the warrants being out-of-the-money with a $5.00 exercise price,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to an advisor</w:t>
      </w:r>
    </w:p>
    <w:p>
      <w:pPr>
        <w:spacing w:after="0" w:line="25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connection with the Merger, the Company issued, to an advisor, warrants to purchase 50,000 shares of common stock at $11.50 per share (the “advisor warrants”), which expire after a term of five years, on February 10, 2030. The Company determined that the advisor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will not be remeasured, unless an employee departs from the Company, as further described below.</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freestanding contracts and not liability-classified under ASC 480 but represented a structured forward contract pursuant to ASC 815, which resulted in liability classification. Therefore, the Company considers the Other Earnout Shares a derivative liability and will remeasure the Other Earnout Shares at each reporting date, with changes in the fair value recorded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117"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Events are driven by whether the Company’s closing share price on 20 trading days out of 30 consecutive trading days equals or exceeds defined per-share thresholds in each tranche as follows:</w:t>
      </w:r>
    </w:p>
    <w:p>
      <w:pPr>
        <w:spacing w:after="0" w:line="207" w:lineRule="exact"/>
        <w:rPr>
          <w:sz w:val="20"/>
          <w:szCs w:val="20"/>
          <w:color w:val="auto"/>
        </w:rPr>
      </w:pPr>
    </w:p>
    <w:p>
      <w:pPr>
        <w:ind w:left="660" w:right="10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ind w:left="660" w:right="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Earnout Shares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Employee Earnout Shares are required to provide service through the date the target is achieved and if an employee departs, the forfeited Employee Earnout Shares are reallocated to Legacy Blaize shareholders and the remaining pool of equity award holders who received the right to the Earnout Shares on the Merger date. The reallocated shares are considered a forfeiture of the original award and grant of a new award.</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Employee Earnout shares were measured at fair value at the issuance date using a Monte Carlo simulation model and expense is recognized over the derived service period of five years from the Merger date through January 13, 2030. If shares are forfeited and reallocated, as described above, the expense to date for the reallocated shares is reversed, and new expense is calculated for those shares using a Monte Carlo simulation model over the remaining period through January 13, 2030.</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$15.9 million in stock-based compensation expense related to the Employee Earnout Shares. During the year ended December 31, 2025, 212,568 Employee Earnout Shares were forfeited due to employee terminations. As of December 31, 2025, there was $66.7 million of total unrecognized compensation cost related to the Employee Earnout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described in Note 5 — “Fair Value Measurements and Derivative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set forth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approved, and the Company adopted the 2025 Incentive Award Plan (the “2025 Incentive Plan”), replacing the 2011 Amended Stock Plan. The 2025 Incentive Plan provides for the grant of stock or cash-based awards to employees and consultants of the Company and its subsidiaries and members of the Board of Directors of the Company. Authorized shares of common stock available under the 2025 Incentive Plan at inception was 30,500,000 shares of common stock. As of December 31, 2025, 19,189,633 shares of common stock were reserved for issuance under the 2025 Incentive Plan.</w:t>
      </w:r>
    </w:p>
    <w:p>
      <w:pPr>
        <w:spacing w:after="0" w:line="21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Following the effectiveness of the 2025 Incentive Plan, the Company ceased making grants under the 2011 Amended Stock Plan and all remaining unissued shares were retired. However, the 2011 Amended Stock Plan continues to govern the terms and conditions of the outstanding awards granted under it. Awards granted under the 2011 Amended Stock Plan that have subsequently been forfeited are cancelled and are no longer available for issuance.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grants of stock compensation awards on a straight-line basis over the requisite service period of the award’s vesting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set forth in the following table: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(Value in thousands, life in years)</w:t>
            </w: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90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12,820,261</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16,635,601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(1,039,737)</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1,618,456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(562,446)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(670,367)</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17,279,846</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accelerated the vesting associated with 388,988 outstanding options resulting in $1.1 million of incremental stock-based compensation expense.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$14.2 million of total unrecognized compensation cost related to unvested stock options, which is expected to be recognized over a weighted average period of 1.6 years.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2025 and 2024 was $1.0 million and immaterial, respectively. The intrinsic value is the difference between the estimated fair value of the Company’s common stock at the date of exercise and the exercise price for in-the-money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grant date fair value of the stock options granted was $1.93 and $0.88 per share, respectively. The fair value of the options issued was determined using the Black-Scholes option pricing model, using the following inputs: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34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c>
          <w:tcPr>
            <w:tcW w:w="14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years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 years</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252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stock options that vested during the years ended December 31, 2025 and 2024 was $9.5 million and $2.8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636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3,834,443</w:t>
            </w: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10,164,477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(473,696)</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grant date fair value of RSUs granted under the 2011 Amended Stock Plan was determined by the Board of Directors at each grant date. Immediately prior to the consummation of the Merger, the RSUs existing at that time, which had been granted under the 2011 Amended Stock Plan, had both a service-based condition and a liquidity event condition. The liquidity event condition was satisfied on the consummation of the Merger, and on the date of the Merger, the Company recognized $3.9 million in stock-based compensation expense associated with the vesting of the outstanding RSUs.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$20.6 million of total unrecognized compensation cost related to unvested RSUs, which is expected to be recognized over a weighted average period of 2.5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of the Employee Earnout Shares are subject to ASC 718. See Note 11 — “Common Stock, Currently Outstanding Warrants to Purchase Common Stock, and Earnout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January 2025, the Board of Directors adopted the 2025 Employee Stock Purchase Plan (the “2025 ESPP”) in order to enable eligible employees to purchase shares of common stock with accumulated payroll deductions. As of December 31, 2025, 3,047,669 shares of common stock were reserved for issuance pursuant to the 2025 ESPP, and no shares of stock had been purchased by employees as the Company had not commenced the 2025 ESPP.</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17" w:right="3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 of Common Stock</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the Merger,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that was outstanding prior to the Merger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redeemable convertible preferred stock.</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After the Merger,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years ended December 31, 2025 and 2024, as the effect of any potentially dilutive security is anti-dilutive due to the net losses in those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dilutive net loss per share: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 and per share amounts)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0" w:type="dxa"/>
            <w:vAlign w:val="bottom"/>
            <w:tcBorders>
              <w:bottom w:val="single" w:sz="8" w:color="auto"/>
            </w:tcBorders>
          </w:tcPr>
          <w:p>
            <w:pPr>
              <w:spacing w:after="0"/>
              <w:rPr>
                <w:sz w:val="18"/>
                <w:szCs w:val="18"/>
                <w:color w:val="auto"/>
              </w:rPr>
            </w:pPr>
          </w:p>
        </w:tc>
      </w:tr>
      <w:tr>
        <w:trPr>
          <w:trHeight w:val="213"/>
        </w:trPr>
        <w:tc>
          <w:tcPr>
            <w:tcW w:w="63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51"/>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12,736,621</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3,743,578</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issued to an advisor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BZAI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redeemable convertible preferred stock</w:t>
            </w:r>
          </w:p>
        </w:tc>
        <w:tc>
          <w:tcPr>
            <w:tcW w:w="18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34,702,999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1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r>
      <w:tr>
        <w:trPr>
          <w:trHeight w:val="24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94,779,027</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55,878,802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8"/>
        <w:spacing w:after="0" w:line="242" w:lineRule="auto"/>
        <w:tabs>
          <w:tab w:leader="none" w:pos="181"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the date of the Merger, the Legacy Blaize redeemable convertible preferred stock and Legacy Blaize warrants were converted into common stock of the Company. Upon the consummation of the Merger, each outstanding stock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 Certain Legacy Blaize RSUs were converted to shares of the Company’s common stock on the date of the Merger, as these RSUs included a liquidity condition which was satisfied upon the event of the Merger.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the Company operates as a single operating segment, the measures of total available cash and cash equivalents, total revenue and net loss, as reviewed by the CODM, are set forth on the consolidated financial statements, as well as in certain notes to the consolidated financial statements. See Note 5 — “Fair Value Measurements and Derivative Instruments” for details regarding the Company’s cash equivalents. See Note 4 — “Revenue and Accounts Receivable” for details regarding the Company’s total revenue disaggregated by customer geographical location and the major customer concentrations of the Company’s total revenue and accounts receivable balances.</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Similarly, as the Company operates in a single segment, the consolidated statements of operations provide one view of the Company’s significant expenses. Additional to the consolidated statements of operations, the CODM regularly reviews the significant expense categories in the calculation of net loss, set forth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costs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(31,981)</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costs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30"/>
        </w:trPr>
        <w:tc>
          <w:tcPr>
            <w:tcW w:w="63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42" w:lineRule="auto"/>
        <w:tabs>
          <w:tab w:leader="none" w:pos="181"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items” includes marketing expenses, professional fees, facilities costs, foreign exchange gains and losses, credit loss estimates, income taxes, and other overhead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reconciliation of net loss to EBITDA and Adjusted EBITDA: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68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8"/>
        <w:spacing w:after="0" w:line="404" w:lineRule="auto"/>
        <w:tabs>
          <w:tab w:leader="none" w:pos="16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spacing w:after="0" w:line="1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the Company operates as a single operating segment and the CODM reviews the assets on a consolidated basis. As such, no asset reconciliation adjustments are required. See Note 8 — “Leases and Geographic Location of ROU Assets” and Note 9 — “Property and Equipment Details and Geographic Location” for details regarding the geographic location of the Company’s long-lived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Sponsor and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Partner Referral Agreement</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 of the Sponsor.</w:t>
      </w:r>
    </w:p>
    <w:p>
      <w:pPr>
        <w:spacing w:after="0" w:line="18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$3.0 million in revenue from the Referral Agreement, inclusive of sales commissions of $0.3 million, which was reported as a reduction of revenue.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recorded $3.4 million, gross, in accounts receivable - related party due from BST in relation to these sales. The sales commission payable of $0.3 million was recorded as “accrued expenses - related party” on the Company’s consolidated balance sheet as of December 31, 2025. Subsequent to December 31, 2025, BST paid the Company in full, and the Company released the sales commission payable, electing full cash payment for the sales commission.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17" w:right="339" w:bottom="1440" w:gutter="0" w:footer="0" w:header="0"/>
          <w:type w:val="continuous"/>
        </w:sectPr>
      </w:pPr>
    </w:p>
    <w:bookmarkStart w:id="96" w:name="page97"/>
    <w:bookmarkEnd w:id="9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 - related party</w:t>
      </w:r>
    </w:p>
    <w:p>
      <w:pPr>
        <w:spacing w:after="0" w:line="2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portion of the “other earnout shares” were issued to an affiliate of the Sponsor at the time of the Merger. See Note 11 — “Common Stock, Currently Outstanding Warrants to Purchase Common Stock, and Earnout Shares”. The fair value of these other earnout shares as of December 31, 2025 was $2.2 million as set forth on the Company’s consolidated balance sheets as of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loan - related party</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issued an unsecured promissory note to the Sponsor, pursuant to which it borrowed $1.5 million for general corporate purposes. On the date of the Merger, this loan was recorded on the Company’s consolidated balance sheet, and was outstanding as of December 31, 2025.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from related party</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provided the Company with certain working capital advances, which are non-interest bearing and payable on demand, in the amount of $2.9 million. These amounts are reflected on the consolidated balance sheet as of December 31, 2025 as “advances from related party”.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party</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owed management fees in the amount of $0.2 million to the Sponsor. These amounts are reflected on the consolidated balance sheets as of December 31, 2025 as “accounts payable -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December 31, 2025, the outstanding principal of the shareholder note receivable was $8.6 million, the amount of which has been deducted from additional paid-in capital on the Company’s consolidated balance sheet as of that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117" w:right="4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for advisory and marketing services, and a related party employed by the Company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2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other related parties:</w:t>
            </w: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68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Advisory services </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Marketing services </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68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Cash compensation paid to related party employee </w:t>
            </w:r>
            <w:r>
              <w:rPr>
                <w:rFonts w:ascii="Times New Roman" w:cs="Times New Roman" w:eastAsia="Times New Roman" w:hAnsi="Times New Roman"/>
                <w:sz w:val="23"/>
                <w:szCs w:val="23"/>
                <w:color w:val="auto"/>
                <w:vertAlign w:val="superscript"/>
              </w:rPr>
              <w:t>(3)</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to other related parties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5"/>
        </w:trPr>
        <w:tc>
          <w:tcPr>
            <w:tcW w:w="6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“prepaid expenses and other current assets - related parties” on the Company’s</w:t>
            </w:r>
          </w:p>
        </w:tc>
        <w:tc>
          <w:tcPr>
            <w:tcW w:w="4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“selling, general and administrative - related party” on the Company’s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12"/>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consolidated statements of operations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232"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Advisory fees were incurred with a family member of a key employee of the Company.</w:t>
      </w:r>
    </w:p>
    <w:p>
      <w:pPr>
        <w:spacing w:after="0" w:line="1" w:lineRule="exact"/>
        <w:rPr>
          <w:rFonts w:ascii="Times New Roman" w:cs="Times New Roman" w:eastAsia="Times New Roman" w:hAnsi="Times New Roman"/>
          <w:sz w:val="22"/>
          <w:szCs w:val="22"/>
          <w:color w:val="auto"/>
          <w:vertAlign w:val="superscript"/>
        </w:rPr>
      </w:pPr>
    </w:p>
    <w:p>
      <w:pPr>
        <w:ind w:right="80" w:firstLine="8"/>
        <w:spacing w:after="0" w:line="230"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Marketing expenses were incurred with a company owned by a direct family member of a minority stockholder and member of the Company’s Board of Directors.</w:t>
      </w:r>
    </w:p>
    <w:p>
      <w:pPr>
        <w:ind w:right="220" w:firstLine="8"/>
        <w:spacing w:after="0" w:line="242"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 relative of one of the Company’s named executive officers is employed by the Company, with a total compensation of $0.2 million and $0.1 million during the years ended December 31, 2025 and 2024, respectively. Total compensation as presented in “included in selling, general and administrative - related party” includes an immaterial expense for RSUs, with the fair value of the RSUs as determined on the date of grant.</w:t>
      </w: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of strategic consulting services to two minority stockholders.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repaid a demand note due to a minority stockholder and member of the Company’s Board of Directors in the amount of $4.8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Employees — 401(k) Plan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401(k) plan is provided to employees in the United States that covers substantially all employees meeting certain age and service requirements. The Company makes discretionary matching contributions to the 401(k) plan, with the exception that “highly compensated employees” as defined by U.S. Internal Revenue Service regulations do not receive a matching contribution. Employees who receive matching contributions are immediately fully vested in the employer matching contribution. The Company recorded $0.4 million and $0.2 million in matching contributions for the years ended December 31, 2025 and 2024,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Employees — Defined Contribution Pension Plan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voluntary defined contribution pension plan is provided to employees in the United Kingdom that covers substantially all employees meeting certain age, income, and service requirements. The Company makes matching contributions to the pension plan in the amount of up to 8% of employees’ annual salary. Employees are immediately fully vested in the employer matching contribution. The Company recorded $0.3 million and $0.3 million in matching contributions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7"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 Employees — Long-term Employee Benefits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long-term defined benefit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this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2025 and 2024, respectively, the related net liability of $1.0 million and $1.1 million is included within “accrued expenses and other current liabilities” on the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Purchase commitments outstanding for manufactured inventories as of December 31, 2025 were not material, and manufactured inventory components purchased during the year ended December 31, 2025 under purchase commitments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Merger involving Legacy Blaize (the “Jefferies Engagement Letter”), pursuant to which Jefferies would be eligible for a fee of $4.5 million contingent upon the closing of the Merger and for reimbursement of expenses up to $0.5 million.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 and post-judgment interest and legal costs and seeking summary judgment in lieu of complaint. On September 4, 2025, the court denied Jefferies’s motion for summary judgment, and on September 19, 2025, Jefferies filed a complaint.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2025, Jefferies and the Company settled the matter, and no amounts were outstanding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00"/>
          </w:cols>
          <w:pgMar w:left="320" w:top="117"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(principal executive officer) and Chief Financial Officer (principal financial officer), has evaluated the effectiveness of the Company’s disclosure controls and procedures (as such term is defined in Rules 13a-15(e) and 15d-15(e) under the Exchange Act) as of December 31, 2025, the end of the period covered by this Annual Report on Form 10-K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the period covered by this Annual Report on Form 10-K,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25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for the Company.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10"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27" w:lineRule="exact"/>
        <w:rPr>
          <w:rFonts w:ascii="Times New Roman" w:cs="Times New Roman" w:eastAsia="Times New Roman" w:hAnsi="Times New Roman"/>
          <w:sz w:val="18"/>
          <w:szCs w:val="18"/>
          <w:color w:val="auto"/>
        </w:rPr>
      </w:pPr>
    </w:p>
    <w:p>
      <w:pPr>
        <w:ind w:right="100" w:firstLine="8"/>
        <w:spacing w:after="0" w:line="25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ind w:right="140" w:firstLine="8"/>
        <w:spacing w:after="0" w:line="26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2025. In making this assessment, the Company’s management used criteria set forth by the Committee of Sponsoring Organizations of the Treadway Commission (COSO) in Internal Control-Integrated Framework (2013).</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its assessment, the Company’s management believes that, as of December 31, 2025, the Company’s internal control over financial reporting was effective based on those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THE INDEPENDENT REGISTERED PUBLIC ACCOUNTING FIRM</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non-accelerated filer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reports information regarding the adoption of “Rule 10b5-1 trading arrangements” or “non-Rule 10b5-1 trading arrangements,” each as defined in Item 408(a) of Regulation S-K, during the three months ended December 31, 2025 for the Company’s directors and “officers,” as defined in Rule 16a-1(f) under the Exchange Act. There were no modifications or terminations of such trading arrangements during the three months ended December 31, 2025.</w:t>
      </w:r>
    </w:p>
    <w:p>
      <w:pPr>
        <w:spacing w:after="0" w:line="207" w:lineRule="exact"/>
        <w:rPr>
          <w:sz w:val="20"/>
          <w:szCs w:val="20"/>
          <w:color w:val="auto"/>
        </w:rPr>
      </w:pPr>
    </w:p>
    <w:p>
      <w:pPr>
        <w:ind w:left="660" w:right="80" w:hanging="328"/>
        <w:spacing w:after="0" w:line="255"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Mr. Anthony Cannestra, a director of Blaize Holdings, Inc. (the “Company”), adopted a Rule 10b5-1 trading arrangement in accordance with guidelines specified by Rule 10b5-1 under the Securities Exchange Act of 1934, and the Company’s policies regarding transactions in its securities by insiders (a “Rule 10b5-1 Plan”). Mr. Cannestra’s Rule 10b5-1 Plan will commence on April 6, 2026. Such plan provides for the potential sale of up to (i) 75,258 shares of the Company’s common stock issued to him upon the vesting of an equal number of previously granted restricted stock units and (ii) 200,000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15"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Dinakar Munagala, the Chief Executive Officer of the Company, adopted a Rule 10b5-1 Plan. Mr. Munagala’s Rule 10b5-1 Plan will commence on April 6, 2026. Such plan provides for the potential sale of up to (i) 125,000 shares of the Company’s common stock issued to him previously and (ii) 807,325 shares of the Company’s common stock underlying vested stock options to be exercised and sold pursuant to the plan. The plan will terminate automatically on March 15, 2027, and any shares remaining unsold as of that date will not be sold pursuant to the plan.</w:t>
      </w:r>
    </w:p>
    <w:p>
      <w:pPr>
        <w:spacing w:after="0" w:line="21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Harminder Sehmi, the Chief Financial Officer of the Company, adopted a Rule 10b5-1 Plan. Mr. Sehmi’s Rule 10b5-1 Plan will commence on April 19, 2026. Such plan provides for the potential sale of up to 505,060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3" w:right="339" w:bottom="1440" w:gutter="0" w:footer="0" w:header="0"/>
        </w:sectPr>
      </w:pPr>
    </w:p>
    <w:bookmarkStart w:id="101" w:name="page102"/>
    <w:bookmarkEnd w:id="10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60"/>
          </w:cols>
          <w:pgMar w:left="320" w:top="1413"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60"/>
          </w:cols>
          <w:pgMar w:left="320" w:top="1413" w:right="419" w:bottom="1440" w:gutter="0" w:footer="0" w:header="0"/>
        </w:sectPr>
      </w:pPr>
    </w:p>
    <w:bookmarkStart w:id="103" w:name="page104"/>
    <w:bookmarkEnd w:id="10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Annual Report on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Index to financial statements and supplementary data filed as part of this Annual Report on Form 10-K.</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the required information is included in Part II, Item 8 of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7"/>
          </w:tcPr>
          <w:p>
            <w:pPr>
              <w:spacing w:after="0" w:line="182"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Agreement and Plan of Merger Agreement, dated as of December 22, 2023, by and among BurTech Acquisition Corp., BurTech Merger</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Sub Inc., Blaize, Inc. and Burkhan Capital LLC (for the limited purposes set forth therein) (incorporated by reference to Exhibit 2.1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the Company’s Registration Statement on Form S-4 filed July 19, 2024)</w:t>
              </w:r>
            </w:hyperlink>
          </w:p>
        </w:tc>
        <w:tc>
          <w:tcPr>
            <w:tcW w:w="44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Amendment to Agreement and Plan of Merger Agreement, dated as of April 22, 2024, by and among BurTech Acquisition Corp.,</w:t>
              </w:r>
            </w:hyperlink>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7"/>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BurTech Merger Sub Inc., Blaize, Inc. and Burkhan Capital LLC (for the limited purposes set forth therein) (incorporated by reference</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to Exhibit 2.2 to the Company’s Registration Statement on Form S-4 filed July 19, 2024)</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Amendment No. 2 to Agreement and Plan of Merger, dated as of October 24, 2024, by and among BurTech Acquisition Corp., BurTech</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Merger Sub Inc., Blaize, Inc. and Burkhan Capital LLC (for the limited purposes set forth therein) (incorporated by reference to Exhibit</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gridSpan w:val="24"/>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Registration Statement on Form S-4 filed October 30,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Amendment No. 3 to Agreement and Plan of Merger, dated as of November 21, 2024, by and among BurTech Acquisition Corp.,</w:t>
              </w:r>
            </w:hyperlink>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7"/>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BurTech Merger Sub Inc., Blaize, Inc. and Burkhan Capital LLC (for the limited purposes set forth therein) (incorporated by reference</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to Exhibit 2.4 to the Company’s Registration Statement on Form S-4 filed November 26, 2024)</w:t>
              </w:r>
            </w:hyperlink>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Third Amended and Restated Certificate of Incorporation of Blaize Holdings, Inc. (incorporated by reference to Exhibit 3.1 to the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Company’s Current Report on Form 8-K filed January 17, 2025)</w:t>
              </w:r>
            </w:hyperlink>
          </w:p>
        </w:tc>
        <w:tc>
          <w:tcPr>
            <w:tcW w:w="468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Bylaws of Blaize Holdings, Inc. (incorporated by reference to Exhibit 3.2 to the Company’s Current Report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Form 8-K filed January 17, 2025)</w:t>
              </w:r>
            </w:hyperlink>
          </w:p>
        </w:tc>
        <w:tc>
          <w:tcPr>
            <w:tcW w:w="7260" w:type="dxa"/>
            <w:vAlign w:val="bottom"/>
            <w:tcBorders>
              <w:top w:val="single" w:sz="8" w:color="0000FF"/>
            </w:tcBorders>
            <w:gridSpan w:val="16"/>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71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Description of Securities Registered Pursuant to Section 12 of the Securities Exchange Act of 1934</w:t>
              </w:r>
            </w:hyperlink>
          </w:p>
        </w:tc>
        <w:tc>
          <w:tcPr>
            <w:tcW w:w="2700" w:type="dxa"/>
            <w:vAlign w:val="bottom"/>
            <w:gridSpan w:val="16"/>
          </w:tcPr>
          <w:p>
            <w:pPr>
              <w:spacing w:after="0"/>
              <w:rPr>
                <w:sz w:val="19"/>
                <w:szCs w:val="19"/>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Warrant Agreement, dated as of December 10, 2021, by and between BurTech Acquisition Corp. and Continental Stock Transfer &amp;</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Trust Company, as warrant agent (incorporated by reference to Exhibit 4.1 to the Company’s Current Report on Form 8-K filed</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December 16, 2021)</w:t>
              </w:r>
            </w:hyperlink>
          </w:p>
        </w:tc>
        <w:tc>
          <w:tcPr>
            <w:tcW w:w="3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Specimen Common Stock Certificate (incorporated by reference to Exhibit 4.2 to the Company’s Registration Statement on Form S-1/A</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filed November 19, 2021)</w:t>
              </w:r>
            </w:hyperlink>
          </w:p>
        </w:tc>
        <w:tc>
          <w:tcPr>
            <w:tcW w:w="79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Specimen Warrant Certificate (incorporated by reference to Exhibit 4.3 to the Company’s Registration Statement on Form S-1/A filed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November 19, 2021)</w:t>
              </w:r>
            </w:hyperlink>
          </w:p>
        </w:tc>
        <w:tc>
          <w:tcPr>
            <w:tcW w:w="220" w:type="dxa"/>
            <w:vAlign w:val="bottom"/>
            <w:gridSpan w:val="8"/>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Warrant (incorporated by reference to Exhibit 10.5 to the Company’s Quarterly Report on Form 10-Q filed on November 13,</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69">
              <w:r>
                <w:rPr>
                  <w:rFonts w:ascii="Times New Roman" w:cs="Times New Roman" w:eastAsia="Times New Roman" w:hAnsi="Times New Roman"/>
                  <w:sz w:val="18"/>
                  <w:szCs w:val="18"/>
                  <w:color w:val="0000FF"/>
                  <w:w w:val="90"/>
                </w:rPr>
                <w:t>2025)</w:t>
              </w:r>
            </w:hyperlink>
          </w:p>
        </w:tc>
        <w:tc>
          <w:tcPr>
            <w:tcW w:w="1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Registration Rights Agreement, dated as of January 13, 2025, by and among the Company and certain stockholders of Legacy Blaize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named therein (incorporated by reference to Exhibit 10.11 to the Company’s Current Report on Form 8-K filed on January 17, 2025)</w:t>
              </w:r>
            </w:hyperlink>
          </w:p>
        </w:tc>
        <w:tc>
          <w:tcPr>
            <w:tcW w:w="20" w:type="dxa"/>
            <w:vAlign w:val="bottom"/>
            <w:tcBorders>
              <w:top w:val="single" w:sz="8" w:color="0000FF"/>
            </w:tcBorders>
          </w:tcPr>
          <w:p>
            <w:pPr>
              <w:spacing w:after="0"/>
              <w:rPr>
                <w:sz w:val="13"/>
                <w:szCs w:val="13"/>
                <w:color w:val="auto"/>
              </w:rPr>
            </w:pPr>
          </w:p>
        </w:tc>
        <w:tc>
          <w:tcPr>
            <w:tcW w:w="280" w:type="dxa"/>
            <w:vAlign w:val="bottom"/>
            <w:gridSpan w:val="10"/>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gridSpan w:val="3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37"/>
          </w:tcPr>
          <w:p>
            <w:pPr>
              <w:spacing w:after="0" w:line="18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and Restated Registration Rights Agreement, dated as of January 13, 2025, by and among the Company, certain stockholders</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of BurTech named therein and certain stockholders of Legacy Blaize named therein (incorporated by reference to Exhibit 10.1 to the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Company’s Current Report on Form 8-K filed on January 17,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Form of Indenture (incorporated by reference to Exhibit 4.3 to the Company’s Registration Statement on Form S-3 filed on January 27,</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72">
              <w:r>
                <w:rPr>
                  <w:rFonts w:ascii="Times New Roman" w:cs="Times New Roman" w:eastAsia="Times New Roman" w:hAnsi="Times New Roman"/>
                  <w:sz w:val="18"/>
                  <w:szCs w:val="18"/>
                  <w:color w:val="0000FF"/>
                  <w:w w:val="90"/>
                </w:rPr>
                <w:t>2026)</w:t>
              </w:r>
            </w:hyperlink>
          </w:p>
        </w:tc>
        <w:tc>
          <w:tcPr>
            <w:tcW w:w="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Letter Agreement, dated December 10, 2021, by and among the Company, its officers and directors, the Sponsor and certain other</w:t>
              </w:r>
            </w:hyperlink>
          </w:p>
        </w:tc>
        <w:tc>
          <w:tcPr>
            <w:tcW w:w="500" w:type="dxa"/>
            <w:vAlign w:val="bottom"/>
            <w:gridSpan w:val="17"/>
          </w:tcPr>
          <w:p>
            <w:pPr>
              <w:spacing w:after="0"/>
              <w:rPr>
                <w:sz w:val="19"/>
                <w:szCs w:val="19"/>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7"/>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stockholders party thereto (incorporated by reference to Exhibit 10.2 to the Company’s Current Report on Form 8-K filed on December</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73">
              <w:r>
                <w:rPr>
                  <w:rFonts w:ascii="Times New Roman" w:cs="Times New Roman" w:eastAsia="Times New Roman" w:hAnsi="Times New Roman"/>
                  <w:sz w:val="18"/>
                  <w:szCs w:val="18"/>
                  <w:color w:val="0000FF"/>
                  <w:w w:val="95"/>
                </w:rPr>
                <w:t>16, 2021)</w:t>
              </w:r>
            </w:hyperlink>
          </w:p>
        </w:tc>
        <w:tc>
          <w:tcPr>
            <w:tcW w:w="6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of Indemnification Agreement (incorporated by reference to Exhibit 10.3 to the Company’s Current Report on Form 8-K filed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Blaize, Inc. Amended and Restated 2011 Stock Plan (incorporated by reference to Exhibit 10.4 to the Company’s Current Report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8-K filed on 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Form of Stock Option Grant Agreement (Installment Exercise) and Grant Notice under the Blaize, Inc. Amended and Restated 2011</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Stock Plan (incorporated by reference to Exhibit 10.7 to the Company’s Current Report on Form 8-K filed on January 17,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of Stock Option Grant Agreement (Contingent Exercise) and Grant Notice under the Blaize, Inc. Amended and Restated 2011</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Stock Plan (incorporated by reference to Exhibit 10.22 to the Company’s Current Report on Form 8-K filed on January 17, 2025)</w:t>
              </w:r>
            </w:hyperlink>
          </w:p>
        </w:tc>
        <w:tc>
          <w:tcPr>
            <w:tcW w:w="20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of Restricted Stock Unit Grant Agreement and Grant Notice under the Blaize, Inc. Amended and Restated 2011 Stock Plan</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(incorporated by reference to Exhibit 10.8 to the Company’s Current Report on Form 8-K filed on January 17, 2025)</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Blaize Holdings, Inc. 2025 Incentive Award Plan (incorporated by reference to Exhibit 10.5 to the Company’s Current Report on Form</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8-K filed on January 17,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Form of Global Restricted Stock Unit Grant Notice and Global Restricted Stock Unit Agreement under the Blaize Holdings, Inc. 2025</w:t>
              </w:r>
            </w:hyperlink>
          </w:p>
        </w:tc>
        <w:tc>
          <w:tcPr>
            <w:tcW w:w="180" w:type="dxa"/>
            <w:vAlign w:val="bottom"/>
            <w:gridSpan w:val="6"/>
          </w:tcPr>
          <w:p>
            <w:pPr>
              <w:spacing w:after="0"/>
              <w:rPr>
                <w:sz w:val="19"/>
                <w:szCs w:val="19"/>
                <w:color w:val="auto"/>
              </w:rPr>
            </w:pPr>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7"/>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Incentive Award Plan (incorporated by reference to Exhibit 99.3 to the Company’s registration Statement on Form S-8 filed on May 12,</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0"/>
              </w:rPr>
            </w:pPr>
            <w:hyperlink r:id="rId80">
              <w:r>
                <w:rPr>
                  <w:rFonts w:ascii="Times New Roman" w:cs="Times New Roman" w:eastAsia="Times New Roman" w:hAnsi="Times New Roman"/>
                  <w:sz w:val="18"/>
                  <w:szCs w:val="18"/>
                  <w:color w:val="0000FF"/>
                  <w:w w:val="90"/>
                </w:rPr>
                <w:t>2025)</w:t>
              </w:r>
            </w:hyperlink>
          </w:p>
        </w:tc>
        <w:tc>
          <w:tcPr>
            <w:tcW w:w="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Blaize Holdings, Inc. Form of Stock Option Agreement under the Blaize Holdings, Inc. 2025 Incentive Award Plan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reference to Exhibit 10.1 to the Company’s Current Report on Form 8-K filed on September 2,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Blaize Holdings, Inc. 2025 Employee Stock Purchase Plan (incorporated by reference to Exhibit 10.6 to the Company’s Current Report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on Form 8-K filed on January 17, 2025)</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Amended and Restated Blaize Holdings, Inc. Non-Employee Director Compensation Program (incorporated by reference to Exhibit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w:t>
              </w:r>
              <w:r>
                <w:rPr>
                  <w:rFonts w:ascii="Times New Roman" w:cs="Times New Roman" w:eastAsia="Times New Roman" w:hAnsi="Times New Roman"/>
                  <w:sz w:val="18"/>
                  <w:szCs w:val="18"/>
                  <w:color w:val="0000FF"/>
                  <w:w w:val="99"/>
                </w:rPr>
                <w:t xml:space="preserve"> to the Company’s Quarterly Report on Form 10-Q filed on May 14, 2025)</w:t>
              </w:r>
            </w:hyperlink>
          </w:p>
        </w:tc>
        <w:tc>
          <w:tcPr>
            <w:tcW w:w="3800" w:type="dxa"/>
            <w:vAlign w:val="bottom"/>
            <w:tcBorders>
              <w:top w:val="single" w:sz="8" w:color="0000FF"/>
            </w:tcBorders>
            <w:gridSpan w:val="11"/>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Blaize Holdings, Inc. Change in Control and Severance Agreement (incorporated by reference to Exhibit 10.1 to the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Company’s Current Report on Form 8-K filed on January 5, 2026)</w:t>
              </w:r>
            </w:hyperlink>
          </w:p>
        </w:tc>
        <w:tc>
          <w:tcPr>
            <w:tcW w:w="4200" w:type="dxa"/>
            <w:vAlign w:val="bottom"/>
            <w:tcBorders>
              <w:top w:val="single" w:sz="8" w:color="0000FF"/>
            </w:tcBorders>
            <w:gridSpan w:val="7"/>
          </w:tcPr>
          <w:p>
            <w:pPr>
              <w:spacing w:after="0"/>
              <w:rPr>
                <w:sz w:val="13"/>
                <w:szCs w:val="13"/>
                <w:color w:val="auto"/>
              </w:rPr>
            </w:pPr>
          </w:p>
        </w:tc>
        <w:tc>
          <w:tcPr>
            <w:tcW w:w="3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Offer Letter, dated as of June 18, 2018, by and between ThinCI, Inc. and Dinakar Munagala (incorporated by reference to Exhibit 10.16</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to the Company’s Current Report on Form 8-K filed on January 17, 2025)</w:t>
              </w:r>
            </w:hyperlink>
          </w:p>
        </w:tc>
        <w:tc>
          <w:tcPr>
            <w:tcW w:w="4460" w:type="dxa"/>
            <w:vAlign w:val="bottom"/>
            <w:tcBorders>
              <w:top w:val="single" w:sz="8" w:color="0000FF"/>
            </w:tcBorders>
            <w:gridSpan w:val="26"/>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Offer Letter, dated as of June 20, 2018, by and between ThinCI, Inc. and Val Cook (incorporated by reference to Exhibit 10.17 to the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Company’s Current Report on Form 8-K filed on 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Offer Letter, dated as of November 15, 2018, by and between ThinCI, Inc. and Dmitry Zakharchenko (incorporated by reference to</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Exhibit 10.18 to the Company’s Current Report on Form 8-K filed on January 17, 2025)</w:t>
              </w:r>
            </w:hyperlink>
          </w:p>
        </w:tc>
        <w:tc>
          <w:tcPr>
            <w:tcW w:w="3080" w:type="dxa"/>
            <w:vAlign w:val="bottom"/>
            <w:tcBorders>
              <w:top w:val="single" w:sz="8" w:color="0000FF"/>
            </w:tcBorders>
            <w:gridSpan w:val="9"/>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Amendment to Offer Letter, dated as of February 22, 2022, by and between ThinCI, Inc. and Dmitry Zakharchenko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reference to Exhibit 10.19 to the Company’s Current Report on Form 8-K filed on January 17, 2025)</w:t>
              </w:r>
            </w:hyperlink>
          </w:p>
        </w:tc>
        <w:tc>
          <w:tcPr>
            <w:tcW w:w="23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Offer Letter, dated as of July 4, 2018, by and between ThinCI, Inc. and Santiago Fernandez-Gomez. (incorporated by reference to</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Exhibit 10.20 to the Company’s Current Report on Form 8-K filed on January 17, 2025)</w:t>
              </w:r>
            </w:hyperlink>
          </w:p>
        </w:tc>
        <w:tc>
          <w:tcPr>
            <w:tcW w:w="2980" w:type="dxa"/>
            <w:vAlign w:val="bottom"/>
            <w:tcBorders>
              <w:top w:val="single" w:sz="8" w:color="0000FF"/>
            </w:tcBorders>
            <w:gridSpan w:val="7"/>
          </w:tcPr>
          <w:p>
            <w:pPr>
              <w:spacing w:after="0"/>
              <w:rPr>
                <w:sz w:val="13"/>
                <w:szCs w:val="13"/>
                <w:color w:val="auto"/>
              </w:rPr>
            </w:pPr>
          </w:p>
        </w:tc>
        <w:tc>
          <w:tcPr>
            <w:tcW w:w="3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Non-Redemption Agreement (incorporated by reference to Exhibit 10.1 to the Company’s Current Report on Form 8-K filed</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December 31, 2024)</w:t>
              </w:r>
            </w:hyperlink>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8200" w:type="dxa"/>
            <w:vAlign w:val="bottom"/>
            <w:gridSpan w:val="2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PIPE Subscription Agreement (incorporated by reference to Exhibit 10.1 to the Company’s Current Report on Form 8-K filed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on January 8, 2025)</w:t>
              </w:r>
            </w:hyperlink>
          </w:p>
        </w:tc>
        <w:tc>
          <w:tcPr>
            <w:tcW w:w="8200" w:type="dxa"/>
            <w:vAlign w:val="bottom"/>
            <w:tcBorders>
              <w:top w:val="single" w:sz="8" w:color="0000FF"/>
            </w:tcBorders>
            <w:gridSpan w:val="27"/>
          </w:tcPr>
          <w:p>
            <w:pPr>
              <w:spacing w:after="0"/>
              <w:rPr>
                <w:sz w:val="13"/>
                <w:szCs w:val="13"/>
                <w:color w:val="auto"/>
              </w:rPr>
            </w:pPr>
          </w:p>
        </w:tc>
        <w:tc>
          <w:tcPr>
            <w:tcW w:w="180" w:type="dxa"/>
            <w:vAlign w:val="bottom"/>
            <w:gridSpan w:val="6"/>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4"/>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Letter Agreement, dated as of January 13, 2025, by and among BurTech, Merger Sub, Blaize and Burkhan BurTech LP LLC and Blaize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(incorporated by reference to Exhibit 10.15 to the Company’s Current Report on Form 8-K filed on January 17, 2025)</w:t>
              </w:r>
            </w:hyperlink>
          </w:p>
        </w:tc>
        <w:tc>
          <w:tcPr>
            <w:tcW w:w="13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Registration Rights Agreement, dated as of November 10, 2025, by and among the Company, Polar Long/Short Master Fund and Polar</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Multi-Strategy Master Fund (incorporated by reference to Exhibit 10.6 to the Company’s Quarterly Report on Form 10-Q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November 13, 2025)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Registration Rights Agreement, dated July 14, 2025, by and between the Company and B. Riley Principal Capital II, LLC (incorporated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by reference to Exhibit 10.2 to the Company’s Current Report on Form 8-K filed on July 15, 2025)</w:t>
              </w:r>
            </w:hyperlink>
          </w:p>
        </w:tc>
        <w:tc>
          <w:tcPr>
            <w:tcW w:w="27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Secured Promissory Note and Pledge Agreement, dated as of January 13, 2025, by and among BurTech LP LLC and BurTech</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(incorporated by reference to Exhibit 10.14 to the Company’s Current Report on Form 8-K filed on January 17, 2025)</w:t>
              </w:r>
            </w:hyperlink>
          </w:p>
        </w:tc>
        <w:tc>
          <w:tcPr>
            <w:tcW w:w="56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Common Stock Purchase Agreement, dated July 14, 2025, by and between the Company and B. Riley Principal Capital II, LLC</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(incorporated by reference to Exhibit 10.1 to the Company’s Current Report on Form 8-K filed on July 15, 2025)</w:t>
              </w:r>
            </w:hyperlink>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Securities Purchase Agreement, dated as of November 10, 2025, by and among the Company, Polar Long/Short Master Fund and Polar</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Multi-Strategy Master Fund (incorporated by reference to Exhibit 10.4 to the Company’s Quarterly Report on Form 10-Q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November 13, 2025)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Stockholder Lock-Up Agreement, dated as of January 13, 2025, by and among the Company and certain stockholders of Legacy Blaize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named therein (incorporated by reference to Exhibit 10.12 to the Company’s Current Report on Form 8-K filed on January 17,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4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Noteholder Lock-Up Agreement, dated as of January 13, 2025, by and among the Company and certain securityholders of Legacy</w:t>
              </w:r>
            </w:hyperlink>
          </w:p>
        </w:tc>
        <w:tc>
          <w:tcPr>
            <w:tcW w:w="380" w:type="dxa"/>
            <w:vAlign w:val="bottom"/>
            <w:gridSpan w:val="13"/>
          </w:tcPr>
          <w:p>
            <w:pPr>
              <w:spacing w:after="0"/>
              <w:rPr>
                <w:sz w:val="19"/>
                <w:szCs w:val="19"/>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Blaize named therein (incorporated by reference to Exhibit 10.13 to the Company’s Current Report on Form 8-K filed on January</w:t>
              </w:r>
            </w:hyperlink>
          </w:p>
        </w:tc>
        <w:tc>
          <w:tcPr>
            <w:tcW w:w="340" w:type="dxa"/>
            <w:vAlign w:val="bottom"/>
            <w:gridSpan w:val="6"/>
          </w:tcPr>
          <w:p>
            <w:pPr>
              <w:jc w:val="right"/>
              <w:ind w:right="120"/>
              <w:spacing w:after="0" w:line="156" w:lineRule="exact"/>
              <w:rPr>
                <w:rFonts w:ascii="Times New Roman" w:cs="Times New Roman" w:eastAsia="Times New Roman" w:hAnsi="Times New Roman"/>
                <w:sz w:val="18"/>
                <w:szCs w:val="18"/>
                <w:color w:val="0000FF"/>
                <w:w w:val="88"/>
              </w:rPr>
            </w:pPr>
            <w:hyperlink r:id="rId99">
              <w:r>
                <w:rPr>
                  <w:rFonts w:ascii="Times New Roman" w:cs="Times New Roman" w:eastAsia="Times New Roman" w:hAnsi="Times New Roman"/>
                  <w:sz w:val="18"/>
                  <w:szCs w:val="18"/>
                  <w:color w:val="0000FF"/>
                  <w:w w:val="88"/>
                </w:rPr>
                <w:t>17,</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2025)</w:t>
              </w:r>
            </w:hyperlink>
          </w:p>
        </w:tc>
        <w:tc>
          <w:tcPr>
            <w:tcW w:w="3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Sales Partner Referral Agreement, dated as of June 30, 2025, by and between the Company and Burkhan LLC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reference to Exhibit 10.1 to the Company’s Current Report on Form 8-K filed on June 30, 2025)</w:t>
              </w:r>
            </w:hyperlink>
          </w:p>
        </w:tc>
        <w:tc>
          <w:tcPr>
            <w:tcW w:w="2240" w:type="dxa"/>
            <w:vAlign w:val="bottom"/>
            <w:tcBorders>
              <w:top w:val="single" w:sz="8" w:color="0000FF"/>
            </w:tcBorders>
            <w:gridSpan w:val="6"/>
          </w:tcPr>
          <w:p>
            <w:pPr>
              <w:spacing w:after="0"/>
              <w:rPr>
                <w:sz w:val="13"/>
                <w:szCs w:val="13"/>
                <w:color w:val="auto"/>
              </w:rPr>
            </w:pPr>
          </w:p>
        </w:tc>
        <w:tc>
          <w:tcPr>
            <w:tcW w:w="2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Code of Business Ethics and Conduct of Blaize Holdings, Inc. (incorporated by reference to Exhibit 14.1 to the Company’s Annual</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Report on Form 10-K filed on March 24, 2026)</w:t>
              </w:r>
            </w:hyperlink>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Blaize Holdings Inc. Insider Trading Policy (incorporated by reference to Exhibit 19.1 to the Company’s Annual Report on Form 10-K</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filed on March 24, 2026)</w:t>
              </w:r>
            </w:hyperlink>
          </w:p>
        </w:tc>
        <w:tc>
          <w:tcPr>
            <w:tcW w:w="792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List of Subsidiaries of Blaize Holdings, Inc. (incorporated by reference to Exhibit 21.1 to the Company’s Annual Report on Form 10-K</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filed on March 24, 2026)</w:t>
              </w:r>
            </w:hyperlink>
          </w:p>
        </w:tc>
        <w:tc>
          <w:tcPr>
            <w:tcW w:w="798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Consent of UHY LLP, Independent Registered Public Accounting Firm (incorporated by reference to Exhibit 23.1 to the Company’s</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Annual Report on Form 10-K filed on March 24, 2026)</w:t>
              </w:r>
            </w:hyperlink>
          </w:p>
        </w:tc>
        <w:tc>
          <w:tcPr>
            <w:tcW w:w="5540" w:type="dxa"/>
            <w:vAlign w:val="bottom"/>
            <w:tcBorders>
              <w:top w:val="single" w:sz="8" w:color="0000FF"/>
            </w:tcBorders>
            <w:gridSpan w:val="15"/>
          </w:tcPr>
          <w:p>
            <w:pPr>
              <w:spacing w:after="0"/>
              <w:rPr>
                <w:sz w:val="13"/>
                <w:szCs w:val="13"/>
                <w:color w:val="auto"/>
              </w:rPr>
            </w:pPr>
          </w:p>
        </w:tc>
        <w:tc>
          <w:tcPr>
            <w:tcW w:w="18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Chief Executive Officer Certifications pursuant to Section 302 of the Sarbanes Oxley Act of 2002 (incorporated by reference to Exhibit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Annual Report on Form 10-K filed on March 24, 2026)</w:t>
              </w:r>
            </w:hyperlink>
          </w:p>
        </w:tc>
        <w:tc>
          <w:tcPr>
            <w:tcW w:w="41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Chief Financial Officer Certifications pursuant to Section 302 of the Sarbanes Oxley Act of 2002 (incorporated by reference to Exhibit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Annual Report on Form 10-K filed on March 24, 2026)</w:t>
              </w:r>
            </w:hyperlink>
          </w:p>
        </w:tc>
        <w:tc>
          <w:tcPr>
            <w:tcW w:w="4040" w:type="dxa"/>
            <w:vAlign w:val="bottom"/>
            <w:tcBorders>
              <w:top w:val="single" w:sz="8" w:color="0000FF"/>
            </w:tcBorders>
            <w:gridSpan w:val="16"/>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Chief Executive Officer Certification pursuant to 18 U.S.C. Section 1350, as adopted pursuant to Section 906 of the Sarbanes Oxley Act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of 2002 (incorporated by reference to Exhibit 32.1 to the Company’s Annual Report on Form 10-K filed on March 24, 2026)</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Chief Financial Officer Certification pursuant to 18 U.S.C. Section 1350, as adopted pursuant to Section 906 of the Sarbanes Oxley Act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of 2002 (incorporated by reference to Exhibit 32.2 to the Company’s Annual Report on Form 10-K filed on March 24, 2026)</w:t>
              </w:r>
            </w:hyperlink>
          </w:p>
        </w:tc>
        <w:tc>
          <w:tcPr>
            <w:tcW w:w="60" w:type="dxa"/>
            <w:vAlign w:val="bottom"/>
            <w:gridSpan w:val="3"/>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Blaize Holdings. Inc. Policy for Recovery of Erroneously Awarded Compensation (incorporated by reference to Exhibit 97.1 to the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Company’s Annual Report on Form 10-K filed on March 24, 2026)</w:t>
              </w:r>
            </w:hyperlink>
          </w:p>
        </w:tc>
        <w:tc>
          <w:tcPr>
            <w:tcW w:w="500" w:type="dxa"/>
            <w:vAlign w:val="bottom"/>
            <w:gridSpan w:val="16"/>
          </w:tcPr>
          <w:p>
            <w:pPr>
              <w:spacing w:after="0"/>
              <w:rPr>
                <w:sz w:val="13"/>
                <w:szCs w:val="13"/>
                <w:color w:val="auto"/>
              </w:rPr>
            </w:pPr>
          </w:p>
        </w:tc>
      </w:tr>
      <w:tr>
        <w:trPr>
          <w:trHeight w:val="25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5080" w:type="dxa"/>
            <w:vAlign w:val="bottom"/>
            <w:gridSpan w:val="28"/>
          </w:tcPr>
          <w:p>
            <w:pPr>
              <w:spacing w:after="0"/>
              <w:rPr>
                <w:sz w:val="22"/>
                <w:szCs w:val="22"/>
                <w:color w:val="auto"/>
              </w:rPr>
            </w:pP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3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18"/>
                <w:szCs w:val="18"/>
                <w:color w:val="auto"/>
              </w:rPr>
            </w:pPr>
          </w:p>
        </w:tc>
        <w:tc>
          <w:tcPr>
            <w:tcW w:w="9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180"/>
        </w:trPr>
        <w:tc>
          <w:tcPr>
            <w:tcW w:w="1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its XBRL tags are embedded within the</w:t>
            </w: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document</w:t>
            </w:r>
          </w:p>
        </w:tc>
      </w:tr>
    </w:tbl>
    <w:p>
      <w:pPr>
        <w:spacing w:after="0" w:line="4" w:lineRule="exact"/>
        <w:rPr>
          <w:sz w:val="20"/>
          <w:szCs w:val="20"/>
          <w:color w:val="auto"/>
        </w:rPr>
      </w:pPr>
    </w:p>
    <w:p>
      <w:pPr>
        <w:ind w:left="1380" w:hanging="1354"/>
        <w:spacing w:after="0"/>
        <w:tabs>
          <w:tab w:leader="none" w:pos="13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in Inline XBRL and contained in Exhibit 101)</w:t>
      </w:r>
    </w:p>
    <w:p>
      <w:pPr>
        <w:spacing w:after="0" w:line="34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right="300" w:firstLine="8"/>
        <w:spacing w:after="0" w:line="250" w:lineRule="auto"/>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This document has been identified as a management contract or compensatory plan or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Dinakar Munagala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3340" w:type="dxa"/>
            <w:vAlign w:val="bottom"/>
            <w:gridSpan w:val="3"/>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3400" w:type="dxa"/>
            <w:vAlign w:val="bottom"/>
            <w:gridSpan w:val="6"/>
          </w:tcPr>
          <w:p>
            <w:pPr>
              <w:spacing w:after="0"/>
              <w:rPr>
                <w:sz w:val="21"/>
                <w:szCs w:val="21"/>
                <w:color w:val="auto"/>
              </w:rPr>
            </w:pPr>
          </w:p>
        </w:tc>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59"/>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Lane M. Bess</w:t>
            </w:r>
          </w:p>
        </w:tc>
        <w:tc>
          <w:tcPr>
            <w:tcW w:w="3680" w:type="dxa"/>
            <w:vAlign w:val="bottom"/>
            <w:gridSpan w:val="8"/>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Lane M. Bess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/s/ Anthony Cannestra</w:t>
            </w:r>
          </w:p>
        </w:tc>
        <w:tc>
          <w:tcPr>
            <w:tcW w:w="3280" w:type="dxa"/>
            <w:vAlign w:val="bottom"/>
            <w:gridSpan w:val="2"/>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Anthony Cannestra</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Edward Frank</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3660" w:type="dxa"/>
            <w:vAlign w:val="bottom"/>
            <w:gridSpan w:val="7"/>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Yoshiaki Fujimori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3380" w:type="dxa"/>
            <w:vAlign w:val="bottom"/>
            <w:gridSpan w:val="5"/>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Juergen Hambrecht</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6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3280" w:type="dxa"/>
            <w:vAlign w:val="bottom"/>
            <w:gridSpan w:val="2"/>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George de Urioste</w:t>
            </w:r>
          </w:p>
        </w:tc>
        <w:tc>
          <w:tcPr>
            <w:tcW w:w="3360" w:type="dxa"/>
            <w:vAlign w:val="bottom"/>
            <w:gridSpan w:val="4"/>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lowerRoman"/>
      <w:start w:val="4"/>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Roman"/>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lvl w:ilvl="1">
      <w:lvlJc w:val="left"/>
      <w:lvlText w:val="%2"/>
      <w:numFmt w:val="decimal"/>
      <w:start w:val="104"/>
    </w:lvl>
  </w:abstractNum>
  <w:abstractNum w:abstractNumId="40">
    <w:nsid w:val="153EA43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hyperlink" Target="https://www.sec.gov/ix?doc=/Archives/edgar/data/1871638/000110465924080933/brkh-20240331xs4.htm" TargetMode="External"/><Relationship Id="rId61" Type="http://schemas.openxmlformats.org/officeDocument/2006/relationships/hyperlink" Target="https://www.sec.gov/Archives/edgar/data/1871638/000110465924112666/tm2418197-13_s4a.htm" TargetMode="External"/><Relationship Id="rId62" Type="http://schemas.openxmlformats.org/officeDocument/2006/relationships/hyperlink" Target="https://www.sec.gov/Archives/edgar/data/1871638/000110465924123191/tm2418197-24_s4a.htm" TargetMode="External"/><Relationship Id="rId63" Type="http://schemas.openxmlformats.org/officeDocument/2006/relationships/hyperlink" Target="https://www.sec.gov/Archives/edgar/data/1871638/000119312525008517/d903961dex31.htm" TargetMode="External"/><Relationship Id="rId64" Type="http://schemas.openxmlformats.org/officeDocument/2006/relationships/hyperlink" Target="https://www.sec.gov/Archives/edgar/data/1871638/000119312525008517/d903961dex32.htm" TargetMode="External"/><Relationship Id="rId65" Type="http://schemas.openxmlformats.org/officeDocument/2006/relationships/hyperlink" Target="https://www.sec.gov/Archives/edgar/data/1871638/000187163826000011/a2025-q410xkex41xdescripti.htm" TargetMode="External"/><Relationship Id="rId66" Type="http://schemas.openxmlformats.org/officeDocument/2006/relationships/hyperlink" Target="https://www.sec.gov/Archives/edgar/data/1871638/000110465921150569/tm2135631d1_ex4-1.htm" TargetMode="External"/><Relationship Id="rId67" Type="http://schemas.openxmlformats.org/officeDocument/2006/relationships/hyperlink" Target="https://www.sec.gov/Archives/edgar/data/1871638/000110465921141949/tm2124406d5_ex4-2.htm" TargetMode="External"/><Relationship Id="rId68" Type="http://schemas.openxmlformats.org/officeDocument/2006/relationships/hyperlink" Target="https://www.sec.gov/Archives/edgar/data/1871638/000110465921141949/tm2124406d5_ex4-3.htm" TargetMode="External"/><Relationship Id="rId69" Type="http://schemas.openxmlformats.org/officeDocument/2006/relationships/hyperlink" Target="https://www.sec.gov/Archives/edgar/data/1871638/000119312525280252/bzai-ex10_5.htm" TargetMode="External"/><Relationship Id="rId70" Type="http://schemas.openxmlformats.org/officeDocument/2006/relationships/hyperlink" Target="https://www.sec.gov/Archives/edgar/data/1871638/000119312525008517/d903961dex1011.htm" TargetMode="External"/><Relationship Id="rId71" Type="http://schemas.openxmlformats.org/officeDocument/2006/relationships/hyperlink" Target="https://www.sec.gov/Archives/edgar/data/1871638/000119312525008517/d903961dex101.htm" TargetMode="External"/><Relationship Id="rId72" Type="http://schemas.openxmlformats.org/officeDocument/2006/relationships/hyperlink" Target="https://www.sec.gov/Archives/edgar/data/1871638/000162828026003620/exhibit43-sx3.htm" TargetMode="External"/><Relationship Id="rId73" Type="http://schemas.openxmlformats.org/officeDocument/2006/relationships/hyperlink" Target="https://www.sec.gov/Archives/edgar/data/1871638/000110465921150569/tm2135631d1_ex10-2.htm" TargetMode="External"/><Relationship Id="rId74" Type="http://schemas.openxmlformats.org/officeDocument/2006/relationships/hyperlink" Target="https://www.sec.gov/Archives/edgar/data/1871638/000119312525008517/d903961dex103.htm" TargetMode="External"/><Relationship Id="rId75" Type="http://schemas.openxmlformats.org/officeDocument/2006/relationships/hyperlink" Target="https://www.sec.gov/Archives/edgar/data/1871638/000119312525008517/d903961dex104.htm" TargetMode="External"/><Relationship Id="rId76" Type="http://schemas.openxmlformats.org/officeDocument/2006/relationships/hyperlink" Target="https://www.sec.gov/Archives/edgar/data/1871638/000119312525008517/d903961dex107.htm" TargetMode="External"/><Relationship Id="rId77" Type="http://schemas.openxmlformats.org/officeDocument/2006/relationships/hyperlink" Target="https://www.sec.gov/Archives/edgar/data/1871638/000119312525008517/d903961dex1022.htm" TargetMode="External"/><Relationship Id="rId78" Type="http://schemas.openxmlformats.org/officeDocument/2006/relationships/hyperlink" Target="https://www.sec.gov/Archives/edgar/data/1871638/000119312525008517/d903961dex108.htm" TargetMode="External"/><Relationship Id="rId79" Type="http://schemas.openxmlformats.org/officeDocument/2006/relationships/hyperlink" Target="https://www.sec.gov/Archives/edgar/data/1871638/000119312525008517/d903961dex105.htm" TargetMode="External"/><Relationship Id="rId80" Type="http://schemas.openxmlformats.org/officeDocument/2006/relationships/hyperlink" Target="https://www.sec.gov/Archives/edgar/data/1871638/000119312525118038/d893593dex993.htm" TargetMode="External"/><Relationship Id="rId81" Type="http://schemas.openxmlformats.org/officeDocument/2006/relationships/hyperlink" Target="https://www.sec.gov/Archives/edgar/data/1871638/000119312525194046/d99229dex101.htm" TargetMode="External"/><Relationship Id="rId82" Type="http://schemas.openxmlformats.org/officeDocument/2006/relationships/hyperlink" Target="https://www.sec.gov/Archives/edgar/data/1871638/000119312525008517/d903961dex106.htm" TargetMode="External"/><Relationship Id="rId83" Type="http://schemas.openxmlformats.org/officeDocument/2006/relationships/hyperlink" Target="https://www.sec.gov/Archives/edgar/data/1871638/000095017025071593/bzai-ex10_7.htm" TargetMode="External"/><Relationship Id="rId84" Type="http://schemas.openxmlformats.org/officeDocument/2006/relationships/hyperlink" Target="https://www.sec.gov/Archives/edgar/data/1871638/000187163826000001/ex101-blaizeformofchangein.htm" TargetMode="External"/><Relationship Id="rId85" Type="http://schemas.openxmlformats.org/officeDocument/2006/relationships/hyperlink" Target="https://www.sec.gov/Archives/edgar/data/1871638/000119312525008517/d903961dex1016.htm" TargetMode="External"/><Relationship Id="rId86" Type="http://schemas.openxmlformats.org/officeDocument/2006/relationships/hyperlink" Target="https://www.sec.gov/Archives/edgar/data/1871638/000119312525008517/d903961dex1017.htm" TargetMode="External"/><Relationship Id="rId87" Type="http://schemas.openxmlformats.org/officeDocument/2006/relationships/hyperlink" Target="https://www.sec.gov/Archives/edgar/data/1871638/000119312525008517/d903961dex1018.htm" TargetMode="External"/><Relationship Id="rId88" Type="http://schemas.openxmlformats.org/officeDocument/2006/relationships/hyperlink" Target="https://www.sec.gov/Archives/edgar/data/1871638/000119312525008517/d903961dex1019.htm" TargetMode="External"/><Relationship Id="rId89" Type="http://schemas.openxmlformats.org/officeDocument/2006/relationships/hyperlink" Target="https://www.sec.gov/Archives/edgar/data/1871638/000119312525008517/d903961dex1020.htm" TargetMode="External"/><Relationship Id="rId90" Type="http://schemas.openxmlformats.org/officeDocument/2006/relationships/hyperlink" Target="https://www.sec.gov/Archives/edgar/data/1871638/000110465924132802/tm2431152d1_ex10-1.htm" TargetMode="External"/><Relationship Id="rId91" Type="http://schemas.openxmlformats.org/officeDocument/2006/relationships/hyperlink" Target="https://www.sec.gov/Archives/edgar/data/1871638/000110465925001763/tm252173d1_ex10-1.htm" TargetMode="External"/><Relationship Id="rId92" Type="http://schemas.openxmlformats.org/officeDocument/2006/relationships/hyperlink" Target="https://www.sec.gov/Archives/edgar/data/1871638/000119312525008517/d903961dex1015.htm" TargetMode="External"/><Relationship Id="rId93" Type="http://schemas.openxmlformats.org/officeDocument/2006/relationships/hyperlink" Target="https://www.sec.gov/Archives/edgar/data/1871638/000119312525280252/bzai-ex10_6.htm" TargetMode="External"/><Relationship Id="rId94" Type="http://schemas.openxmlformats.org/officeDocument/2006/relationships/hyperlink" Target="https://www.sec.gov/Archives/edgar/data/1871638/000119312525158997/d13627dex102.htm" TargetMode="External"/><Relationship Id="rId95" Type="http://schemas.openxmlformats.org/officeDocument/2006/relationships/hyperlink" Target="https://www.sec.gov/Archives/edgar/data/1871638/000119312525008517/d903961dex1014.htm" TargetMode="External"/><Relationship Id="rId96" Type="http://schemas.openxmlformats.org/officeDocument/2006/relationships/hyperlink" Target="https://www.sec.gov/Archives/edgar/data/1871638/000119312525158997/d13627dex101.htm" TargetMode="External"/><Relationship Id="rId97" Type="http://schemas.openxmlformats.org/officeDocument/2006/relationships/hyperlink" Target="https://www.sec.gov/Archives/edgar/data/1871638/000119312525280252/bzai-ex10_4.htm" TargetMode="External"/><Relationship Id="rId98" Type="http://schemas.openxmlformats.org/officeDocument/2006/relationships/hyperlink" Target="https://www.sec.gov/Archives/edgar/data/1871638/000119312525008517/d903961dex1012.htm" TargetMode="External"/><Relationship Id="rId99" Type="http://schemas.openxmlformats.org/officeDocument/2006/relationships/hyperlink" Target="https://www.sec.gov/Archives/edgar/data/1871638/000119312525008517/d903961dex1013.htm" TargetMode="External"/><Relationship Id="rId100" Type="http://schemas.openxmlformats.org/officeDocument/2006/relationships/hyperlink" Target="https://www.sec.gov/Archives/edgar/data/1871638/000119312525152119/d868639dex101.htm" TargetMode="External"/><Relationship Id="rId101" Type="http://schemas.openxmlformats.org/officeDocument/2006/relationships/hyperlink" Target="https://www.sec.gov/Archives/edgar/data/1871638/000187163826000011/a2025-q4yeex141xcodeofcond.htm" TargetMode="External"/><Relationship Id="rId102" Type="http://schemas.openxmlformats.org/officeDocument/2006/relationships/hyperlink" Target="https://www.sec.gov/Archives/edgar/data/1871638/000187163826000011/a2025-q4yeex191xinsidertra.htm" TargetMode="External"/><Relationship Id="rId103" Type="http://schemas.openxmlformats.org/officeDocument/2006/relationships/hyperlink" Target="https://www.sec.gov/Archives/edgar/data/1871638/000187163826000011/a2025-q4yeex211xlistofsubs.htm" TargetMode="External"/><Relationship Id="rId104" Type="http://schemas.openxmlformats.org/officeDocument/2006/relationships/hyperlink" Target="https://www.sec.gov/Archives/edgar/data/1871638/000187163826000011/a2025-q4yeex231xauditorcon.htm" TargetMode="External"/><Relationship Id="rId105" Type="http://schemas.openxmlformats.org/officeDocument/2006/relationships/hyperlink" Target="https://www.sec.gov/Archives/edgar/data/1871638/000187163826000011/a2025-q410xkex311xmunagala.htm" TargetMode="External"/><Relationship Id="rId106" Type="http://schemas.openxmlformats.org/officeDocument/2006/relationships/hyperlink" Target="https://www.sec.gov/Archives/edgar/data/1871638/000187163826000011/a2025-q410xkex312xsehmi.htm" TargetMode="External"/><Relationship Id="rId107" Type="http://schemas.openxmlformats.org/officeDocument/2006/relationships/hyperlink" Target="https://www.sec.gov/Archives/edgar/data/1871638/000187163826000011/a2025-q410xkex321xmunagala.htm" TargetMode="External"/><Relationship Id="rId108" Type="http://schemas.openxmlformats.org/officeDocument/2006/relationships/hyperlink" Target="https://www.sec.gov/Archives/edgar/data/1871638/000187163826000011/a2025-q410xkex322xsehmi.htm" TargetMode="External"/><Relationship Id="rId109" Type="http://schemas.openxmlformats.org/officeDocument/2006/relationships/hyperlink" Target="https://www.sec.gov/Archives/edgar/data/1871638/000187163826000011/a2025-q4yeex971xclawback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2026-03-24T15:56:25Z</dcterms:created>
  <dcterms:modified xsi:type="dcterms:W3CDTF">2026-03-24T15:56:25Z</dcterms:modified>
</cp:coreProperties>
</file>