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gridSpan w:val="2"/>
            <w:vMerge w:val="restart"/>
          </w:tcPr>
          <w:p>
            <w:pPr>
              <w:jc w:val="center"/>
              <w:ind w:left="926"/>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80" w:type="dxa"/>
            <w:vAlign w:val="bottom"/>
            <w:gridSpan w:val="2"/>
            <w:vMerge w:val="restart"/>
          </w:tcPr>
          <w:p>
            <w:pPr>
              <w:jc w:val="center"/>
              <w:ind w:left="926"/>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0001871638</w:t>
              </w:r>
            </w:hyperlink>
          </w:p>
        </w:tc>
        <w:tc>
          <w:tcPr>
            <w:tcW w:w="700" w:type="dxa"/>
            <w:vAlign w:val="bottom"/>
          </w:tcPr>
          <w:p>
            <w:pPr>
              <w:spacing w:after="0"/>
              <w:rPr>
                <w:sz w:val="20"/>
                <w:szCs w:val="20"/>
                <w:color w:val="auto"/>
              </w:rPr>
            </w:pP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0000FF"/>
              </w:rPr>
              <w:t>BurTech Acquisition Corp.</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Blaize Holdings, Inc.</w:t>
            </w:r>
          </w:p>
        </w:tc>
        <w:tc>
          <w:tcPr>
            <w:tcW w:w="2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Year of Incorporation/Organization</w:t>
            </w: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40" w:type="dxa"/>
            <w:vAlign w:val="bottom"/>
          </w:tcPr>
          <w:p>
            <w:pPr>
              <w:spacing w:after="0"/>
              <w:rPr>
                <w:sz w:val="20"/>
                <w:szCs w:val="20"/>
                <w:color w:val="auto"/>
              </w:rPr>
            </w:pPr>
            <w:r>
              <w:rPr>
                <w:rFonts w:ascii="Arial" w:cs="Arial" w:eastAsia="Arial" w:hAnsi="Arial"/>
                <w:sz w:val="18"/>
                <w:szCs w:val="18"/>
                <w:color w:val="auto"/>
              </w:rPr>
              <w:t>Name of Issuer</w:t>
            </w:r>
          </w:p>
        </w:tc>
        <w:tc>
          <w:tcPr>
            <w:tcW w:w="2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0000FF"/>
              </w:rPr>
              <w:t>Blaize Holdings, Inc.</w:t>
            </w:r>
          </w:p>
        </w:tc>
        <w:tc>
          <w:tcPr>
            <w:tcW w:w="2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40" w:type="dxa"/>
            <w:vAlign w:val="bottom"/>
          </w:tcPr>
          <w:p>
            <w:pPr>
              <w:spacing w:after="0"/>
              <w:rPr>
                <w:sz w:val="20"/>
                <w:szCs w:val="20"/>
                <w:color w:val="auto"/>
              </w:rPr>
            </w:pPr>
            <w:r>
              <w:rPr>
                <w:rFonts w:ascii="Arial" w:cs="Arial" w:eastAsia="Arial" w:hAnsi="Arial"/>
                <w:sz w:val="18"/>
                <w:szCs w:val="18"/>
                <w:color w:val="auto"/>
              </w:rPr>
              <w:t>Street Address 1</w:t>
            </w:r>
          </w:p>
        </w:tc>
        <w:tc>
          <w:tcPr>
            <w:tcW w:w="26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4659 GOLDEN FOOTHILL PARKWAY, SUITE 206</w:t>
            </w: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40" w:type="dxa"/>
            <w:vAlign w:val="bottom"/>
          </w:tcPr>
          <w:p>
            <w:pPr>
              <w:spacing w:after="0"/>
              <w:rPr>
                <w:sz w:val="20"/>
                <w:szCs w:val="20"/>
                <w:color w:val="auto"/>
              </w:rPr>
            </w:pPr>
            <w:r>
              <w:rPr>
                <w:rFonts w:ascii="Arial" w:cs="Arial" w:eastAsia="Arial" w:hAnsi="Arial"/>
                <w:sz w:val="18"/>
                <w:szCs w:val="18"/>
                <w:color w:val="auto"/>
              </w:rPr>
              <w:t>City</w:t>
            </w:r>
          </w:p>
        </w:tc>
        <w:tc>
          <w:tcPr>
            <w:tcW w:w="2660" w:type="dxa"/>
            <w:vAlign w:val="bottom"/>
          </w:tcPr>
          <w:p>
            <w:pPr>
              <w:ind w:left="5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0000FF"/>
              </w:rPr>
              <w:t>EL DORADO HILLS</w:t>
            </w:r>
          </w:p>
        </w:tc>
        <w:tc>
          <w:tcPr>
            <w:tcW w:w="26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95762</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(916) 347-0050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Sehmi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Harminder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Munagala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Dinakar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Frank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Hambrecht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Juergen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Cannestra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Tony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 Urioste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Bess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Fujimori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Yoshiaki</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4659 Golden Foothill Parkway</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206</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Dorado Hills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95762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2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27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635"/>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01"/>
        </w:trPr>
        <w:tc>
          <w:tcPr>
            <w:tcW w:w="11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Yes</w:t>
            </w:r>
          </w:p>
        </w:tc>
        <w:tc>
          <w:tcPr>
            <w:tcW w:w="300" w:type="dxa"/>
            <w:vAlign w:val="bottom"/>
            <w:tcBorders>
              <w:top w:val="single" w:sz="8" w:color="auto"/>
              <w:right w:val="single" w:sz="8" w:color="auto"/>
            </w:tcBorders>
          </w:tcPr>
          <w:p>
            <w:pPr>
              <w:spacing w:after="0"/>
              <w:rPr>
                <w:sz w:val="17"/>
                <w:szCs w:val="17"/>
                <w:color w:val="auto"/>
              </w:rPr>
            </w:pPr>
          </w:p>
        </w:tc>
        <w:tc>
          <w:tcPr>
            <w:tcW w:w="260" w:type="dxa"/>
            <w:vAlign w:val="bottom"/>
          </w:tcPr>
          <w:p>
            <w:pPr>
              <w:ind w:left="20"/>
              <w:spacing w:after="0" w:line="201" w:lineRule="exact"/>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-116840</wp:posOffset>
            </wp:positionV>
            <wp:extent cx="128905" cy="117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2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2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color w:val="auto"/>
                <w:w w:val="96"/>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-1702435</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-1487805</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-1273810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-1059180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-845185</wp:posOffset>
            </wp:positionV>
            <wp:extent cx="128905"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-667385</wp:posOffset>
            </wp:positionV>
            <wp:extent cx="201295" cy="149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-304800</wp:posOffset>
            </wp:positionV>
            <wp:extent cx="128905"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-1864995</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-1651000</wp:posOffset>
            </wp:positionV>
            <wp:extent cx="12890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-1273810</wp:posOffset>
            </wp:positionV>
            <wp:extent cx="1289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-1059180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-845185</wp:posOffset>
            </wp:positionV>
            <wp:extent cx="128905"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-467995</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-253365</wp:posOffset>
            </wp:positionV>
            <wp:extent cx="128905" cy="128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360" w:space="720"/>
            <w:col w:w="7160"/>
          </w:cols>
          <w:pgMar w:left="320" w:top="302" w:right="339" w:bottom="0" w:gutter="0" w:footer="0" w:header="0"/>
          <w:type w:val="continuous"/>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917575</wp:posOffset>
            </wp:positionH>
            <wp:positionV relativeFrom="page">
              <wp:posOffset>88900</wp:posOffset>
            </wp:positionV>
            <wp:extent cx="12700" cy="107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0795"/>
                    </a:xfrm>
                    <a:prstGeom prst="rect">
                      <a:avLst/>
                    </a:prstGeom>
                    <a:noFill/>
                  </pic:spPr>
                </pic:pic>
              </a:graphicData>
            </a:graphic>
          </wp:anchor>
        </w:drawing>
        <w:drawing>
          <wp:anchor simplePos="0" relativeHeight="251657728" behindDoc="1" locked="0" layoutInCell="0" allowOverlap="1">
            <wp:simplePos x="0" y="0"/>
            <wp:positionH relativeFrom="page">
              <wp:posOffset>728980</wp:posOffset>
            </wp:positionH>
            <wp:positionV relativeFrom="page">
              <wp:posOffset>88900</wp:posOffset>
            </wp:positionV>
            <wp:extent cx="12700" cy="107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0795"/>
                    </a:xfrm>
                    <a:prstGeom prst="rect">
                      <a:avLst/>
                    </a:prstGeom>
                    <a:noFill/>
                  </pic:spPr>
                </pic:pic>
              </a:graphicData>
            </a:graphic>
          </wp:anchor>
        </w:drawing>
        <w:drawing>
          <wp:anchor simplePos="0" relativeHeight="251657728" behindDoc="1" locked="0" layoutInCell="0" allowOverlap="1">
            <wp:simplePos x="0" y="0"/>
            <wp:positionH relativeFrom="page">
              <wp:posOffset>1860550</wp:posOffset>
            </wp:positionH>
            <wp:positionV relativeFrom="page">
              <wp:posOffset>88900</wp:posOffset>
            </wp:positionV>
            <wp:extent cx="12700" cy="10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0795"/>
                    </a:xfrm>
                    <a:prstGeom prst="rect">
                      <a:avLst/>
                    </a:prstGeom>
                    <a:noFill/>
                  </pic:spPr>
                </pic:pic>
              </a:graphicData>
            </a:graphic>
          </wp:anchor>
        </w:drawing>
        <w:drawing>
          <wp:anchor simplePos="0" relativeHeight="251657728" behindDoc="1" locked="0" layoutInCell="0" allowOverlap="1">
            <wp:simplePos x="0" y="0"/>
            <wp:positionH relativeFrom="page">
              <wp:posOffset>1671955</wp:posOffset>
            </wp:positionH>
            <wp:positionV relativeFrom="page">
              <wp:posOffset>88900</wp:posOffset>
            </wp:positionV>
            <wp:extent cx="12700" cy="107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0795"/>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page">
              <wp:posOffset>4597400</wp:posOffset>
            </wp:positionH>
            <wp:positionV relativeFrom="page">
              <wp:posOffset>88900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8"/>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left w:val="single" w:sz="8" w:color="auto"/>
              <w:right w:val="single" w:sz="8" w:color="auto"/>
            </w:tcBorders>
            <w:vMerge w:val="restart"/>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vMerge w:val="restart"/>
          </w:tcPr>
          <w:p>
            <w:pPr>
              <w:spacing w:after="0"/>
              <w:rPr>
                <w:sz w:val="2"/>
                <w:szCs w:val="2"/>
                <w:color w:val="auto"/>
              </w:rPr>
            </w:pPr>
          </w:p>
        </w:tc>
        <w:tc>
          <w:tcPr>
            <w:tcW w:w="120" w:type="dxa"/>
            <w:vAlign w:val="bottom"/>
            <w:tcBorders>
              <w:right w:val="single" w:sz="8" w:color="auto"/>
            </w:tcBorders>
            <w:vMerge w:val="restart"/>
          </w:tcPr>
          <w:p>
            <w:pPr>
              <w:spacing w:after="0"/>
              <w:rPr>
                <w:sz w:val="2"/>
                <w:szCs w:val="2"/>
                <w:color w:val="auto"/>
              </w:rPr>
            </w:pPr>
          </w:p>
        </w:tc>
        <w:tc>
          <w:tcPr>
            <w:tcW w:w="300" w:type="dxa"/>
            <w:vAlign w:val="bottom"/>
            <w:tcBorders>
              <w:right w:val="single" w:sz="8" w:color="auto"/>
            </w:tcBorders>
            <w:vMerge w:val="restart"/>
          </w:tcPr>
          <w:p>
            <w:pPr>
              <w:spacing w:after="0"/>
              <w:rPr>
                <w:sz w:val="2"/>
                <w:szCs w:val="2"/>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line="20" w:lineRule="exact"/>
              <w:rPr>
                <w:sz w:val="1"/>
                <w:szCs w:val="1"/>
                <w:color w:val="auto"/>
              </w:rPr>
            </w:pPr>
          </w:p>
        </w:tc>
      </w:tr>
      <w:tr>
        <w:trPr>
          <w:trHeight w:val="58"/>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340" w:type="dxa"/>
            <w:vAlign w:val="bottom"/>
            <w:gridSpan w:val="5"/>
            <w:vMerge w:val="restart"/>
          </w:tcPr>
          <w:p>
            <w:pPr>
              <w:ind w:left="40"/>
              <w:spacing w:after="0"/>
              <w:rPr>
                <w:sz w:val="20"/>
                <w:szCs w:val="20"/>
                <w:color w:val="auto"/>
              </w:rPr>
            </w:pPr>
            <w:r>
              <w:rPr>
                <w:rFonts w:ascii="Arial" w:cs="Arial" w:eastAsia="Arial" w:hAnsi="Arial"/>
                <w:sz w:val="18"/>
                <w:szCs w:val="18"/>
                <w:color w:val="auto"/>
              </w:rPr>
              <w:t>Other Banking &amp; Financial Services</w:t>
            </w:r>
          </w:p>
        </w:tc>
        <w:tc>
          <w:tcPr>
            <w:tcW w:w="320" w:type="dxa"/>
            <w:vAlign w:val="bottom"/>
            <w:tcBorders>
              <w:left w:val="single" w:sz="8" w:color="auto"/>
              <w:right w:val="single" w:sz="8" w:color="auto"/>
            </w:tcBorders>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6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340" w:type="dxa"/>
            <w:vAlign w:val="bottom"/>
            <w:gridSpan w:val="5"/>
            <w:vMerge w:val="continue"/>
          </w:tcPr>
          <w:p>
            <w:pPr>
              <w:spacing w:after="0"/>
              <w:rPr>
                <w:sz w:val="8"/>
                <w:szCs w:val="8"/>
                <w:color w:val="auto"/>
              </w:rPr>
            </w:pPr>
          </w:p>
        </w:tc>
        <w:tc>
          <w:tcPr>
            <w:tcW w:w="3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300" w:type="dxa"/>
            <w:vAlign w:val="bottom"/>
            <w:tcBorders>
              <w:bottom w:val="single" w:sz="8" w:color="auto"/>
              <w:right w:val="single" w:sz="8" w:color="auto"/>
            </w:tcBorders>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340" w:type="dxa"/>
            <w:vAlign w:val="bottom"/>
            <w:gridSpan w:val="5"/>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3680" w:type="dxa"/>
            <w:vAlign w:val="bottom"/>
            <w:gridSpan w:val="7"/>
          </w:tcPr>
          <w:p>
            <w:pPr>
              <w:spacing w:after="0" w:line="196" w:lineRule="exact"/>
              <w:rPr>
                <w:sz w:val="20"/>
                <w:szCs w:val="20"/>
                <w:color w:val="auto"/>
              </w:rPr>
            </w:pPr>
            <w:r>
              <w:rPr>
                <w:rFonts w:ascii="Arial" w:cs="Arial" w:eastAsia="Arial" w:hAnsi="Arial"/>
                <w:sz w:val="18"/>
                <w:szCs w:val="18"/>
                <w:color w:val="auto"/>
              </w:rPr>
              <w:t>Business Services</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680" w:type="dxa"/>
            <w:vAlign w:val="bottom"/>
            <w:gridSpan w:val="7"/>
            <w:vMerge w:val="restart"/>
          </w:tcPr>
          <w:p>
            <w:pPr>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368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gridSpan w:val="5"/>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3340" w:type="dxa"/>
            <w:vAlign w:val="bottom"/>
            <w:gridSpan w:val="5"/>
            <w:vMerge w:val="continue"/>
          </w:tcPr>
          <w:p>
            <w:pPr>
              <w:spacing w:after="0"/>
              <w:rPr>
                <w:sz w:val="11"/>
                <w:szCs w:val="11"/>
                <w:color w:val="auto"/>
              </w:rPr>
            </w:pPr>
          </w:p>
        </w:tc>
        <w:tc>
          <w:tcPr>
            <w:tcW w:w="320" w:type="dxa"/>
            <w:vAlign w:val="bottom"/>
            <w:tcBorders>
              <w:left w:val="single" w:sz="8" w:color="auto"/>
              <w:right w:val="single" w:sz="8" w:color="auto"/>
            </w:tcBorders>
          </w:tcPr>
          <w:p>
            <w:pPr>
              <w:spacing w:after="0"/>
              <w:rPr>
                <w:sz w:val="11"/>
                <w:szCs w:val="11"/>
                <w:color w:val="auto"/>
              </w:rPr>
            </w:pPr>
          </w:p>
        </w:tc>
        <w:tc>
          <w:tcPr>
            <w:tcW w:w="2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40" w:type="dxa"/>
            <w:vAlign w:val="bottom"/>
            <w:gridSpan w:val="5"/>
            <w:vMerge w:val="restart"/>
          </w:tcPr>
          <w:p>
            <w:pPr>
              <w:ind w:left="40"/>
              <w:spacing w:after="0"/>
              <w:rPr>
                <w:sz w:val="20"/>
                <w:szCs w:val="20"/>
                <w:color w:val="auto"/>
              </w:rPr>
            </w:pPr>
            <w:r>
              <w:rPr>
                <w:rFonts w:ascii="Arial" w:cs="Arial" w:eastAsia="Arial" w:hAnsi="Arial"/>
                <w:sz w:val="18"/>
                <w:szCs w:val="18"/>
                <w:color w:val="auto"/>
              </w:rPr>
              <w:t>Electric Utilities</w:t>
            </w:r>
          </w:p>
        </w:tc>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gridSpan w:val="5"/>
            <w:vMerge w:val="continue"/>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4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-892810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-715010</wp:posOffset>
            </wp:positionV>
            <wp:extent cx="201295" cy="149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-353060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-738505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-524510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-309880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-738505</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-524510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ind w:left="428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64135</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0"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2025-11-10</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6"/>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6"/>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6"/>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6"/>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-2791460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-2791460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-2628265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-2628265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-2465705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-2465705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-2242820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-2242820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-1530985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-1530985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132"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bottom w:val="single" w:sz="8" w:color="auto"/>
              <w:right w:val="single" w:sz="8" w:color="auto"/>
            </w:tcBorders>
          </w:tcPr>
          <w:p>
            <w:pPr>
              <w:spacing w:after="0"/>
              <w:rPr>
                <w:sz w:val="17"/>
                <w:szCs w:val="17"/>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Craig-Hallum Capital Group</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121395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323 North Washington Ave.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Suite 300</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Minneapolis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MINNESOTA</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55401</w:t>
            </w:r>
          </w:p>
        </w:tc>
        <w:tc>
          <w:tcPr>
            <w:tcW w:w="0" w:type="dxa"/>
            <w:vAlign w:val="bottom"/>
          </w:tcPr>
          <w:p>
            <w:pPr>
              <w:spacing w:after="0"/>
              <w:rPr>
                <w:sz w:val="1"/>
                <w:szCs w:val="1"/>
                <w:color w:val="auto"/>
              </w:rPr>
            </w:pPr>
          </w:p>
        </w:tc>
      </w:tr>
      <w:tr>
        <w:trPr>
          <w:trHeight w:val="80"/>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4"/>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4"/>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4"/>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9A9A9A"/>
            </w:tcBorders>
            <w:gridSpan w:val="3"/>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3"/>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30,000,000</w:t>
            </w:r>
            <w:r>
              <w:rPr>
                <w:rFonts w:ascii="Arial" w:cs="Arial" w:eastAsia="Arial" w:hAnsi="Arial"/>
                <w:sz w:val="18"/>
                <w:szCs w:val="18"/>
                <w:color w:val="auto"/>
                <w:w w:val="98"/>
              </w:rPr>
              <w:t xml:space="preserve"> USD</w:t>
            </w:r>
          </w:p>
        </w:tc>
        <w:tc>
          <w:tcPr>
            <w:tcW w:w="3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30,000,000</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4700270</wp:posOffset>
            </wp:positionH>
            <wp:positionV relativeFrom="page">
              <wp:posOffset>88900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-2427605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-2427605</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-1313180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-1313180</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1,875,000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240"/>
          </w:cols>
          <w:pgMar w:left="320" w:top="132"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42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44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70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3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Blaize Holdings, Inc.</w:t>
            </w:r>
          </w:p>
        </w:tc>
        <w:tc>
          <w:tcPr>
            <w:tcW w:w="20" w:type="dxa"/>
            <w:vAlign w:val="bottom"/>
          </w:tcPr>
          <w:p>
            <w:pPr>
              <w:spacing w:after="0"/>
              <w:rPr>
                <w:sz w:val="20"/>
                <w:szCs w:val="20"/>
                <w:color w:val="auto"/>
              </w:rPr>
            </w:pPr>
          </w:p>
        </w:tc>
        <w:tc>
          <w:tcPr>
            <w:tcW w:w="24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Dinakar Munagala</w:t>
            </w: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Dinakar Munagala</w:t>
            </w:r>
          </w:p>
        </w:tc>
        <w:tc>
          <w:tcPr>
            <w:tcW w:w="20" w:type="dxa"/>
            <w:vAlign w:val="bottom"/>
          </w:tcPr>
          <w:p>
            <w:pPr>
              <w:spacing w:after="0"/>
              <w:rPr>
                <w:sz w:val="20"/>
                <w:szCs w:val="20"/>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360" w:type="dxa"/>
            <w:vAlign w:val="bottom"/>
            <w:tcBorders>
              <w:top w:val="single" w:sz="8" w:color="2C2C2C"/>
              <w:bottom w:val="single" w:sz="8" w:color="808080"/>
            </w:tcBorders>
          </w:tcPr>
          <w:p>
            <w:pPr>
              <w:jc w:val="right"/>
              <w:ind w:right="432"/>
              <w:spacing w:after="0"/>
              <w:rPr>
                <w:sz w:val="20"/>
                <w:szCs w:val="20"/>
                <w:color w:val="auto"/>
              </w:rPr>
            </w:pPr>
            <w:r>
              <w:rPr>
                <w:rFonts w:ascii="Times New Roman" w:cs="Times New Roman" w:eastAsia="Times New Roman" w:hAnsi="Times New Roman"/>
                <w:sz w:val="18"/>
                <w:szCs w:val="18"/>
                <w:color w:val="0000FF"/>
                <w:w w:val="97"/>
              </w:rPr>
              <w:t>2025-11-18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9"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2025-11-18T15:41:57Z</dcterms:created>
  <dcterms:modified xsi:type="dcterms:W3CDTF">2025-11-18T15:41:57Z</dcterms:modified>
</cp:coreProperties>
</file>