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7047230" cy="8059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059420"/>
                    </a:xfrm>
                    <a:prstGeom prst="rect">
                      <a:avLst/>
                    </a:prstGeom>
                    <a:noFill/>
                  </pic:spPr>
                </pic:pic>
              </a:graphicData>
            </a:graphic>
          </wp:anchor>
        </w:drawing>
      </w:r>
    </w:p>
    <w:p>
      <w:pPr>
        <w:spacing w:after="0" w:line="1157" w:lineRule="exact"/>
        <w:rPr>
          <w:sz w:val="24"/>
          <w:szCs w:val="24"/>
          <w:color w:val="auto"/>
        </w:rPr>
      </w:pPr>
    </w:p>
    <w:p>
      <w:pPr>
        <w:sectPr>
          <w:pgSz w:w="11900" w:h="16898" w:orient="portrait"/>
          <w:cols w:equalWidth="0" w:num="2">
            <w:col w:w="2280" w:space="34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Bess Lane</w:t>
              </w:r>
            </w:hyperlink>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Blaize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BZAI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tcBorders>
              <w:bottom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Borders>
              <w:bottom w:val="single" w:sz="8" w:color="0000EE"/>
            </w:tcBorders>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05/08/2026</w:t>
            </w: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BLAIZE HOLDINGS, INC.</w:t>
            </w:r>
          </w:p>
        </w:tc>
        <w:tc>
          <w:tcPr>
            <w:tcW w:w="122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2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4659 GOLDEN FOOTHILL PARKWAY, SUITE 206</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8" w:orient="portrait"/>
          <w:cols w:equalWidth="0" w:num="1">
            <w:col w:w="11080"/>
          </w:cols>
          <w:pgMar w:left="460" w:top="216" w:right="359" w:bottom="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EL DORADO</w:t>
            </w: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95762</w:t>
            </w:r>
          </w:p>
        </w:tc>
      </w:tr>
      <w:tr>
        <w:trPr>
          <w:trHeight w:val="146"/>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9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right"/>
              <w:ind w:right="289"/>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right"/>
              <w:ind w:right="18"/>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By Bess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Ventures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Pr>
          <w:p>
            <w:pPr>
              <w:spacing w:after="0"/>
              <w:rPr>
                <w:sz w:val="17"/>
                <w:szCs w:val="17"/>
                <w:color w:val="auto"/>
              </w:rPr>
            </w:pP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0000FF"/>
              </w:rPr>
              <w:t>05/08/2026</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140"/>
              <w:spacing w:after="0" w:line="203"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0000FF"/>
              </w:rPr>
              <w:t>2,000,000</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169"/>
              <w:spacing w:after="0"/>
              <w:rPr>
                <w:sz w:val="20"/>
                <w:szCs w:val="20"/>
                <w:color w:val="auto"/>
              </w:rPr>
            </w:pPr>
            <w:r>
              <w:rPr>
                <w:rFonts w:ascii="Times New Roman" w:cs="Times New Roman" w:eastAsia="Times New Roman" w:hAnsi="Times New Roman"/>
                <w:sz w:val="11"/>
                <w:szCs w:val="11"/>
                <w:color w:val="008000"/>
              </w:rPr>
              <w:t>(1)</w:t>
            </w:r>
          </w:p>
        </w:tc>
        <w:tc>
          <w:tcPr>
            <w:tcW w:w="1560" w:type="dxa"/>
            <w:vAlign w:val="bottom"/>
            <w:gridSpan w:val="3"/>
          </w:tcPr>
          <w:p>
            <w:pPr>
              <w:jc w:val="center"/>
              <w:ind w:right="481"/>
              <w:spacing w:after="0" w:line="203" w:lineRule="exact"/>
              <w:rPr>
                <w:sz w:val="20"/>
                <w:szCs w:val="20"/>
                <w:color w:val="auto"/>
              </w:rPr>
            </w:pPr>
            <w:r>
              <w:rPr>
                <w:rFonts w:ascii="Times New Roman" w:cs="Times New Roman" w:eastAsia="Times New Roman" w:hAnsi="Times New Roman"/>
                <w:sz w:val="16"/>
                <w:szCs w:val="16"/>
                <w:color w:val="0000FF"/>
              </w:rPr>
              <w:t>12,446,783</w:t>
            </w:r>
            <w:r>
              <w:rPr>
                <w:rFonts w:ascii="Times New Roman" w:cs="Times New Roman" w:eastAsia="Times New Roman" w:hAnsi="Times New Roman"/>
                <w:sz w:val="21"/>
                <w:szCs w:val="21"/>
                <w:color w:val="008000"/>
                <w:vertAlign w:val="superscript"/>
              </w:rPr>
              <w:t>(2)</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and</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Advisory,</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(3)</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By Destin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gridSpan w:val="3"/>
            <w:vMerge w:val="restart"/>
          </w:tcPr>
          <w:p>
            <w:pPr>
              <w:jc w:val="center"/>
              <w:ind w:right="581"/>
              <w:spacing w:after="0"/>
              <w:rPr>
                <w:sz w:val="20"/>
                <w:szCs w:val="20"/>
                <w:color w:val="auto"/>
              </w:rPr>
            </w:pPr>
            <w:r>
              <w:rPr>
                <w:rFonts w:ascii="Times New Roman" w:cs="Times New Roman" w:eastAsia="Times New Roman" w:hAnsi="Times New Roman"/>
                <w:sz w:val="16"/>
                <w:szCs w:val="16"/>
                <w:color w:val="0000FF"/>
              </w:rPr>
              <w:t>389,968</w:t>
            </w:r>
            <w:r>
              <w:rPr>
                <w:rFonts w:ascii="Times New Roman" w:cs="Times New Roman" w:eastAsia="Times New Roman" w:hAnsi="Times New Roman"/>
                <w:sz w:val="21"/>
                <w:szCs w:val="21"/>
                <w:color w:val="008000"/>
                <w:vertAlign w:val="superscript"/>
              </w:rPr>
              <w:t>(2)</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Huang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Irrevocable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right"/>
              <w:ind w:right="18"/>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jc w:val="right"/>
              <w:ind w:right="338"/>
              <w:spacing w:after="0"/>
              <w:rPr>
                <w:sz w:val="20"/>
                <w:szCs w:val="20"/>
                <w:color w:val="auto"/>
              </w:rPr>
            </w:pPr>
            <w:r>
              <w:rPr>
                <w:rFonts w:ascii="Arial" w:cs="Arial" w:eastAsia="Arial" w:hAnsi="Arial"/>
                <w:sz w:val="11"/>
                <w:szCs w:val="11"/>
                <w:b w:val="1"/>
                <w:bCs w:val="1"/>
                <w:color w:val="auto"/>
                <w:w w:val="92"/>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01/13/2030</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47,341</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47,341</w:t>
            </w:r>
            <w:r>
              <w:rPr>
                <w:rFonts w:ascii="Times New Roman" w:cs="Times New Roman" w:eastAsia="Times New Roman" w:hAnsi="Times New Roman"/>
                <w:sz w:val="21"/>
                <w:szCs w:val="21"/>
                <w:color w:val="008000"/>
                <w:w w:val="92"/>
                <w:vertAlign w:val="superscript"/>
              </w:rPr>
              <w:t>(2)</w:t>
            </w:r>
          </w:p>
        </w:tc>
        <w:tc>
          <w:tcPr>
            <w:tcW w:w="520" w:type="dxa"/>
            <w:vAlign w:val="bottom"/>
            <w:vMerge w:val="restart"/>
          </w:tcPr>
          <w:p>
            <w:pPr>
              <w:jc w:val="center"/>
              <w:ind w:left="257"/>
              <w:spacing w:after="0"/>
              <w:rPr>
                <w:sz w:val="20"/>
                <w:szCs w:val="20"/>
                <w:color w:val="auto"/>
              </w:rPr>
            </w:pPr>
            <w:r>
              <w:rPr>
                <w:rFonts w:ascii="Times New Roman" w:cs="Times New Roman" w:eastAsia="Times New Roman" w:hAnsi="Times New Roman"/>
                <w:sz w:val="13"/>
                <w:szCs w:val="13"/>
                <w:color w:val="0000FF"/>
                <w:w w:val="84"/>
              </w:rPr>
              <w:t>D</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185,234</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10/23/2034</w:t>
            </w: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185,234</w:t>
            </w:r>
          </w:p>
        </w:tc>
        <w:tc>
          <w:tcPr>
            <w:tcW w:w="520" w:type="dxa"/>
            <w:vAlign w:val="bottom"/>
            <w:vMerge w:val="restart"/>
          </w:tcPr>
          <w:p>
            <w:pPr>
              <w:jc w:val="center"/>
              <w:ind w:left="257"/>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tcPr>
          <w:p>
            <w:pPr>
              <w:ind w:left="60"/>
              <w:spacing w:after="0" w:line="233" w:lineRule="exact"/>
              <w:rPr>
                <w:sz w:val="20"/>
                <w:szCs w:val="20"/>
                <w:color w:val="auto"/>
              </w:rPr>
            </w:pPr>
            <w:r>
              <w:rPr>
                <w:rFonts w:ascii="Times New Roman" w:cs="Times New Roman" w:eastAsia="Times New Roman" w:hAnsi="Times New Roman"/>
                <w:sz w:val="13"/>
                <w:szCs w:val="13"/>
                <w:color w:val="0000FF"/>
                <w:w w:val="98"/>
              </w:rPr>
              <w:t>purchase)</w:t>
            </w:r>
            <w:r>
              <w:rPr>
                <w:rFonts w:ascii="Times New Roman" w:cs="Times New Roman" w:eastAsia="Times New Roman" w:hAnsi="Times New Roman"/>
                <w:sz w:val="21"/>
                <w:szCs w:val="21"/>
                <w:color w:val="008000"/>
                <w:w w:val="98"/>
                <w:vertAlign w:val="superscript"/>
              </w:rPr>
              <w:t>(6)</w:t>
            </w: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187,379</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jc w:val="center"/>
              <w:ind w:right="45"/>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10/23/2034</w:t>
            </w: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187,379</w:t>
            </w:r>
          </w:p>
        </w:tc>
        <w:tc>
          <w:tcPr>
            <w:tcW w:w="520" w:type="dxa"/>
            <w:vAlign w:val="bottom"/>
            <w:vMerge w:val="restart"/>
          </w:tcPr>
          <w:p>
            <w:pPr>
              <w:jc w:val="center"/>
              <w:ind w:left="257"/>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tcPr>
          <w:p>
            <w:pPr>
              <w:ind w:left="60"/>
              <w:spacing w:after="0" w:line="233" w:lineRule="exact"/>
              <w:rPr>
                <w:sz w:val="20"/>
                <w:szCs w:val="20"/>
                <w:color w:val="auto"/>
              </w:rPr>
            </w:pPr>
            <w:r>
              <w:rPr>
                <w:rFonts w:ascii="Times New Roman" w:cs="Times New Roman" w:eastAsia="Times New Roman" w:hAnsi="Times New Roman"/>
                <w:sz w:val="13"/>
                <w:szCs w:val="13"/>
                <w:color w:val="0000FF"/>
                <w:w w:val="98"/>
              </w:rPr>
              <w:t>purchase)</w:t>
            </w:r>
            <w:r>
              <w:rPr>
                <w:rFonts w:ascii="Times New Roman" w:cs="Times New Roman" w:eastAsia="Times New Roman" w:hAnsi="Times New Roman"/>
                <w:sz w:val="21"/>
                <w:szCs w:val="21"/>
                <w:color w:val="008000"/>
                <w:w w:val="98"/>
                <w:vertAlign w:val="superscript"/>
              </w:rPr>
              <w:t>(6)</w:t>
            </w: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gridSpan w:val="2"/>
            <w:vMerge w:val="restart"/>
          </w:tcPr>
          <w:p>
            <w:pPr>
              <w:jc w:val="center"/>
              <w:ind w:right="25"/>
              <w:spacing w:after="0"/>
              <w:rPr>
                <w:sz w:val="20"/>
                <w:szCs w:val="20"/>
                <w:color w:val="auto"/>
              </w:rPr>
            </w:pPr>
            <w:r>
              <w:rPr>
                <w:rFonts w:ascii="Times New Roman" w:cs="Times New Roman" w:eastAsia="Times New Roman" w:hAnsi="Times New Roman"/>
                <w:sz w:val="11"/>
                <w:szCs w:val="11"/>
                <w:color w:val="008000"/>
                <w:w w:val="97"/>
              </w:rPr>
              <w:t>(10)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159,250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159,250</w:t>
            </w:r>
          </w:p>
        </w:tc>
        <w:tc>
          <w:tcPr>
            <w:tcW w:w="520" w:type="dxa"/>
            <w:vAlign w:val="bottom"/>
            <w:vMerge w:val="restart"/>
          </w:tcPr>
          <w:p>
            <w:pPr>
              <w:jc w:val="center"/>
              <w:ind w:left="257"/>
              <w:spacing w:after="0"/>
              <w:rPr>
                <w:sz w:val="20"/>
                <w:szCs w:val="20"/>
                <w:color w:val="auto"/>
              </w:rPr>
            </w:pPr>
            <w:r>
              <w:rPr>
                <w:rFonts w:ascii="Times New Roman" w:cs="Times New Roman" w:eastAsia="Times New Roman" w:hAnsi="Times New Roman"/>
                <w:sz w:val="13"/>
                <w:szCs w:val="13"/>
                <w:color w:val="0000FF"/>
                <w:w w:val="84"/>
              </w:rPr>
              <w:t>D</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By Bess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Earnout</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1,207,193</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spacing w:after="0" w:line="140" w:lineRule="exact"/>
              <w:rPr>
                <w:sz w:val="20"/>
                <w:szCs w:val="20"/>
                <w:color w:val="auto"/>
              </w:rPr>
            </w:pPr>
            <w:r>
              <w:rPr>
                <w:rFonts w:ascii="Times New Roman" w:cs="Times New Roman" w:eastAsia="Times New Roman" w:hAnsi="Times New Roman"/>
                <w:sz w:val="13"/>
                <w:szCs w:val="13"/>
                <w:color w:val="0000FF"/>
              </w:rPr>
              <w:t>Ventures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tcPr>
          <w:p>
            <w:pPr>
              <w:jc w:val="center"/>
              <w:ind w:right="45"/>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01/13/2030</w:t>
            </w:r>
          </w:p>
        </w:tc>
        <w:tc>
          <w:tcPr>
            <w:tcW w:w="6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6"/>
              </w:rPr>
              <w:t>1,207,193</w:t>
            </w:r>
          </w:p>
        </w:tc>
        <w:tc>
          <w:tcPr>
            <w:tcW w:w="520" w:type="dxa"/>
            <w:vAlign w:val="bottom"/>
          </w:tcPr>
          <w:p>
            <w:pPr>
              <w:jc w:val="center"/>
              <w:ind w:left="257"/>
              <w:spacing w:after="0" w:line="140" w:lineRule="exact"/>
              <w:rPr>
                <w:sz w:val="20"/>
                <w:szCs w:val="20"/>
                <w:color w:val="auto"/>
              </w:rPr>
            </w:pPr>
            <w:r>
              <w:rPr>
                <w:rFonts w:ascii="Times New Roman" w:cs="Times New Roman" w:eastAsia="Times New Roman" w:hAnsi="Times New Roman"/>
                <w:sz w:val="13"/>
                <w:szCs w:val="13"/>
                <w:color w:val="0000FF"/>
                <w:w w:val="91"/>
              </w:rPr>
              <w:t>I</w:t>
            </w:r>
          </w:p>
        </w:tc>
        <w:tc>
          <w:tcPr>
            <w:tcW w:w="320" w:type="dxa"/>
            <w:vAlign w:val="bottom"/>
          </w:tcPr>
          <w:p>
            <w:pPr>
              <w:spacing w:after="0"/>
              <w:rPr>
                <w:sz w:val="12"/>
                <w:szCs w:val="12"/>
                <w:color w:val="auto"/>
              </w:rPr>
            </w:pPr>
          </w:p>
        </w:tc>
        <w:tc>
          <w:tcPr>
            <w:tcW w:w="680" w:type="dxa"/>
            <w:vAlign w:val="bottom"/>
            <w:gridSpan w:val="3"/>
          </w:tcPr>
          <w:p>
            <w:pPr>
              <w:spacing w:after="0" w:line="140" w:lineRule="exact"/>
              <w:rPr>
                <w:sz w:val="20"/>
                <w:szCs w:val="20"/>
                <w:color w:val="auto"/>
              </w:rPr>
            </w:pPr>
            <w:r>
              <w:rPr>
                <w:rFonts w:ascii="Times New Roman" w:cs="Times New Roman" w:eastAsia="Times New Roman" w:hAnsi="Times New Roman"/>
                <w:sz w:val="13"/>
                <w:szCs w:val="13"/>
                <w:color w:val="0000FF"/>
              </w:rPr>
              <w:t>and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0000FF"/>
              </w:rPr>
              <w:t>Advisory,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3"/>
          </w:tcPr>
          <w:p>
            <w:pPr>
              <w:spacing w:after="0" w:line="233" w:lineRule="exact"/>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By Destin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Earnout</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tcPr>
          <w:p>
            <w:pPr>
              <w:jc w:val="center"/>
              <w:ind w:right="45"/>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01/13/2030</w:t>
            </w:r>
          </w:p>
        </w:tc>
        <w:tc>
          <w:tcPr>
            <w:tcW w:w="66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52,619</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52,619</w:t>
            </w:r>
          </w:p>
        </w:tc>
        <w:tc>
          <w:tcPr>
            <w:tcW w:w="520" w:type="dxa"/>
            <w:vAlign w:val="bottom"/>
            <w:vMerge w:val="restart"/>
          </w:tcPr>
          <w:p>
            <w:pPr>
              <w:jc w:val="center"/>
              <w:ind w:left="257"/>
              <w:spacing w:after="0"/>
              <w:rPr>
                <w:sz w:val="20"/>
                <w:szCs w:val="20"/>
                <w:color w:val="auto"/>
              </w:rPr>
            </w:pPr>
            <w:r>
              <w:rPr>
                <w:rFonts w:ascii="Times New Roman" w:cs="Times New Roman" w:eastAsia="Times New Roman" w:hAnsi="Times New Roman"/>
                <w:sz w:val="13"/>
                <w:szCs w:val="13"/>
                <w:color w:val="0000FF"/>
                <w:w w:val="91"/>
              </w:rPr>
              <w:t>I</w:t>
            </w:r>
          </w:p>
        </w:tc>
        <w:tc>
          <w:tcPr>
            <w:tcW w:w="320" w:type="dxa"/>
            <w:vAlign w:val="bottom"/>
          </w:tcPr>
          <w:p>
            <w:pPr>
              <w:spacing w:after="0"/>
              <w:rPr>
                <w:sz w:val="12"/>
                <w:szCs w:val="12"/>
                <w:color w:val="auto"/>
              </w:rPr>
            </w:pPr>
          </w:p>
        </w:tc>
        <w:tc>
          <w:tcPr>
            <w:tcW w:w="680" w:type="dxa"/>
            <w:vAlign w:val="bottom"/>
            <w:gridSpan w:val="3"/>
          </w:tcPr>
          <w:p>
            <w:pPr>
              <w:spacing w:after="0" w:line="140" w:lineRule="exact"/>
              <w:rPr>
                <w:sz w:val="20"/>
                <w:szCs w:val="20"/>
                <w:color w:val="auto"/>
              </w:rPr>
            </w:pPr>
            <w:r>
              <w:rPr>
                <w:rFonts w:ascii="Times New Roman" w:cs="Times New Roman" w:eastAsia="Times New Roman" w:hAnsi="Times New Roman"/>
                <w:sz w:val="13"/>
                <w:szCs w:val="13"/>
                <w:color w:val="0000FF"/>
              </w:rPr>
              <w:t>Huang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Shares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6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spacing w:after="0" w:line="147" w:lineRule="exact"/>
              <w:rPr>
                <w:sz w:val="20"/>
                <w:szCs w:val="20"/>
                <w:color w:val="auto"/>
              </w:rPr>
            </w:pPr>
            <w:r>
              <w:rPr>
                <w:rFonts w:ascii="Times New Roman" w:cs="Times New Roman" w:eastAsia="Times New Roman" w:hAnsi="Times New Roman"/>
                <w:sz w:val="13"/>
                <w:szCs w:val="13"/>
                <w:color w:val="0000FF"/>
              </w:rPr>
              <w:t>Irrevocable</w:t>
            </w:r>
          </w:p>
        </w:tc>
        <w:tc>
          <w:tcPr>
            <w:tcW w:w="0" w:type="dxa"/>
            <w:vAlign w:val="bottom"/>
          </w:tcPr>
          <w:p>
            <w:pPr>
              <w:spacing w:after="0"/>
              <w:rPr>
                <w:sz w:val="1"/>
                <w:szCs w:val="1"/>
                <w:color w:val="auto"/>
              </w:rPr>
            </w:pPr>
          </w:p>
        </w:tc>
      </w:tr>
    </w:tbl>
    <w:p>
      <w:pPr>
        <w:jc w:val="right"/>
        <w:ind w:right="280"/>
        <w:spacing w:after="0"/>
        <w:rPr>
          <w:sz w:val="20"/>
          <w:szCs w:val="20"/>
          <w:color w:val="auto"/>
        </w:rPr>
      </w:pPr>
      <w:r>
        <w:rPr>
          <w:rFonts w:ascii="Times New Roman" w:cs="Times New Roman" w:eastAsia="Times New Roman" w:hAnsi="Times New Roman"/>
          <w:sz w:val="13"/>
          <w:szCs w:val="13"/>
          <w:color w:val="0000FF"/>
        </w:rPr>
        <w:t>Trust</w:t>
      </w:r>
      <w:r>
        <w:rPr>
          <w:rFonts w:ascii="Times New Roman" w:cs="Times New Roman" w:eastAsia="Times New Roman" w:hAnsi="Times New Roman"/>
          <w:sz w:val="21"/>
          <w:szCs w:val="21"/>
          <w:color w:val="008000"/>
          <w:vertAlign w:val="superscript"/>
        </w:rPr>
        <w:t>(4)</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Issuer's common stock acquired by Bess Ventures and Advisory, LLC in good faith in connection with a debt previously contracted. Accordingly, such acquisition is exempt from Section 16(b) of the Securities Exchange Act of 1934, as amended.</w:t>
      </w:r>
    </w:p>
    <w:p>
      <w:pPr>
        <w:spacing w:after="0" w:line="19" w:lineRule="exact"/>
        <w:rPr>
          <w:rFonts w:ascii="Times New Roman" w:cs="Times New Roman" w:eastAsia="Times New Roman" w:hAnsi="Times New Roman"/>
          <w:sz w:val="13"/>
          <w:szCs w:val="13"/>
          <w:color w:val="008000"/>
        </w:rPr>
      </w:pPr>
    </w:p>
    <w:p>
      <w:pPr>
        <w:ind w:left="40" w:right="52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reporting person's prior Form 4 filings, earnout shares and restricted stock units had been reported in Table I. These holdings have been moved to Table II, and there have been no transactions in such holdings since the reporting person's last Form 4 filing.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and owner of Bess Ventures and Advisory, LLC and therefore may be deemed to share beneficial ownership over such shares.</w:t>
      </w:r>
    </w:p>
    <w:p>
      <w:pPr>
        <w:sectPr>
          <w:pgSz w:w="11900" w:h="16898" w:orient="portrait"/>
          <w:cols w:equalWidth="0" w:num="1">
            <w:col w:w="11080"/>
          </w:cols>
          <w:pgMar w:left="460" w:top="216" w:right="359" w:bottom="0" w:gutter="0" w:footer="0" w:header="0"/>
          <w:type w:val="continuous"/>
        </w:sectPr>
      </w:pPr>
    </w:p>
    <w:bookmarkStart w:id="1" w:name="page2"/>
    <w:bookmarkEnd w:id="1"/>
    <w:p>
      <w:pPr>
        <w:ind w:right="160"/>
        <w:spacing w:after="0" w:line="249"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the Coral Gables Trust Company, as Trustee of the Destin Huang Irrevocable Trust Dated October 19, 2021 (the "Trust"). The reporting person is the Investment Fiduciary of the Trust and therefore may be deemed to share beneficial ownership over such shares.</w:t>
      </w:r>
    </w:p>
    <w:p>
      <w:pPr>
        <w:spacing w:after="0" w:line="19" w:lineRule="exact"/>
        <w:rPr>
          <w:rFonts w:ascii="Times New Roman" w:cs="Times New Roman" w:eastAsia="Times New Roman" w:hAnsi="Times New Roman"/>
          <w:sz w:val="13"/>
          <w:szCs w:val="13"/>
          <w:color w:val="008000"/>
        </w:rPr>
      </w:pPr>
    </w:p>
    <w:p>
      <w:pPr>
        <w:spacing w:after="0" w:line="286"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January 13, 2025, the date of the Issuer's business combination, the reporting person received earnout shares in respect of the Issuer's business combination. Each eanout share represents a contingent right to receive one share of the Issuer's common stock if the trading price of the Issuer's common stock exceeds certain thresholds for 20 of 30 consecutive trading days post-closing of the Issuer's business combination.</w:t>
      </w:r>
    </w:p>
    <w:p>
      <w:pPr>
        <w:spacing w:after="0" w:line="1" w:lineRule="exact"/>
        <w:rPr>
          <w:rFonts w:ascii="Times New Roman" w:cs="Times New Roman" w:eastAsia="Times New Roman" w:hAnsi="Times New Roman"/>
          <w:sz w:val="12"/>
          <w:szCs w:val="12"/>
          <w:color w:val="008000"/>
        </w:rPr>
      </w:pPr>
    </w:p>
    <w:p>
      <w:pPr>
        <w:ind w:right="240"/>
        <w:spacing w:after="0" w:line="237"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received as part of that certain Agreement and Plan of Merger, dated as of December 22, 2023 and amended on April 22, 2024, October 24, 2024 and November 21, 2024 (the "Merger Agreement"), by and between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26"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one third of the underlying shares on December 1, 2025 and thereafter in 24 equal monthly installments.</w:t>
      </w:r>
    </w:p>
    <w:p>
      <w:pPr>
        <w:spacing w:after="0" w:line="4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which vest in accordance with the applicable grant agreement.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Bess Ventures and Advisory, LLC files separate Section 16 reports from the Reporting Person.</w:t>
      </w:r>
    </w:p>
    <w:p>
      <w:pPr>
        <w:spacing w:after="0" w:line="60" w:lineRule="exact"/>
        <w:rPr>
          <w:sz w:val="20"/>
          <w:szCs w:val="20"/>
          <w:color w:val="auto"/>
        </w:rPr>
      </w:pPr>
    </w:p>
    <w:tbl>
      <w:tblPr>
        <w:tblLayout w:type="fixed"/>
        <w:tblInd w:w="6560" w:type="dxa"/>
        <w:tblCellMar>
          <w:top w:w="0" w:type="dxa"/>
          <w:left w:w="0" w:type="dxa"/>
          <w:bottom w:w="0" w:type="dxa"/>
          <w:right w:w="0" w:type="dxa"/>
        </w:tblCellMar>
      </w:tblPr>
      <w:tr>
        <w:trPr>
          <w:trHeight w:val="184"/>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Harminder Sehmi, as</w:t>
            </w:r>
          </w:p>
        </w:tc>
        <w:tc>
          <w:tcPr>
            <w:tcW w:w="6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05/12/2026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46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6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3859"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2026-05-12T18:17:34Z</dcterms:created>
  <dcterms:modified xsi:type="dcterms:W3CDTF">2026-05-12T18:17:34Z</dcterms:modified>
</cp:coreProperties>
</file>