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600" w:type="dxa"/>
            <w:vAlign w:val="bottom"/>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900" w:type="dxa"/>
            <w:vAlign w:val="bottom"/>
          </w:tcPr>
          <w:p>
            <w:pPr>
              <w:spacing w:after="0"/>
              <w:rPr>
                <w:sz w:val="19"/>
                <w:szCs w:val="19"/>
                <w:color w:val="auto"/>
              </w:rPr>
            </w:pPr>
          </w:p>
        </w:tc>
        <w:tc>
          <w:tcPr>
            <w:tcW w:w="22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6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spacing w:after="0"/>
              <w:rPr>
                <w:sz w:val="16"/>
                <w:szCs w:val="16"/>
                <w:color w:val="auto"/>
              </w:rPr>
            </w:pPr>
          </w:p>
        </w:tc>
        <w:tc>
          <w:tcPr>
            <w:tcW w:w="2280" w:type="dxa"/>
            <w:vAlign w:val="bottom"/>
          </w:tcPr>
          <w:p>
            <w:pPr>
              <w:jc w:val="center"/>
              <w:ind w:righ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3600" w:type="dxa"/>
            <w:vAlign w:val="bottom"/>
          </w:tcPr>
          <w:p>
            <w:pPr>
              <w:spacing w:after="0"/>
              <w:rPr>
                <w:sz w:val="24"/>
                <w:szCs w:val="24"/>
                <w:color w:val="auto"/>
              </w:rPr>
            </w:pPr>
          </w:p>
        </w:tc>
        <w:tc>
          <w:tcPr>
            <w:tcW w:w="290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80" w:type="dxa"/>
            <w:vAlign w:val="bottom"/>
          </w:tcPr>
          <w:p>
            <w:pPr>
              <w:spacing w:after="0"/>
              <w:rPr>
                <w:sz w:val="24"/>
                <w:szCs w:val="24"/>
                <w:color w:val="auto"/>
              </w:rPr>
            </w:pPr>
          </w:p>
        </w:tc>
      </w:tr>
      <w:tr>
        <w:trPr>
          <w:trHeight w:val="190"/>
        </w:trPr>
        <w:tc>
          <w:tcPr>
            <w:tcW w:w="6500" w:type="dxa"/>
            <w:vAlign w:val="bottom"/>
            <w:gridSpan w:val="2"/>
          </w:tcPr>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August 14, 2025, Blaize Holdings, Inc. (“Blaize”) issued a press release announcing its results of operations for the quarter ended June 30, 2025. A copy of the press release is attached hereto as Exhibit 99.1.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and in Exhibit 99.1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Blaize under the Exchange Act or the Securities Act of 1933, as amended, regardless of any general incorporation language in such filings, except as shall be expressly set forth by specific reference in any such filings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Exhibits.</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14, 2025.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173990</wp:posOffset>
            </wp:positionV>
            <wp:extent cx="175704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04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Blaize Announces Second Quarter 2025 Financial Results</w:t>
      </w: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Second quarter results demonstrate shift from validation to execution, with Hybrid AI and smart infrastructure</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deployments underway across Asia</w:t>
      </w:r>
    </w:p>
    <w:p>
      <w:pPr>
        <w:spacing w:after="0" w:line="203" w:lineRule="exact"/>
        <w:rPr>
          <w:sz w:val="20"/>
          <w:szCs w:val="20"/>
          <w:color w:val="auto"/>
        </w:rPr>
      </w:pPr>
    </w:p>
    <w:p>
      <w:pPr>
        <w:jc w:val="both"/>
        <w:ind w:left="4"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 Dorado Hills, Calif. – August 14, 2025 — </w:t>
      </w:r>
      <w:r>
        <w:rPr>
          <w:rFonts w:ascii="Times New Roman" w:cs="Times New Roman" w:eastAsia="Times New Roman" w:hAnsi="Times New Roman"/>
          <w:sz w:val="18"/>
          <w:szCs w:val="18"/>
          <w:u w:val="single" w:color="auto"/>
          <w:color w:val="auto"/>
        </w:rPr>
        <w:t>Blaize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BZAI) (“Blaize”), a leader in programmable, energy-efficient edge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today announced financial results for the quarter ended June 30, 2025 – a quarter that marks a critical inflection point as Blaize shifts from technology validation to execution.</w:t>
      </w:r>
    </w:p>
    <w:p>
      <w:pPr>
        <w:spacing w:after="0" w:line="17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Blaize is deploying its technologies to progress sovereign AI strategies, delivering intelligence to critical infrastructure, and powering AI for public safety networks, including citywide traffic management. Optimized by its programmable, power-efficient Blaize AI Platform, we are enabling Hybrid AI deployments that complement existing GPU systems and running multimodal workloads such as vision, audio and sensor data with greater efficiency and lower total cost.</w:t>
      </w:r>
    </w:p>
    <w:p>
      <w:pPr>
        <w:spacing w:after="0" w:line="176"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Hybrid AI </w:t>
      </w:r>
      <w:r>
        <w:rPr>
          <w:rFonts w:ascii="Times New Roman" w:cs="Times New Roman" w:eastAsia="Times New Roman" w:hAnsi="Times New Roman"/>
          <w:sz w:val="18"/>
          <w:szCs w:val="18"/>
          <w:color w:val="auto"/>
        </w:rPr>
        <w:t>is an architectural approach that combines multiple types of AI hardware across edge and cloud environments, assigning each task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optimal processor. With Blaize’s hybrid AI approach, existing GPU systems handle large-scale training and complex AI in the cloud, while Blaize’s purpose-built platform runs fast, power-efficient inference for workloads like live video, small language models, and sensor data directly at the edge or in the cloud —reducing latency, improving performance-per-watt, and lowering total cost of ownership.</w:t>
      </w:r>
    </w:p>
    <w:p>
      <w:pPr>
        <w:spacing w:after="0" w:line="176"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recent months, we’ve turned vision into results, securing major contracts to power large-scale customer deployments in the near term, and launching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Blaize AI Platform to accelerate Hybrid AI adoption,” said </w:t>
      </w:r>
      <w:r>
        <w:rPr>
          <w:rFonts w:ascii="Times New Roman" w:cs="Times New Roman" w:eastAsia="Times New Roman" w:hAnsi="Times New Roman"/>
          <w:sz w:val="18"/>
          <w:szCs w:val="18"/>
          <w:b w:val="1"/>
          <w:bCs w:val="1"/>
          <w:color w:val="auto"/>
        </w:rPr>
        <w:t>Dinakar Munagala, co-founder and CEO of Blaize</w:t>
      </w:r>
      <w:r>
        <w:rPr>
          <w:rFonts w:ascii="Times New Roman" w:cs="Times New Roman" w:eastAsia="Times New Roman" w:hAnsi="Times New Roman"/>
          <w:sz w:val="18"/>
          <w:szCs w:val="18"/>
          <w:color w:val="auto"/>
        </w:rPr>
        <w:t>. “With strong revenue growth, a growing customer base, and a platform built for scale, we believe we are entering a new chapter defined by execution and momentum.”</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Second Quarter 2025 Financial Highlights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gross margin and changes)</w:t>
            </w:r>
          </w:p>
        </w:tc>
        <w:tc>
          <w:tcPr>
            <w:tcW w:w="8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10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QoQ</w:t>
            </w:r>
          </w:p>
        </w:tc>
        <w:tc>
          <w:tcPr>
            <w:tcW w:w="540" w:type="dxa"/>
            <w:vAlign w:val="bottom"/>
            <w:vMerge w:val="restart"/>
          </w:tcPr>
          <w:p>
            <w:pPr>
              <w:spacing w:after="0"/>
              <w:rPr>
                <w:sz w:val="10"/>
                <w:szCs w:val="10"/>
                <w:color w:val="auto"/>
              </w:rPr>
            </w:pPr>
          </w:p>
        </w:tc>
        <w:tc>
          <w:tcPr>
            <w:tcW w:w="440" w:type="dxa"/>
            <w:vAlign w:val="bottom"/>
            <w:vMerge w:val="restart"/>
          </w:tcPr>
          <w:p>
            <w:pPr>
              <w:jc w:val="right"/>
              <w:spacing w:after="0" w:line="290" w:lineRule="exact"/>
              <w:rPr>
                <w:sz w:val="20"/>
                <w:szCs w:val="20"/>
                <w:color w:val="auto"/>
              </w:rPr>
            </w:pPr>
            <w:r>
              <w:rPr>
                <w:rFonts w:ascii="Times New Roman" w:cs="Times New Roman" w:eastAsia="Times New Roman" w:hAnsi="Times New Roman"/>
                <w:sz w:val="28"/>
                <w:szCs w:val="28"/>
                <w:b w:val="1"/>
                <w:bCs w:val="1"/>
                <w:color w:val="auto"/>
                <w:w w:val="80"/>
                <w:vertAlign w:val="subscript"/>
              </w:rPr>
              <w:t>YoY</w:t>
            </w:r>
            <w:r>
              <w:rPr>
                <w:rFonts w:ascii="Times New Roman" w:cs="Times New Roman" w:eastAsia="Times New Roman" w:hAnsi="Times New Roman"/>
                <w:sz w:val="11"/>
                <w:szCs w:val="11"/>
                <w:b w:val="1"/>
                <w:bCs w:val="1"/>
                <w:color w:val="auto"/>
                <w:w w:val="80"/>
              </w:rPr>
              <w:t xml:space="preserve"> (1)</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Gross margin </w:t>
            </w:r>
            <w:r>
              <w:rPr>
                <w:rFonts w:ascii="Times New Roman" w:cs="Times New Roman" w:eastAsia="Times New Roman" w:hAnsi="Times New Roman"/>
                <w:sz w:val="25"/>
                <w:szCs w:val="25"/>
                <w:color w:val="auto"/>
                <w:vertAlign w:val="superscript"/>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(9)pp</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74pp</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9,613</w:t>
            </w:r>
          </w:p>
        </w:tc>
        <w:tc>
          <w:tcPr>
            <w:tcW w:w="1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5,872</w:t>
            </w:r>
          </w:p>
        </w:tc>
        <w:tc>
          <w:tcPr>
            <w:tcW w:w="8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12,992</w:t>
            </w: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5,004</w:t>
            </w:r>
          </w:p>
        </w:tc>
        <w:tc>
          <w:tcPr>
            <w:tcW w:w="8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(147,761)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(12,153)</w:t>
            </w:r>
          </w:p>
        </w:tc>
        <w:tc>
          <w:tcPr>
            <w:tcW w:w="8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signifies not meaningful, as the derived percentage is not meaningful to investors.</w:t>
      </w:r>
    </w:p>
    <w:p>
      <w:pPr>
        <w:spacing w:after="0" w:line="27" w:lineRule="exact"/>
        <w:rPr>
          <w:rFonts w:ascii="Times New Roman" w:cs="Times New Roman" w:eastAsia="Times New Roman" w:hAnsi="Times New Roman"/>
          <w:sz w:val="18"/>
          <w:szCs w:val="18"/>
          <w:color w:val="auto"/>
        </w:rPr>
      </w:pPr>
    </w:p>
    <w:p>
      <w:pPr>
        <w:ind w:left="424" w:right="56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defines gross margin as gross profit divided by revenue, and gross profit as revenue less cost of revenue (excluding depreciation and amortization).</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gross margin and changes)</w:t>
            </w:r>
          </w:p>
        </w:tc>
        <w:tc>
          <w:tcPr>
            <w:tcW w:w="1480" w:type="dxa"/>
            <w:vAlign w:val="bottom"/>
          </w:tcPr>
          <w:p>
            <w:pPr>
              <w:spacing w:after="0"/>
              <w:rPr>
                <w:sz w:val="10"/>
                <w:szCs w:val="10"/>
                <w:color w:val="auto"/>
              </w:rPr>
            </w:pPr>
          </w:p>
        </w:tc>
        <w:tc>
          <w:tcPr>
            <w:tcW w:w="1120" w:type="dxa"/>
            <w:vAlign w:val="bottom"/>
            <w:gridSpan w:val="2"/>
          </w:tcPr>
          <w:p>
            <w:pPr>
              <w:jc w:val="right"/>
              <w:ind w:right="46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20" w:type="dxa"/>
            <w:vAlign w:val="bottom"/>
            <w:gridSpan w:val="2"/>
          </w:tcPr>
          <w:p>
            <w:pPr>
              <w:jc w:val="center"/>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QoQ</w:t>
            </w:r>
          </w:p>
        </w:tc>
        <w:tc>
          <w:tcPr>
            <w:tcW w:w="500" w:type="dxa"/>
            <w:vAlign w:val="bottom"/>
            <w:vMerge w:val="restart"/>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 xml:space="preserve">YoY </w:t>
            </w:r>
            <w:r>
              <w:rPr>
                <w:rFonts w:ascii="Times New Roman" w:cs="Times New Roman" w:eastAsia="Times New Roman" w:hAnsi="Times New Roman"/>
                <w:sz w:val="21"/>
                <w:szCs w:val="21"/>
                <w:b w:val="1"/>
                <w:bCs w:val="1"/>
                <w:color w:val="auto"/>
                <w:w w:val="89"/>
                <w:vertAlign w:val="superscript"/>
              </w:rPr>
              <w:t>(1)</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Gross margin </w:t>
            </w:r>
            <w:r>
              <w:rPr>
                <w:rFonts w:ascii="Times New Roman" w:cs="Times New Roman" w:eastAsia="Times New Roman" w:hAnsi="Times New Roman"/>
                <w:sz w:val="25"/>
                <w:szCs w:val="25"/>
                <w:color w:val="auto"/>
                <w:vertAlign w:val="superscript"/>
              </w:rPr>
              <w:t>(2)</w:t>
            </w:r>
          </w:p>
        </w:tc>
        <w:tc>
          <w:tcPr>
            <w:tcW w:w="2600" w:type="dxa"/>
            <w:vAlign w:val="bottom"/>
            <w:gridSpan w:val="3"/>
          </w:tcPr>
          <w:p>
            <w:pPr>
              <w:jc w:val="right"/>
              <w:ind w:right="228"/>
              <w:spacing w:after="0"/>
              <w:rPr>
                <w:sz w:val="20"/>
                <w:szCs w:val="20"/>
                <w:color w:val="auto"/>
              </w:rPr>
            </w:pPr>
            <w:r>
              <w:rPr>
                <w:rFonts w:ascii="Times New Roman" w:cs="Times New Roman" w:eastAsia="Times New Roman" w:hAnsi="Times New Roman"/>
                <w:sz w:val="18"/>
                <w:szCs w:val="18"/>
                <w:color w:val="auto"/>
              </w:rPr>
              <w:t>64%</w:t>
            </w:r>
          </w:p>
        </w:tc>
        <w:tc>
          <w:tcPr>
            <w:tcW w:w="11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59pp</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79pp</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6,417</w:t>
            </w:r>
          </w:p>
        </w:tc>
        <w:tc>
          <w:tcPr>
            <w:tcW w:w="11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5,702</w:t>
            </w:r>
          </w:p>
        </w:tc>
        <w:tc>
          <w:tcPr>
            <w:tcW w:w="8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color w:val="auto"/>
              </w:rPr>
              <w:t>8,622</w:t>
            </w:r>
          </w:p>
        </w:tc>
        <w:tc>
          <w:tcPr>
            <w:tcW w:w="11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4,828</w:t>
            </w:r>
          </w:p>
        </w:tc>
        <w:tc>
          <w:tcPr>
            <w:tcW w:w="8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2600" w:type="dxa"/>
            <w:vAlign w:val="bottom"/>
            <w:gridSpan w:val="3"/>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(12,933)</w:t>
            </w:r>
          </w:p>
        </w:tc>
        <w:tc>
          <w:tcPr>
            <w:tcW w:w="11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(10,560)</w:t>
            </w:r>
          </w:p>
        </w:tc>
        <w:tc>
          <w:tcPr>
            <w:tcW w:w="8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signifies not meaningful, as the derived percentage is not meaningful to investors.</w:t>
      </w:r>
    </w:p>
    <w:p>
      <w:pPr>
        <w:spacing w:after="0" w:line="27" w:lineRule="exact"/>
        <w:rPr>
          <w:rFonts w:ascii="Times New Roman" w:cs="Times New Roman" w:eastAsia="Times New Roman" w:hAnsi="Times New Roman"/>
          <w:sz w:val="18"/>
          <w:szCs w:val="18"/>
          <w:color w:val="auto"/>
        </w:rPr>
      </w:pPr>
    </w:p>
    <w:p>
      <w:pPr>
        <w:ind w:left="424" w:right="2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defines non-GAAP gross margin as non-GAAP gross profit divided by revenue, and non-GAAP gross profit as revenue less cost of revenue (excluding depreciation and amortization) and non-recurring inventory cost alignments.</w:t>
      </w:r>
    </w:p>
    <w:p>
      <w:pPr>
        <w:sectPr>
          <w:pgSz w:w="11900" w:h="16838" w:orient="portrait"/>
          <w:cols w:equalWidth="0" w:num="1">
            <w:col w:w="11024"/>
          </w:cols>
          <w:pgMar w:left="436" w:top="117" w:right="439" w:bottom="1440" w:gutter="0" w:footer="0" w:header="0"/>
        </w:sectPr>
      </w:pPr>
    </w:p>
    <w:bookmarkStart w:id="4" w:name="page5"/>
    <w:bookmarkEnd w:id="4"/>
    <w:p>
      <w:pPr>
        <w:ind w:left="424" w:right="1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 for the second quarter of 2025 was approximately $2.0 million, an increase of 97% compared to the first quarter of 2025, and exceeding the upper limit of guidance by approximately 17%. This increase was largely driven by the initial shipments of our South Asia purchase order.</w:t>
      </w:r>
    </w:p>
    <w:p>
      <w:pPr>
        <w:spacing w:after="0" w:line="67"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a non-GAAP measure of underlying operating performance, in the second quarter of 2025 was $12.9 million, compared to an Adjusted EBITDA loss of $15.4 million in the first quarter of 2025, reflecting a stable cost base and improved gross margin. For a definition and a reconciliation of Adjusted EBITDA loss to net loss, the most directly comparable GAAP financial metric, see the section entitled, “Non-GAAP Measures” and “Reconciliation of GAAP and Non-GAAP Measures” table below, respectively.</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$29.1 million, including $0.5 million held in escrow as of June 30, 2025.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Recent Business Announcements and Updates</w:t>
      </w:r>
    </w:p>
    <w:p>
      <w:pPr>
        <w:spacing w:after="0" w:line="121"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Blaize is continuing to capitalize on growing global demand for edge AI, translating pipeline into execution across priority sectors. In the first half of 2025, the company advanced from pilot programs to real deployments, including two foundational contracts that Blaize secured recently that help to validate its product-market fit and reinforce the global demand for Hybrid AI infrastructure.</w:t>
      </w:r>
    </w:p>
    <w:p>
      <w:pPr>
        <w:spacing w:after="0" w:line="77" w:lineRule="exact"/>
        <w:rPr>
          <w:sz w:val="20"/>
          <w:szCs w:val="20"/>
          <w:color w:val="auto"/>
        </w:rPr>
      </w:pPr>
    </w:p>
    <w:p>
      <w:pPr>
        <w:ind w:left="424" w:right="220" w:hanging="424"/>
        <w:spacing w:after="0" w:line="28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$120 million agreement with Starshine,</w:t>
      </w:r>
      <w:r>
        <w:rPr>
          <w:rFonts w:ascii="Times New Roman" w:cs="Times New Roman" w:eastAsia="Times New Roman" w:hAnsi="Times New Roman"/>
          <w:sz w:val="18"/>
          <w:szCs w:val="18"/>
          <w:color w:val="auto"/>
        </w:rPr>
        <w:t xml:space="preserve"> a strategic systems partner with customers across Asia, to deliver sovereign-ready Hybrid AI infrastructure in Thailand, Indonesia, India, Korea, China, and beyond. Deployments under this contract are expected to commence in Q3 2025.</w:t>
      </w:r>
    </w:p>
    <w:p>
      <w:pPr>
        <w:spacing w:after="0" w:line="60" w:lineRule="exact"/>
        <w:rPr>
          <w:rFonts w:ascii="Times New Roman" w:cs="Times New Roman" w:eastAsia="Times New Roman" w:hAnsi="Times New Roman"/>
          <w:sz w:val="18"/>
          <w:szCs w:val="18"/>
          <w:color w:val="auto"/>
        </w:rPr>
      </w:pPr>
    </w:p>
    <w:p>
      <w:pPr>
        <w:ind w:left="424" w:right="64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$56 million purchase order for smart infrastructure rollout in South Asia,</w:t>
      </w:r>
      <w:r>
        <w:rPr>
          <w:rFonts w:ascii="Times New Roman" w:cs="Times New Roman" w:eastAsia="Times New Roman" w:hAnsi="Times New Roman"/>
          <w:sz w:val="18"/>
          <w:szCs w:val="18"/>
          <w:color w:val="auto"/>
        </w:rPr>
        <w:t xml:space="preserve"> which is expected to enable 250,000 cameras with AI capabilities for improved smart traffic management and public safety. To date, $1.8 million of this purchase order has been shipped with a remaining backlog of $4.6 million expected this year. This purchase order includes a software component of around 15% per server.</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Starshine and the South Asia contracts are expected to be fulfilled by the end of 2026.</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These projects underscore the potential market demand for Blaize’s platform model and are being executed through strong relationships and partner-led go-to-market strategies. With over $725 million in active global pipeline opportunities through 2027, over $300 million of which represents revenue opportunities in advanced discussions, and other pipeline projects in the initial stages of technical evaluation, we believe we are positioned as a potential critical player in powering the era of Hybrid AI. Any such opportunities are subject to change and the timing and ultimate amount of any contracted revenue, if any, remains uncertain.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Introducing the Blaize AI Platform: Infrastructure for the Hybrid Era</w:t>
      </w:r>
    </w:p>
    <w:p>
      <w:pPr>
        <w:spacing w:after="0" w:line="117" w:lineRule="exact"/>
        <w:rPr>
          <w:sz w:val="20"/>
          <w:szCs w:val="20"/>
          <w:color w:val="auto"/>
        </w:rPr>
      </w:pPr>
    </w:p>
    <w:p>
      <w:pPr>
        <w:ind w:left="4" w:right="440"/>
        <w:spacing w:after="0" w:line="268" w:lineRule="auto"/>
        <w:rPr>
          <w:sz w:val="20"/>
          <w:szCs w:val="20"/>
          <w:color w:val="auto"/>
        </w:rPr>
      </w:pPr>
      <w:r>
        <w:rPr>
          <w:rFonts w:ascii="Times New Roman" w:cs="Times New Roman" w:eastAsia="Times New Roman" w:hAnsi="Times New Roman"/>
          <w:sz w:val="18"/>
          <w:szCs w:val="18"/>
          <w:color w:val="auto"/>
        </w:rPr>
        <w:t xml:space="preserve">Blaize recently launched the </w:t>
      </w:r>
      <w:r>
        <w:rPr>
          <w:rFonts w:ascii="Times New Roman" w:cs="Times New Roman" w:eastAsia="Times New Roman" w:hAnsi="Times New Roman"/>
          <w:sz w:val="18"/>
          <w:szCs w:val="18"/>
          <w:b w:val="1"/>
          <w:bCs w:val="1"/>
          <w:color w:val="auto"/>
        </w:rPr>
        <w:t>Blaize AI Platform</w:t>
      </w:r>
      <w:r>
        <w:rPr>
          <w:rFonts w:ascii="Times New Roman" w:cs="Times New Roman" w:eastAsia="Times New Roman" w:hAnsi="Times New Roman"/>
          <w:sz w:val="18"/>
          <w:szCs w:val="18"/>
          <w:color w:val="auto"/>
        </w:rPr>
        <w:t>, a programmable, plug-and-play AI infrastructure stack built for edge-to-cloud deployments. The platform combines Blaize’s GSP-based silicon, verticalized software stacks, low-code/no-code SDKs, and a fast-growing ecosystem of solution providers and system integrators.</w:t>
      </w:r>
    </w:p>
    <w:p>
      <w:pPr>
        <w:spacing w:after="0" w:line="17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By reducing latency, cost, and deployment friction, the Blaize AI Platform enables faster time-to-value for AI applications across smart cities, defense, logistics, and industrial automation.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 Outlook and Execution Readiness</w:t>
      </w:r>
    </w:p>
    <w:p>
      <w:pPr>
        <w:spacing w:after="0" w:line="12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Looking ahead, Blaize expects continued revenue growth from existing contracts and new wins across Asia, the Americas, and the Gulf Region. In anticipation of meeting this growing customer demand, the Company continues to:</w:t>
      </w:r>
    </w:p>
    <w:p>
      <w:pPr>
        <w:spacing w:after="0" w:line="67" w:lineRule="exact"/>
        <w:rPr>
          <w:sz w:val="20"/>
          <w:szCs w:val="20"/>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closely with chip and contract manufacturers to secure supply chain capacity;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technical milestones with billing cycles to optimize revenue timing;</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internal systems to scale order fulfilment and revenue recognition across our hardware and software platforms;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next generation platform development to enable larger, more complex deployments in the future.</w:t>
      </w:r>
    </w:p>
    <w:p>
      <w:pPr>
        <w:sectPr>
          <w:pgSz w:w="11900" w:h="16838" w:orient="portrait"/>
          <w:cols w:equalWidth="0" w:num="1">
            <w:col w:w="11004"/>
          </w:cols>
          <w:pgMar w:left="436" w:top="270" w:right="459" w:bottom="1440" w:gutter="0" w:footer="0" w:header="0"/>
        </w:sectPr>
      </w:pPr>
    </w:p>
    <w:bookmarkStart w:id="5" w:name="page6"/>
    <w:bookmarkEnd w:id="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Munagala added: “We’ve architected not just our products, but our company to scale. Whether it’s smart infrastructure, autonomous zones, or next generation defense applications, Blaize is delivering intelligence where it’s needed most, from city streets to vital security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Third Quarter 2025 and Fiscal Year 2025</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forward-looking statements are based on current expectations, and actual results may differ materially, as described below in “Cautionary Statement Regarding Forward-Looking Statements.”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Guidance</w:t>
            </w:r>
          </w:p>
        </w:tc>
      </w:tr>
      <w:tr>
        <w:trPr>
          <w:trHeight w:val="117"/>
        </w:trPr>
        <w:tc>
          <w:tcPr>
            <w:tcW w:w="2960" w:type="dxa"/>
            <w:vAlign w:val="bottom"/>
          </w:tcPr>
          <w:p>
            <w:pPr>
              <w:spacing w:after="0"/>
              <w:rPr>
                <w:sz w:val="10"/>
                <w:szCs w:val="10"/>
                <w:color w:val="auto"/>
              </w:rPr>
            </w:pPr>
          </w:p>
        </w:tc>
        <w:tc>
          <w:tcPr>
            <w:tcW w:w="2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80" w:type="dxa"/>
            <w:vAlign w:val="bottom"/>
          </w:tcPr>
          <w:p>
            <w:pPr>
              <w:spacing w:after="0"/>
              <w:rPr>
                <w:sz w:val="10"/>
                <w:szCs w:val="10"/>
                <w:color w:val="auto"/>
              </w:rPr>
            </w:pPr>
          </w:p>
        </w:tc>
        <w:tc>
          <w:tcPr>
            <w:tcW w:w="2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3"/>
        </w:trPr>
        <w:tc>
          <w:tcPr>
            <w:tcW w:w="296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8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 million to $11.5 million</w:t>
            </w:r>
          </w:p>
        </w:tc>
        <w:tc>
          <w:tcPr>
            <w:tcW w:w="108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million to $38.0 million</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 million to $14.5 million</w:t>
            </w:r>
          </w:p>
        </w:tc>
        <w:tc>
          <w:tcPr>
            <w:tcW w:w="10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$55.0 million to $58.0 million</w:t>
            </w:r>
          </w:p>
        </w:tc>
      </w:tr>
      <w:tr>
        <w:trPr>
          <w:trHeight w:val="198"/>
        </w:trPr>
        <w:tc>
          <w:tcPr>
            <w:tcW w:w="2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2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r>
      <w:tr>
        <w:trPr>
          <w:trHeight w:val="23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$9.0 million</w:t>
            </w:r>
          </w:p>
        </w:tc>
        <w:tc>
          <w:tcPr>
            <w:tcW w:w="108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$33.0 million</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w:t>
            </w:r>
          </w:p>
        </w:tc>
        <w:tc>
          <w:tcPr>
            <w:tcW w:w="2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Approximately 106.1 million</w:t>
            </w:r>
          </w:p>
        </w:tc>
        <w:tc>
          <w:tcPr>
            <w:tcW w:w="1080" w:type="dxa"/>
            <w:vAlign w:val="bottom"/>
          </w:tcPr>
          <w:p>
            <w:pPr>
              <w:spacing w:after="0"/>
              <w:rPr>
                <w:sz w:val="17"/>
                <w:szCs w:val="17"/>
                <w:color w:val="auto"/>
              </w:rPr>
            </w:pPr>
          </w:p>
        </w:tc>
        <w:tc>
          <w:tcPr>
            <w:tcW w:w="2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Approximately 102.9 million</w:t>
            </w:r>
          </w:p>
        </w:tc>
      </w:tr>
      <w:tr>
        <w:trPr>
          <w:trHeight w:val="234"/>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10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Dinakar Munagala, Chief Executive Officer of Blaize, and Harminder Sehmi, Chief Financial Officer of Blaize, will host a conference call at 2:00 p.m. Pacific Time today, August 14, 2025,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Headquartered in El Dorado Hills (CA), Blaize has more than 200 employees worldwide with teams in San Jose (CA) and Cary (NC), and subsidiaries in Hyderabad (India), Leeds and Kings Langley (UK). To learn more, visit www.blaize.com or follow us on LinkedIn @blaizeinc.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supplement Blaize’s condensed consolidated financial statements presented in accordance with generally accepted accounting principles in the United States (“GAAP”), management utilizes earnings before interest, tax, depreciation and amortization (“EBITDA”) and EBITDA adjusted for irregular or non-recurring items (“Adjusted EBITDA”), non-GAAP gross profit, non-GAAP gross margin, non-GAAP research and development expense and non-GAAP sales, general and administrative expense, which are non-GAAP financial measures. EBITDA, Adjusted EBITDA, non-GAAP gross profit and non-GAAP gross margin are used to evaluate operating profitability on a more variable cost basis. Non-GAAP research and development expense and non-GAAP sales, general and administrative expense are used to evaluate financial performance. These non-GAAP measures facilitate a more direct comparison of our operating performance and financial performance relative to competitors as well as assist us in evaluating performance consistently across periods by excluding the impact of certain items that we believe do not directly reflect our core operations and are therefore not considered in measuring ongoing performance. We define Adjusted EBITDA as net loss before interest, taxes, depreciation and amortization, certain non-cash items and other adjustments that are excluded from the Company’s assessment of ongoing operating performance, including but not limited to (a) stock-based compensation; (b) non-recurring inventory cost realignments; and (c) other non-recurring expenses. We define non-GAAP gross profit as revenue less cost of revenue (excluding depreciation and amortization) and non-recurring inventory cost realignments. We define non-GAAP gross margin as non-GAAP gross profit divided by revenue. We define non-GAAP research and development expense and non-GAAP sales, general and administrative expense as the related GAAP expense less certain non-cash items, including but not limited to stock-based compensation. We believe these measures are valuable to management and that providing these non-GAAP measures allows management, investors and other users of our financial information to more fully and accurately assess Blaize’s performance. The non-GAAP measures should not be considered in isolation or as an alternative to GAAP measures such as net income (loss) or other financial statement data presented in our condensed consolidated financial statements as an indicator of our financial performance or liquidity. The non-GAAP measures presented may be determined or calculated differently by other companies and may not be directly comparable to that of other companies.</w:t>
      </w:r>
    </w:p>
    <w:p>
      <w:pPr>
        <w:sectPr>
          <w:pgSz w:w="11900" w:h="16838" w:orient="portrait"/>
          <w:cols w:equalWidth="0" w:num="1">
            <w:col w:w="10980"/>
          </w:cols>
          <w:pgMar w:left="440" w:top="270" w:right="479" w:bottom="1440" w:gutter="0" w:footer="0" w:header="0"/>
        </w:sectPr>
      </w:pPr>
    </w:p>
    <w:bookmarkStart w:id="6" w:name="page7"/>
    <w:bookmarkEnd w:id="6"/>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reliance on the exception provided by Item 10(e)(1)(i)(B) of Regulation S-K, we have not reconciled the forward-looking Adjusted EBITDA guidance for the third quarter of 2025 or full fiscal year 2025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 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collaboration with Starshine, the ultimate value of our recent contracts, including the South Asia contract and related purchase orders, the expectations for the Hybrid AI rollout, the projected growth of Hybrid AI,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the Company to successfully market its products and services; (v) the ability of the Company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Annual Report on Form 10K filed with the Securities and Exchange Commission (SEC) on April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ectPr>
          <w:pgSz w:w="11900" w:h="16838" w:orient="portrait"/>
          <w:cols w:equalWidth="0" w:num="1">
            <w:col w:w="11000"/>
          </w:cols>
          <w:pgMar w:left="440" w:top="270" w:right="45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press@blaize.com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www.blaize.com</w:t>
      </w:r>
    </w:p>
    <w:p>
      <w:pPr>
        <w:sectPr>
          <w:pgSz w:w="11900" w:h="16838" w:orient="portrait"/>
          <w:cols w:equalWidth="0" w:num="1">
            <w:col w:w="10960"/>
          </w:cols>
          <w:pgMar w:left="440" w:top="270"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82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28,588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50,237</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held in escrow</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503</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 net (Note 15)</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8,234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6,937</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47,413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73,690</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1,603</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53,828</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16,533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13,417</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1,850</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loan (Note 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related party (Note 8)</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148,629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39,612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188,143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16,764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58,638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June 30,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and December 31, 2024, respectively, 98,881,933 and 48,376,052 shares issued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6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610,335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318,783</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(8,554)</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(606,601)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53,828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80,516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HOLDINGS,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10"/>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1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Hardware revenue - related party (Note 15)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revenue - related party (Note 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(38,021)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(11,135)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(59,904)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(19,272)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unissued shares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(28,603)</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(29,589)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(177,350)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(28,896)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shares outstanding - basic and</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104,588,373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91,747,685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13,623,106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98,374,632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13,618,188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ind w:left="4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 w:type="dxa"/>
            <w:vAlign w:val="bottom"/>
          </w:tcPr>
          <w:p>
            <w:pPr>
              <w:spacing w:after="0"/>
              <w:rPr>
                <w:sz w:val="15"/>
                <w:szCs w:val="15"/>
                <w:color w:val="auto"/>
              </w:rPr>
            </w:pPr>
          </w:p>
        </w:tc>
        <w:tc>
          <w:tcPr>
            <w:tcW w:w="18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(177,350)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Credit loss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unissued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(109,261)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10,523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 related party,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(32,373)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(21,626)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 of advances to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110,718</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(21,626)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84,151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28,862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87,364</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28,588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87,364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28,862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87,364</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 and other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 other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Conversion of convertible notes to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exercise of warrants for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RECONCILIATIONS OF GAAP TO NON-GAAP MEASURES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gross margin)</w:t>
            </w:r>
          </w:p>
        </w:tc>
        <w:tc>
          <w:tcPr>
            <w:tcW w:w="920" w:type="dxa"/>
            <w:vAlign w:val="bottom"/>
            <w:tcBorders>
              <w:top w:val="single" w:sz="8" w:color="auto"/>
            </w:tcBorders>
            <w:gridSpan w:val="3"/>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 GAAP</w:t>
            </w:r>
          </w:p>
        </w:tc>
        <w:tc>
          <w:tcPr>
            <w:tcW w:w="10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 Non-GAAP</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 GAAP</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9,613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12,992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 Non-GAAP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(29,589)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(147,761)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(12,153)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(177,350)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(28,896)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expense/(income),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(29,408)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(147,807)</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(12,471)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(177,215)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(28,570)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10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109,530</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117,087</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adjustments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13,753</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97"/>
              </w:rPr>
              <w:t>(12,933)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(10,560)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(18,087)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8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but is not limited to, legal, accounting and consulting fees incurred in connection with the Merger and the impact of other items management does not believe relate to the core operations of the business (foreign exchange gains and losses, litigation expense, etc.). Management believes these costs are not reflective of our ongoing operating performance and that excluding these costs provides a more meaningful comparison of our performance over periods.</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2025-08-14T15:40:16Z</dcterms:created>
  <dcterms:modified xsi:type="dcterms:W3CDTF">2025-08-14T15:40:16Z</dcterms:modified>
</cp:coreProperties>
</file>