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El Dorado Hills, California 95762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Blaize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S-1</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February 10, 2025</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No. 333-284365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3" w:lineRule="exact"/>
        <w:rPr>
          <w:sz w:val="24"/>
          <w:szCs w:val="24"/>
          <w:color w:val="auto"/>
        </w:rPr>
      </w:pPr>
    </w:p>
    <w:p>
      <w:pPr>
        <w:jc w:val="both"/>
        <w:ind w:firstLine="440"/>
        <w:spacing w:after="0" w:line="278" w:lineRule="auto"/>
        <w:rPr>
          <w:sz w:val="20"/>
          <w:szCs w:val="20"/>
          <w:color w:val="auto"/>
        </w:rPr>
      </w:pPr>
      <w:r>
        <w:rPr>
          <w:rFonts w:ascii="Times New Roman" w:cs="Times New Roman" w:eastAsia="Times New Roman" w:hAnsi="Times New Roman"/>
          <w:sz w:val="17"/>
          <w:szCs w:val="17"/>
          <w:color w:val="auto"/>
        </w:rPr>
        <w:t>Pursuant to Rule 461(a) under the Securities Act of 1933, as amended, Blaize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hereby respectfully requests that the effective date of the above-referenced Registration Statement be accelerated by the Securities and Exchange Commission to 4:00 p.m. Washington D.C. time on February 13, 2025, or as soon as practicable thereafter, or at such later time as the Company or its counsel may request via telephone call to the staff. Please contact Ryan J. Lynch of Latham &amp; Watkins LLP, counsel to the Company, at (713) 546-7404, or in his absence, Brian C. Patterson of Latham &amp; Watkins LLP at (415) 395-8848, to provide notice of effectiveness, or if you have any other questions or concerns regarding this matter.</w:t>
      </w:r>
    </w:p>
    <w:p>
      <w:pPr>
        <w:spacing w:after="0" w:line="16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your assistance in this matter.</w:t>
      </w:r>
    </w:p>
    <w:p>
      <w:pPr>
        <w:spacing w:after="0" w:line="225" w:lineRule="exact"/>
        <w:rPr>
          <w:sz w:val="24"/>
          <w:szCs w:val="24"/>
          <w:color w:val="auto"/>
        </w:rPr>
      </w:pPr>
    </w:p>
    <w:p>
      <w:pPr>
        <w:jc w:val="center"/>
        <w:ind w:right="-179"/>
        <w:spacing w:after="0"/>
        <w:tabs>
          <w:tab w:leader="none" w:pos="120" w:val="left"/>
          <w:tab w:leader="none" w:pos="120" w:val="left"/>
          <w:tab w:leader="none" w:pos="100" w:val="left"/>
        </w:tabs>
        <w:rPr>
          <w:sz w:val="20"/>
          <w:szCs w:val="20"/>
          <w:color w:val="auto"/>
        </w:rPr>
      </w:pPr>
      <w:r>
        <w:rPr>
          <w:rFonts w:ascii="Times New Roman" w:cs="Times New Roman" w:eastAsia="Times New Roman" w:hAnsi="Times New Roman"/>
          <w:sz w:val="18"/>
          <w:szCs w:val="18"/>
          <w:color w:val="auto"/>
        </w:rPr>
        <w:t xml:space="preserve">* </w:t>
        <w:tab/>
        <w:t>*  </w:t>
        <w:tab/>
        <w:t xml:space="preserve">* </w:t>
        <w:tab/>
        <w:t>*</w:t>
      </w:r>
    </w:p>
    <w:p>
      <w:pPr>
        <w:sectPr>
          <w:pgSz w:w="11900" w:h="16838" w:orient="portrait"/>
          <w:cols w:equalWidth="0" w:num="1">
            <w:col w:w="10840"/>
          </w:cols>
          <w:pgMar w:left="440" w:top="225" w:right="619" w:bottom="1440" w:gutter="0" w:footer="0" w:header="0"/>
        </w:sectPr>
      </w:pPr>
    </w:p>
    <w:bookmarkStart w:id="1" w:name="page2"/>
    <w:bookmarkEnd w:id="1"/>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Harminder Sehmi</w:t>
      </w:r>
    </w:p>
    <w:p>
      <w:pPr>
        <w:spacing w:after="0" w:line="23"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444" w:right="6439" w:hanging="444"/>
        <w:spacing w:after="0" w:line="289"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Dinakar Munagala, Blaize Holdings, Inc. Ryan J. Lynch, Latham &amp; Watkins LLP Brian C. Patterson, Latham &amp; Watkins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2025-03-14T23:09:27Z</dcterms:created>
  <dcterms:modified xsi:type="dcterms:W3CDTF">2025-03-14T23:09:27Z</dcterms:modified>
</cp:coreProperties>
</file>