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12, 2024 (December 09,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BURTECH ACQUISITION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40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001-41139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86-2708752</w:t>
            </w:r>
          </w:p>
        </w:tc>
      </w:tr>
      <w:tr>
        <w:trPr>
          <w:trHeight w:val="198"/>
        </w:trPr>
        <w:tc>
          <w:tcPr>
            <w:tcW w:w="3140" w:type="dxa"/>
            <w:vAlign w:val="bottom"/>
            <w:tcBorders>
              <w:top w:val="single" w:sz="8" w:color="auto"/>
            </w:tcBorders>
          </w:tcPr>
          <w:p>
            <w:pPr>
              <w:jc w:val="center"/>
              <w:ind w:left="6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w:t>
            </w:r>
          </w:p>
        </w:tc>
        <w:tc>
          <w:tcPr>
            <w:tcW w:w="1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jc w:val="center"/>
              <w:ind w:right="55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6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File Number)</w:t>
            </w: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1300 Pennsylvania Ave NW, Suite 700</w:t>
            </w:r>
          </w:p>
        </w:tc>
        <w:tc>
          <w:tcPr>
            <w:tcW w:w="2940" w:type="dxa"/>
            <w:vAlign w:val="bottom"/>
          </w:tcPr>
          <w:p>
            <w:pPr>
              <w:spacing w:after="0"/>
              <w:rPr>
                <w:sz w:val="24"/>
                <w:szCs w:val="24"/>
                <w:color w:val="auto"/>
              </w:rPr>
            </w:pPr>
          </w:p>
        </w:tc>
      </w:tr>
      <w:tr>
        <w:trPr>
          <w:trHeight w:val="220"/>
        </w:trPr>
        <w:tc>
          <w:tcPr>
            <w:tcW w:w="3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6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Washington, DC 20004</w:t>
            </w:r>
          </w:p>
        </w:tc>
        <w:tc>
          <w:tcPr>
            <w:tcW w:w="2940" w:type="dxa"/>
            <w:vAlign w:val="bottom"/>
          </w:tcPr>
          <w:p>
            <w:pPr>
              <w:spacing w:after="0"/>
              <w:rPr>
                <w:sz w:val="19"/>
                <w:szCs w:val="19"/>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440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(202) 600-5757</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40" w:type="dxa"/>
            <w:vAlign w:val="bottom"/>
          </w:tcPr>
          <w:p>
            <w:pPr>
              <w:spacing w:after="0"/>
              <w:rPr>
                <w:sz w:val="20"/>
                <w:szCs w:val="20"/>
                <w:color w:val="auto"/>
              </w:rPr>
            </w:pPr>
          </w:p>
        </w:tc>
      </w:tr>
      <w:tr>
        <w:trPr>
          <w:trHeight w:val="414"/>
        </w:trPr>
        <w:tc>
          <w:tcPr>
            <w:tcW w:w="3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6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94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51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498" w:lineRule="auto"/>
        <w:tabs>
          <w:tab w:leader="none" w:pos="35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38"/>
        </w:trPr>
        <w:tc>
          <w:tcPr>
            <w:tcW w:w="462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1"/>
        </w:trPr>
        <w:tc>
          <w:tcPr>
            <w:tcW w:w="45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w w:val="99"/>
              </w:rPr>
              <w:t>Units, each consisting of one share of Class A Common Stock</w:t>
            </w:r>
          </w:p>
        </w:tc>
        <w:tc>
          <w:tcPr>
            <w:tcW w:w="12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BRKHU</w:t>
            </w:r>
          </w:p>
        </w:tc>
        <w:tc>
          <w:tcPr>
            <w:tcW w:w="120" w:type="dxa"/>
            <w:vAlign w:val="bottom"/>
            <w:tcBorders>
              <w:top w:val="single" w:sz="8" w:color="CCEEFF"/>
            </w:tcBorders>
            <w:shd w:val="clear" w:color="auto" w:fill="CCEEFF"/>
          </w:tcPr>
          <w:p>
            <w:pPr>
              <w:spacing w:after="0"/>
              <w:rPr>
                <w:sz w:val="16"/>
                <w:szCs w:val="16"/>
                <w:color w:val="auto"/>
              </w:rPr>
            </w:pPr>
          </w:p>
        </w:tc>
        <w:tc>
          <w:tcPr>
            <w:tcW w:w="426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one Redeemable Warrant</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par value $0.0001 per share</w:t>
            </w:r>
          </w:p>
        </w:tc>
        <w:tc>
          <w:tcPr>
            <w:tcW w:w="2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BRKH</w:t>
            </w:r>
          </w:p>
        </w:tc>
        <w:tc>
          <w:tcPr>
            <w:tcW w:w="4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each exercisable for one share of Class A Common</w:t>
            </w:r>
          </w:p>
        </w:tc>
        <w:tc>
          <w:tcPr>
            <w:tcW w:w="2360" w:type="dxa"/>
            <w:vAlign w:val="bottom"/>
            <w:gridSpan w:val="2"/>
            <w:shd w:val="clear" w:color="auto" w:fill="CCEEFF"/>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BRKHW</w:t>
            </w:r>
          </w:p>
        </w:tc>
        <w:tc>
          <w:tcPr>
            <w:tcW w:w="42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for $11.50 per share</w:t>
            </w: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As approved by its stockholders at the special annual meeting of stockholders held on December 09, 2024 (the “</w:t>
      </w:r>
      <w:r>
        <w:rPr>
          <w:rFonts w:ascii="Times New Roman" w:cs="Times New Roman" w:eastAsia="Times New Roman" w:hAnsi="Times New Roman"/>
          <w:sz w:val="18"/>
          <w:szCs w:val="18"/>
          <w:b w:val="1"/>
          <w:bCs w:val="1"/>
          <w:color w:val="auto"/>
        </w:rPr>
        <w:t>Special Annual Meeting</w:t>
      </w:r>
      <w:r>
        <w:rPr>
          <w:rFonts w:ascii="Times New Roman" w:cs="Times New Roman" w:eastAsia="Times New Roman" w:hAnsi="Times New Roman"/>
          <w:sz w:val="18"/>
          <w:szCs w:val="18"/>
          <w:color w:val="auto"/>
        </w:rPr>
        <w:t>”),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an amendment to the investment management trust agreement dated as of December 10, 2021, with Continental Stock Transfer &amp; Trust Company (the “</w:t>
      </w:r>
      <w:r>
        <w:rPr>
          <w:rFonts w:ascii="Times New Roman" w:cs="Times New Roman" w:eastAsia="Times New Roman" w:hAnsi="Times New Roman"/>
          <w:sz w:val="18"/>
          <w:szCs w:val="18"/>
          <w:b w:val="1"/>
          <w:bCs w:val="1"/>
          <w:color w:val="auto"/>
        </w:rPr>
        <w:t>Trust Amendment</w:t>
      </w:r>
      <w:r>
        <w:rPr>
          <w:rFonts w:ascii="Times New Roman" w:cs="Times New Roman" w:eastAsia="Times New Roman" w:hAnsi="Times New Roman"/>
          <w:sz w:val="18"/>
          <w:szCs w:val="18"/>
          <w:color w:val="auto"/>
        </w:rPr>
        <w:t>”). Pursuant to the Trust Amendment, the Company has the right to extend the time to complete a business combination on a month-to-month basis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until May 15, 2025, by depositing into the Trust Account $0.05 per unredeemed share of Class A common stock (the “</w:t>
      </w:r>
      <w:r>
        <w:rPr>
          <w:rFonts w:ascii="Times New Roman" w:cs="Times New Roman" w:eastAsia="Times New Roman" w:hAnsi="Times New Roman"/>
          <w:sz w:val="18"/>
          <w:szCs w:val="18"/>
          <w:b w:val="1"/>
          <w:bCs w:val="1"/>
          <w:color w:val="auto"/>
        </w:rPr>
        <w:t>Extension Payment</w:t>
      </w:r>
      <w:r>
        <w:rPr>
          <w:rFonts w:ascii="Times New Roman" w:cs="Times New Roman" w:eastAsia="Times New Roman" w:hAnsi="Times New Roman"/>
          <w:sz w:val="18"/>
          <w:szCs w:val="18"/>
          <w:color w:val="auto"/>
        </w:rPr>
        <w:t>”) or $205,227.15 per month for each one-month Extension.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Trust Amendment does not purport to be complete and is qualified in its entirety by the terms and conditions of the Trust Amendment, filed hereto as Exhibit 10.1, and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approved by its stockholders at the Special Annual Meeting held on December 09, 2024, the Company filed an amendment to its second amended and restated certificate of 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with the Delaware Secretary of State (the “</w:t>
      </w:r>
      <w:r>
        <w:rPr>
          <w:rFonts w:ascii="Times New Roman" w:cs="Times New Roman" w:eastAsia="Times New Roman" w:hAnsi="Times New Roman"/>
          <w:sz w:val="18"/>
          <w:szCs w:val="18"/>
          <w:b w:val="1"/>
          <w:bCs w:val="1"/>
          <w:color w:val="auto"/>
        </w:rPr>
        <w:t>Charter Amendment</w:t>
      </w:r>
      <w:r>
        <w:rPr>
          <w:rFonts w:ascii="Times New Roman" w:cs="Times New Roman" w:eastAsia="Times New Roman" w:hAnsi="Times New Roman"/>
          <w:sz w:val="18"/>
          <w:szCs w:val="18"/>
          <w:color w:val="auto"/>
        </w:rPr>
        <w:t>”), to extend the date by which BurTech has to consummate a business combination from December 15, 2024 to May 15, 2025 on a month-to-month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December 09, 2024, the Company held the Special Annual Meeting. On November 12, 2024, the record date for the Special Annual Meeting, there were 15,162,663 shares of common stock entitled to be voted at the Special Annual Meeting. This includes 15,162,658 Class A Shares, and 5 Class B Shares (together being the outstanding shares of the Company’s common stock, referred to as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At the Special Annual Meeting, 14,231,163 Shares or 93.86% of such Shares were represented in person or by proxy.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color w:val="auto"/>
        </w:rPr>
        <w:t>The final results for each of the matters submitted to a vote of the Company’s stockholders at the Special Annual Meeting are as follows:</w:t>
      </w:r>
    </w:p>
    <w:p>
      <w:pPr>
        <w:spacing w:after="0" w:line="221"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Charter Amendment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approved the proposal to amend the Company’s Charter: to extend the date by which BurTech has to consummate a business combination from December 15, 2024 on a month-to-month basis until May 15, 2025. The Charter Amendment Proposal must be approved by the affirmative vote of more than 65% of the holders of Common Stock who, being present in person (including virtually) or represented by proxy and entitled to vote at the Special Annual Meeting, vote at the Special Annual Meeting. The voting results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FOR</w:t>
            </w:r>
          </w:p>
        </w:tc>
        <w:tc>
          <w:tcPr>
            <w:tcW w:w="28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AGAINST</w:t>
            </w:r>
          </w:p>
        </w:tc>
        <w:tc>
          <w:tcPr>
            <w:tcW w:w="28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ABSTAIN</w:t>
            </w:r>
          </w:p>
        </w:tc>
        <w:tc>
          <w:tcPr>
            <w:tcW w:w="2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13,374,610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114,904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09, 2024, the Company filed the Charter Amendment with the Secretary of State of the State of Delaware. A copy of the Charter Amendment is attached hereto as Exhibit 3.1.</w:t>
      </w:r>
    </w:p>
    <w:p>
      <w:pPr>
        <w:spacing w:after="0" w:line="158"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Trust Amendment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Stockholders approved the proposal to amend the Company’sS investment management trust agreement, dated as of December 10, 2021 by and between the Company and Continental Stock Transfer &amp; Trust Company to allow the Company to extend the time to complete a business combination on a month-to-month basis until May 15, 2025 by depositing into the Trust Account $0.05 per unredeemed share of Class A common stock or $205,227.15 for each one-month Extension. Adoption of the Trust Amendment required approval by the affirmative vote of at least 65% of the Company’s Shares. The voting results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FOR</w:t>
            </w:r>
          </w:p>
        </w:tc>
        <w:tc>
          <w:tcPr>
            <w:tcW w:w="28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AGAINST</w:t>
            </w:r>
          </w:p>
        </w:tc>
        <w:tc>
          <w:tcPr>
            <w:tcW w:w="28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ABSTAIN</w:t>
            </w:r>
          </w:p>
        </w:tc>
        <w:tc>
          <w:tcPr>
            <w:tcW w:w="2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09"/>
        </w:trPr>
        <w:tc>
          <w:tcPr>
            <w:tcW w:w="27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13,374,610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114,904</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Ratificaton of Auditors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Stockholders approved the proposal to ratify the appointment of Marcum LLP as the independent registered public accounting firm for the fiscal year ending December 31, 2024. We refer to this proposal as the “</w:t>
      </w:r>
      <w:r>
        <w:rPr>
          <w:rFonts w:ascii="Times New Roman" w:cs="Times New Roman" w:eastAsia="Times New Roman" w:hAnsi="Times New Roman"/>
          <w:sz w:val="18"/>
          <w:szCs w:val="18"/>
          <w:b w:val="1"/>
          <w:bCs w:val="1"/>
          <w:color w:val="auto"/>
        </w:rPr>
        <w:t>Ratification of Auditors Proposal</w:t>
      </w:r>
      <w:r>
        <w:rPr>
          <w:rFonts w:ascii="Times New Roman" w:cs="Times New Roman" w:eastAsia="Times New Roman" w:hAnsi="Times New Roman"/>
          <w:sz w:val="18"/>
          <w:szCs w:val="18"/>
          <w:color w:val="auto"/>
        </w:rPr>
        <w:t>”. The Ratification of Auditors Proposal must be approved by the affirmative vote of a majority of the holders of Common Stock who, being present in person (including virtually) or represented by proxy and entitled to vote at the Special Annual Meeting.The voting results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FOR</w:t>
            </w:r>
          </w:p>
        </w:tc>
        <w:tc>
          <w:tcPr>
            <w:tcW w:w="28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AGAINST</w:t>
            </w:r>
          </w:p>
        </w:tc>
        <w:tc>
          <w:tcPr>
            <w:tcW w:w="280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ABSTAIN</w:t>
            </w:r>
          </w:p>
        </w:tc>
        <w:tc>
          <w:tcPr>
            <w:tcW w:w="26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BROKER NON-VOTES</w:t>
            </w:r>
          </w:p>
        </w:tc>
      </w:tr>
      <w:tr>
        <w:trPr>
          <w:trHeight w:val="210"/>
        </w:trPr>
        <w:tc>
          <w:tcPr>
            <w:tcW w:w="272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14,230,811</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352</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stockholders’ vote at the Special Annual Meeting of Stockholders held by the Company on December 09, 2024, 241,120 shares were tendered for redemption. As a result, approximately $2,774,657.98 (approximately $10.51 per share) will be removed from the Company’s trust account to pay such holders, without taking into account additional allocation of payments to cover any tax obligation of the Company, such as franchise taxes, but not including any excise tax, since that date.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Following redemptions, the Company will have 4,104,543 shares of Class A Common Stock and 5 shares of Class B Common Stock, issued and outstanding, and approximately $47,232,510.65 will remain in the Company’s trust account.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 Exhibits:</w:t>
            </w:r>
          </w:p>
        </w:tc>
        <w:tc>
          <w:tcPr>
            <w:tcW w:w="518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3"/>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24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auto"/>
            </w:tcBorders>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Amendment 3 to the Second Amended and Restated Certificate of Incorporation of BurTech Acquisition Corp. dated December 09, 2024</w:t>
            </w:r>
          </w:p>
        </w:tc>
      </w:tr>
      <w:tr>
        <w:trPr>
          <w:trHeight w:val="20"/>
        </w:trPr>
        <w:tc>
          <w:tcPr>
            <w:tcW w:w="2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180" w:type="dxa"/>
            <w:vAlign w:val="bottom"/>
            <w:tcBorders>
              <w:top w:val="single" w:sz="8" w:color="0000EE"/>
            </w:tcBorders>
            <w:shd w:val="clear" w:color="auto" w:fill="CCEEFF"/>
          </w:tcPr>
          <w:p>
            <w:pPr>
              <w:spacing w:after="0" w:line="20" w:lineRule="exact"/>
              <w:rPr>
                <w:sz w:val="1"/>
                <w:szCs w:val="1"/>
                <w:color w:val="auto"/>
              </w:rPr>
            </w:pPr>
          </w:p>
        </w:tc>
        <w:tc>
          <w:tcPr>
            <w:tcW w:w="46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Amendment 3 to the Investment Management Trust Agreement of December 10, 2021, between BurTech Acquisition Corp. and</w:t>
            </w:r>
          </w:p>
        </w:tc>
      </w:tr>
      <w:tr>
        <w:trPr>
          <w:trHeight w:val="196"/>
        </w:trPr>
        <w:tc>
          <w:tcPr>
            <w:tcW w:w="2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Continental Stock Transfer &amp; Trust Company dated December 09, 2024</w:t>
            </w:r>
          </w:p>
        </w:tc>
        <w:tc>
          <w:tcPr>
            <w:tcW w:w="2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180" w:type="dxa"/>
            <w:vAlign w:val="bottom"/>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5580" w:right="1860" w:hanging="5572"/>
        <w:spacing w:after="0" w:line="783" w:lineRule="auto"/>
        <w:tabs>
          <w:tab w:leader="none" w:pos="13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Shahal Khan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12,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Amendment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THIRD AMENDMENT TO THE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CERTIFICATE OF INCORPORATION OF BURTECH ACQUISITION CORP.</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09, 2024</w:t>
      </w:r>
    </w:p>
    <w:p>
      <w:pPr>
        <w:spacing w:after="0" w:line="203" w:lineRule="exact"/>
        <w:rPr>
          <w:sz w:val="20"/>
          <w:szCs w:val="20"/>
          <w:color w:val="auto"/>
        </w:rPr>
      </w:pPr>
    </w:p>
    <w:p>
      <w:pPr>
        <w:ind w:right="20" w:firstLine="360"/>
        <w:spacing w:after="0" w:line="286" w:lineRule="auto"/>
        <w:rPr>
          <w:sz w:val="20"/>
          <w:szCs w:val="20"/>
          <w:color w:val="auto"/>
        </w:rPr>
      </w:pPr>
      <w:r>
        <w:rPr>
          <w:rFonts w:ascii="Times New Roman" w:cs="Times New Roman" w:eastAsia="Times New Roman" w:hAnsi="Times New Roman"/>
          <w:sz w:val="18"/>
          <w:szCs w:val="18"/>
          <w:color w:val="auto"/>
        </w:rPr>
        <w:t>BurTech Acquisition Corp., a corporation organized and existing under the laws of the State of Delaware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DOES HEREBY CERTIFY AS FOLLOWS:</w:t>
      </w:r>
    </w:p>
    <w:p>
      <w:pPr>
        <w:spacing w:after="0" w:line="159" w:lineRule="exact"/>
        <w:rPr>
          <w:sz w:val="20"/>
          <w:szCs w:val="20"/>
          <w:color w:val="auto"/>
        </w:rPr>
      </w:pPr>
    </w:p>
    <w:p>
      <w:pPr>
        <w:jc w:val="both"/>
        <w:ind w:firstLine="368"/>
        <w:spacing w:after="0" w:line="261" w:lineRule="auto"/>
        <w:tabs>
          <w:tab w:leader="none" w:pos="70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“BurTech Acquisition Corp.” The original certificate of incorporation of the Corporation was filed with the Secretary of State of the State of Delaware on March 02, 2021. The Amended and Restated Certificate of Incorporation of the Corporation was filed with the Secretary of State of Delaware on May 19, 2021. The Second Amended and Restated Certificate of Incorporation of the Corporation was filed with the Secretary of State of Delaware on December 13, 2021 (the “</w:t>
      </w:r>
      <w:r>
        <w:rPr>
          <w:rFonts w:ascii="Times New Roman" w:cs="Times New Roman" w:eastAsia="Times New Roman" w:hAnsi="Times New Roman"/>
          <w:sz w:val="18"/>
          <w:szCs w:val="18"/>
          <w:b w:val="1"/>
          <w:bCs w:val="1"/>
          <w:color w:val="auto"/>
        </w:rPr>
        <w:t>Second Amended and Restated Certificate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40" w:hanging="27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10, 2023, the Corporation filed an amendment to the Second Amended and Restated Certificate with the Secretary of State of Delaware.</w:t>
      </w:r>
    </w:p>
    <w:p>
      <w:pPr>
        <w:spacing w:after="0" w:line="225" w:lineRule="exact"/>
        <w:rPr>
          <w:rFonts w:ascii="Times New Roman" w:cs="Times New Roman" w:eastAsia="Times New Roman" w:hAnsi="Times New Roman"/>
          <w:sz w:val="18"/>
          <w:szCs w:val="18"/>
          <w:color w:val="auto"/>
        </w:rPr>
      </w:pPr>
    </w:p>
    <w:p>
      <w:pPr>
        <w:ind w:firstLine="368"/>
        <w:spacing w:after="0" w:line="282" w:lineRule="auto"/>
        <w:tabs>
          <w:tab w:leader="none" w:pos="6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11, 2023, the Corporation filed an amendment to the Second Amended and Restated Certificate with the Secretary of State of Delaware.</w:t>
      </w:r>
    </w:p>
    <w:p>
      <w:pPr>
        <w:spacing w:after="0" w:line="161" w:lineRule="exact"/>
        <w:rPr>
          <w:rFonts w:ascii="Times New Roman" w:cs="Times New Roman" w:eastAsia="Times New Roman" w:hAnsi="Times New Roman"/>
          <w:sz w:val="18"/>
          <w:szCs w:val="18"/>
          <w:color w:val="auto"/>
        </w:rPr>
      </w:pPr>
    </w:p>
    <w:p>
      <w:pPr>
        <w:ind w:left="640" w:hanging="27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Third Amendment to the Second Amended and Restated Certificate amends the Second Amended and Restated Certificate.</w:t>
      </w:r>
    </w:p>
    <w:p>
      <w:pPr>
        <w:spacing w:after="0" w:line="225" w:lineRule="exact"/>
        <w:rPr>
          <w:rFonts w:ascii="Times New Roman" w:cs="Times New Roman" w:eastAsia="Times New Roman" w:hAnsi="Times New Roman"/>
          <w:sz w:val="18"/>
          <w:szCs w:val="18"/>
          <w:color w:val="auto"/>
        </w:rPr>
      </w:pPr>
    </w:p>
    <w:p>
      <w:pPr>
        <w:ind w:firstLine="368"/>
        <w:spacing w:after="0" w:line="282" w:lineRule="auto"/>
        <w:tabs>
          <w:tab w:leader="none" w:pos="7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Second Amended and Restated Certificate was duly adopted by the Board of Directors of the Corporation and the stockholders of the Corporation in accordance with Section 242 of the General Corporation Law of the State of Delaware.</w:t>
      </w:r>
    </w:p>
    <w:p>
      <w:pPr>
        <w:spacing w:after="0" w:line="161" w:lineRule="exact"/>
        <w:rPr>
          <w:rFonts w:ascii="Times New Roman" w:cs="Times New Roman" w:eastAsia="Times New Roman" w:hAnsi="Times New Roman"/>
          <w:sz w:val="18"/>
          <w:szCs w:val="18"/>
          <w:color w:val="auto"/>
        </w:rPr>
      </w:pPr>
    </w:p>
    <w:p>
      <w:pPr>
        <w:ind w:left="640" w:hanging="272"/>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Paragraph 9.1(b) of Article NINE is hereby amended and restated to read in full as follows:</w:t>
      </w:r>
    </w:p>
    <w:p>
      <w:pPr>
        <w:spacing w:after="0" w:line="225"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“9.1 (b). 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August 19, 2021, as amended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shall be deposited in a trust account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established for the benefit of the Public Stockholders (as defined below)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trust agreement described in the Registration Statement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 (ii) the redemption of 100% of the Offering Shares (as defined below) if the Corporation is unable to complete its initial Business Combination, as determined by the Board, until up to May 15, 2025 (the “</w:t>
      </w:r>
      <w:r>
        <w:rPr>
          <w:rFonts w:ascii="Times New Roman" w:cs="Times New Roman" w:eastAsia="Times New Roman" w:hAnsi="Times New Roman"/>
          <w:sz w:val="18"/>
          <w:szCs w:val="18"/>
          <w:b w:val="1"/>
          <w:bCs w:val="1"/>
          <w:color w:val="auto"/>
        </w:rPr>
        <w:t>Last Date</w:t>
      </w:r>
      <w:r>
        <w:rPr>
          <w:rFonts w:ascii="Times New Roman" w:cs="Times New Roman" w:eastAsia="Times New Roman" w:hAnsi="Times New Roman"/>
          <w:sz w:val="18"/>
          <w:szCs w:val="18"/>
          <w:color w:val="auto"/>
        </w:rPr>
        <w:t>”); or (iii) the redemption of shares in connection with a stockholder vote to amend any provisions of this Second Amended and Restated Certificate, as amended (a) to modify the substance or timing of the Corporation’s obligation to provide for the redemption of the Offering Shares in connection with the Business Combination to redeem 100% of such shares if the Corporation has not consummated the Business Combination by the Deadline Date or (b) with respect to any other provision relating to stockholders’ rights or pre-initial Business Combination activity (as described in Section 9.7). Holders of shares of Common Stock included as part of the units sold in the Offering (the “</w:t>
      </w:r>
      <w:r>
        <w:rPr>
          <w:rFonts w:ascii="Times New Roman" w:cs="Times New Roman" w:eastAsia="Times New Roman" w:hAnsi="Times New Roman"/>
          <w:sz w:val="18"/>
          <w:szCs w:val="18"/>
          <w:b w:val="1"/>
          <w:bCs w:val="1"/>
          <w:color w:val="auto"/>
        </w:rPr>
        <w:t>Offering Shares</w:t>
      </w:r>
      <w:r>
        <w:rPr>
          <w:rFonts w:ascii="Times New Roman" w:cs="Times New Roman" w:eastAsia="Times New Roman" w:hAnsi="Times New Roman"/>
          <w:sz w:val="18"/>
          <w:szCs w:val="18"/>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ind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BurTech Acquisition Corp. has caused this Amendment to the Amended and Restated Certificate to be duly executed in its name and on its behalf by an authorized officer as of the date first set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/s/Roman Livson</w:t>
            </w:r>
          </w:p>
        </w:tc>
        <w:tc>
          <w:tcPr>
            <w:tcW w:w="5620" w:type="dxa"/>
            <w:vAlign w:val="bottom"/>
          </w:tcPr>
          <w:p>
            <w:pPr>
              <w:spacing w:after="0"/>
              <w:rPr>
                <w:sz w:val="20"/>
                <w:szCs w:val="20"/>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Roman Livson</w:t>
            </w:r>
          </w:p>
        </w:tc>
        <w:tc>
          <w:tcPr>
            <w:tcW w:w="5620" w:type="dxa"/>
            <w:vAlign w:val="bottom"/>
          </w:tcPr>
          <w:p>
            <w:pPr>
              <w:spacing w:after="0"/>
              <w:rPr>
                <w:sz w:val="16"/>
                <w:szCs w:val="16"/>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5620" w:type="dxa"/>
            <w:vAlign w:val="bottom"/>
          </w:tcPr>
          <w:p>
            <w:pPr>
              <w:spacing w:after="0"/>
              <w:rPr>
                <w:sz w:val="20"/>
                <w:szCs w:val="20"/>
                <w:color w:val="auto"/>
              </w:rPr>
            </w:pPr>
          </w:p>
        </w:tc>
      </w:tr>
      <w:tr>
        <w:trPr>
          <w:trHeight w:val="675"/>
        </w:trPr>
        <w:tc>
          <w:tcPr>
            <w:tcW w:w="68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AMENDMENT NO. 3 TO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INVESTMENT MANAGEMENT TRUST AGREEMENT</w:t>
      </w:r>
    </w:p>
    <w:p>
      <w:pPr>
        <w:spacing w:after="0" w:line="203" w:lineRule="exact"/>
        <w:rPr>
          <w:sz w:val="20"/>
          <w:szCs w:val="20"/>
          <w:color w:val="auto"/>
        </w:rPr>
      </w:pPr>
    </w:p>
    <w:p>
      <w:pPr>
        <w:ind w:right="140" w:firstLine="359"/>
        <w:spacing w:after="0" w:line="268" w:lineRule="auto"/>
        <w:rPr>
          <w:sz w:val="20"/>
          <w:szCs w:val="20"/>
          <w:color w:val="auto"/>
        </w:rPr>
      </w:pPr>
      <w:r>
        <w:rPr>
          <w:rFonts w:ascii="Times New Roman" w:cs="Times New Roman" w:eastAsia="Times New Roman" w:hAnsi="Times New Roman"/>
          <w:sz w:val="18"/>
          <w:szCs w:val="18"/>
          <w:color w:val="231F20"/>
        </w:rPr>
        <w:t>This Amendment No. 3 (this “</w:t>
      </w:r>
      <w:r>
        <w:rPr>
          <w:rFonts w:ascii="Times New Roman" w:cs="Times New Roman" w:eastAsia="Times New Roman" w:hAnsi="Times New Roman"/>
          <w:sz w:val="18"/>
          <w:szCs w:val="18"/>
          <w:b w:val="1"/>
          <w:bCs w:val="1"/>
          <w:color w:val="231F20"/>
        </w:rPr>
        <w:t>Amendment</w:t>
      </w:r>
      <w:r>
        <w:rPr>
          <w:rFonts w:ascii="Times New Roman" w:cs="Times New Roman" w:eastAsia="Times New Roman" w:hAnsi="Times New Roman"/>
          <w:sz w:val="18"/>
          <w:szCs w:val="18"/>
          <w:color w:val="231F20"/>
        </w:rPr>
        <w:t>”), dated as of December 09, 2024, to the Investment Management Trust Agreement (as defined below) is made by and between BurTech Acquisition Corp. (the “</w:t>
      </w:r>
      <w:r>
        <w:rPr>
          <w:rFonts w:ascii="Times New Roman" w:cs="Times New Roman" w:eastAsia="Times New Roman" w:hAnsi="Times New Roman"/>
          <w:sz w:val="18"/>
          <w:szCs w:val="18"/>
          <w:b w:val="1"/>
          <w:bCs w:val="1"/>
          <w:color w:val="231F20"/>
        </w:rPr>
        <w:t>Company</w:t>
      </w:r>
      <w:r>
        <w:rPr>
          <w:rFonts w:ascii="Times New Roman" w:cs="Times New Roman" w:eastAsia="Times New Roman" w:hAnsi="Times New Roman"/>
          <w:sz w:val="18"/>
          <w:szCs w:val="18"/>
          <w:color w:val="231F20"/>
        </w:rPr>
        <w:t>”) and Continental Stock Transfer &amp; Trust Company, as trustee (“</w:t>
      </w:r>
      <w:r>
        <w:rPr>
          <w:rFonts w:ascii="Times New Roman" w:cs="Times New Roman" w:eastAsia="Times New Roman" w:hAnsi="Times New Roman"/>
          <w:sz w:val="18"/>
          <w:szCs w:val="18"/>
          <w:b w:val="1"/>
          <w:bCs w:val="1"/>
          <w:color w:val="231F20"/>
        </w:rPr>
        <w:t>Trustee</w:t>
      </w:r>
      <w:r>
        <w:rPr>
          <w:rFonts w:ascii="Times New Roman" w:cs="Times New Roman" w:eastAsia="Times New Roman" w:hAnsi="Times New Roman"/>
          <w:sz w:val="18"/>
          <w:szCs w:val="18"/>
          <w:color w:val="231F20"/>
        </w:rPr>
        <w:t>”). All terms used but not defined herein shall have the meanings assigned to them in the Trust Agreement.</w:t>
      </w:r>
    </w:p>
    <w:p>
      <w:pPr>
        <w:spacing w:after="0" w:line="171" w:lineRule="exact"/>
        <w:rPr>
          <w:sz w:val="20"/>
          <w:szCs w:val="20"/>
          <w:color w:val="auto"/>
        </w:rPr>
      </w:pPr>
    </w:p>
    <w:p>
      <w:pPr>
        <w:ind w:right="700" w:firstLine="359"/>
        <w:spacing w:after="0" w:line="286" w:lineRule="auto"/>
        <w:rPr>
          <w:sz w:val="20"/>
          <w:szCs w:val="20"/>
          <w:color w:val="auto"/>
        </w:rPr>
      </w:pPr>
      <w:r>
        <w:rPr>
          <w:rFonts w:ascii="Times New Roman" w:cs="Times New Roman" w:eastAsia="Times New Roman" w:hAnsi="Times New Roman"/>
          <w:sz w:val="18"/>
          <w:szCs w:val="18"/>
          <w:b w:val="1"/>
          <w:bCs w:val="1"/>
          <w:color w:val="231F20"/>
        </w:rPr>
        <w:t>WHEREAS</w:t>
      </w:r>
      <w:r>
        <w:rPr>
          <w:rFonts w:ascii="Times New Roman" w:cs="Times New Roman" w:eastAsia="Times New Roman" w:hAnsi="Times New Roman"/>
          <w:sz w:val="18"/>
          <w:szCs w:val="18"/>
          <w:color w:val="231F20"/>
        </w:rPr>
        <w:t>, the Company and the Trustee entered into an Investment Management Trust Agreement on December 10, 2021, as amended on</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March 10, 2023 and December 11, 2023 (the “</w:t>
      </w:r>
      <w:r>
        <w:rPr>
          <w:rFonts w:ascii="Times New Roman" w:cs="Times New Roman" w:eastAsia="Times New Roman" w:hAnsi="Times New Roman"/>
          <w:sz w:val="18"/>
          <w:szCs w:val="18"/>
          <w:b w:val="1"/>
          <w:bCs w:val="1"/>
          <w:color w:val="231F20"/>
        </w:rPr>
        <w:t>Trust Agreement</w:t>
      </w:r>
      <w:r>
        <w:rPr>
          <w:rFonts w:ascii="Times New Roman" w:cs="Times New Roman" w:eastAsia="Times New Roman" w:hAnsi="Times New Roman"/>
          <w:sz w:val="18"/>
          <w:szCs w:val="18"/>
          <w:color w:val="231F20"/>
        </w:rPr>
        <w:t>”);</w:t>
      </w:r>
    </w:p>
    <w:p>
      <w:pPr>
        <w:spacing w:after="0" w:line="155" w:lineRule="exact"/>
        <w:rPr>
          <w:sz w:val="20"/>
          <w:szCs w:val="20"/>
          <w:color w:val="auto"/>
        </w:rPr>
      </w:pPr>
    </w:p>
    <w:p>
      <w:pPr>
        <w:ind w:right="620" w:firstLine="359"/>
        <w:spacing w:after="0" w:line="286" w:lineRule="auto"/>
        <w:rPr>
          <w:sz w:val="20"/>
          <w:szCs w:val="20"/>
          <w:color w:val="auto"/>
        </w:rPr>
      </w:pPr>
      <w:r>
        <w:rPr>
          <w:rFonts w:ascii="Times New Roman" w:cs="Times New Roman" w:eastAsia="Times New Roman" w:hAnsi="Times New Roman"/>
          <w:sz w:val="18"/>
          <w:szCs w:val="18"/>
          <w:b w:val="1"/>
          <w:bCs w:val="1"/>
          <w:color w:val="231F20"/>
        </w:rPr>
        <w:t>WHEREAS</w:t>
      </w:r>
      <w:r>
        <w:rPr>
          <w:rFonts w:ascii="Times New Roman" w:cs="Times New Roman" w:eastAsia="Times New Roman" w:hAnsi="Times New Roman"/>
          <w:sz w:val="18"/>
          <w:szCs w:val="18"/>
          <w:color w:val="231F20"/>
        </w:rPr>
        <w:t>, Section 1(i) of the Trust Agreement sets forth the terms that govern the liquidation of the Trust Account under the circumstances</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described therein;</w:t>
      </w:r>
    </w:p>
    <w:p>
      <w:pPr>
        <w:spacing w:after="0" w:line="155" w:lineRule="exact"/>
        <w:rPr>
          <w:sz w:val="20"/>
          <w:szCs w:val="20"/>
          <w:color w:val="auto"/>
        </w:rPr>
      </w:pPr>
    </w:p>
    <w:p>
      <w:pPr>
        <w:ind w:right="20" w:firstLine="359"/>
        <w:spacing w:after="0" w:line="268" w:lineRule="auto"/>
        <w:rPr>
          <w:sz w:val="20"/>
          <w:szCs w:val="20"/>
          <w:color w:val="auto"/>
        </w:rPr>
      </w:pPr>
      <w:r>
        <w:rPr>
          <w:rFonts w:ascii="Times New Roman" w:cs="Times New Roman" w:eastAsia="Times New Roman" w:hAnsi="Times New Roman"/>
          <w:sz w:val="18"/>
          <w:szCs w:val="18"/>
          <w:b w:val="1"/>
          <w:bCs w:val="1"/>
          <w:color w:val="231F20"/>
        </w:rPr>
        <w:t>WHEREAS</w:t>
      </w:r>
      <w:r>
        <w:rPr>
          <w:rFonts w:ascii="Times New Roman" w:cs="Times New Roman" w:eastAsia="Times New Roman" w:hAnsi="Times New Roman"/>
          <w:sz w:val="18"/>
          <w:szCs w:val="18"/>
          <w:color w:val="231F20"/>
        </w:rPr>
        <w:t>, at a Special Annual Meeting of the Company held on December 09, 2024, the Company’s stockholders approved (i) a proposal to amend</w:t>
      </w:r>
      <w:r>
        <w:rPr>
          <w:rFonts w:ascii="Times New Roman" w:cs="Times New Roman" w:eastAsia="Times New Roman" w:hAnsi="Times New Roman"/>
          <w:sz w:val="18"/>
          <w:szCs w:val="18"/>
          <w:b w:val="1"/>
          <w:bCs w:val="1"/>
          <w:color w:val="231F20"/>
        </w:rPr>
        <w:t xml:space="preserve"> </w:t>
      </w:r>
      <w:r>
        <w:rPr>
          <w:rFonts w:ascii="Times New Roman" w:cs="Times New Roman" w:eastAsia="Times New Roman" w:hAnsi="Times New Roman"/>
          <w:sz w:val="18"/>
          <w:szCs w:val="18"/>
          <w:color w:val="231F20"/>
        </w:rPr>
        <w:t>the Company’s second amended and restated certificate of incorporation (the “</w:t>
      </w:r>
      <w:r>
        <w:rPr>
          <w:rFonts w:ascii="Times New Roman" w:cs="Times New Roman" w:eastAsia="Times New Roman" w:hAnsi="Times New Roman"/>
          <w:sz w:val="18"/>
          <w:szCs w:val="18"/>
          <w:b w:val="1"/>
          <w:bCs w:val="1"/>
          <w:color w:val="231F20"/>
        </w:rPr>
        <w:t>3rd A&amp;R COI</w:t>
      </w:r>
      <w:r>
        <w:rPr>
          <w:rFonts w:ascii="Times New Roman" w:cs="Times New Roman" w:eastAsia="Times New Roman" w:hAnsi="Times New Roman"/>
          <w:sz w:val="18"/>
          <w:szCs w:val="18"/>
          <w:color w:val="231F20"/>
        </w:rPr>
        <w:t>”) giving the Company the right to extend the date by which it has to consummate a business combination until May 15, 2025; and</w:t>
      </w:r>
    </w:p>
    <w:p>
      <w:pPr>
        <w:spacing w:after="0" w:line="175" w:lineRule="exact"/>
        <w:rPr>
          <w:sz w:val="20"/>
          <w:szCs w:val="20"/>
          <w:color w:val="auto"/>
        </w:rPr>
      </w:pPr>
    </w:p>
    <w:p>
      <w:pPr>
        <w:ind w:left="1020" w:hanging="265"/>
        <w:spacing w:after="0"/>
        <w:tabs>
          <w:tab w:leader="none" w:pos="1020" w:val="left"/>
        </w:tabs>
        <w:numPr>
          <w:ilvl w:val="1"/>
          <w:numId w:val="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010000"/>
        </w:rPr>
        <w:t>NOW THEREFORE, IT IS AGREED:</w:t>
      </w:r>
    </w:p>
    <w:p>
      <w:pPr>
        <w:spacing w:after="0" w:line="225" w:lineRule="exact"/>
        <w:rPr>
          <w:rFonts w:ascii="Times New Roman" w:cs="Times New Roman" w:eastAsia="Times New Roman" w:hAnsi="Times New Roman"/>
          <w:sz w:val="18"/>
          <w:szCs w:val="18"/>
          <w:color w:val="010000"/>
        </w:rPr>
      </w:pPr>
    </w:p>
    <w:p>
      <w:pPr>
        <w:ind w:left="640" w:hanging="173"/>
        <w:spacing w:after="0"/>
        <w:tabs>
          <w:tab w:leader="none" w:pos="640" w:val="left"/>
        </w:tabs>
        <w:numPr>
          <w:ilvl w:val="0"/>
          <w:numId w:val="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Section 1(i) of the Trust Agreement is hereby amended and restated in its entirety as follows:</w:t>
      </w:r>
    </w:p>
    <w:p>
      <w:pPr>
        <w:spacing w:after="0" w:line="225" w:lineRule="exact"/>
        <w:rPr>
          <w:sz w:val="20"/>
          <w:szCs w:val="20"/>
          <w:color w:val="auto"/>
        </w:rPr>
      </w:pPr>
    </w:p>
    <w:p>
      <w:pPr>
        <w:jc w:val="both"/>
        <w:ind w:firstLine="359"/>
        <w:spacing w:after="0" w:line="253" w:lineRule="auto"/>
        <w:rPr>
          <w:sz w:val="20"/>
          <w:szCs w:val="20"/>
          <w:color w:val="auto"/>
        </w:rPr>
      </w:pPr>
      <w:r>
        <w:rPr>
          <w:rFonts w:ascii="Times New Roman" w:cs="Times New Roman" w:eastAsia="Times New Roman" w:hAnsi="Times New Roman"/>
          <w:sz w:val="18"/>
          <w:szCs w:val="18"/>
          <w:color w:val="231F20"/>
        </w:rPr>
        <w:t>“(i) Commence liquidation of the Trust Account only after and promptly after receipt of, and only in accordance with, the terms of a letter (“</w:t>
      </w:r>
      <w:r>
        <w:rPr>
          <w:rFonts w:ascii="Times New Roman" w:cs="Times New Roman" w:eastAsia="Times New Roman" w:hAnsi="Times New Roman"/>
          <w:sz w:val="18"/>
          <w:szCs w:val="18"/>
          <w:u w:val="single" w:color="auto"/>
          <w:color w:val="231F20"/>
        </w:rPr>
        <w:t>Termination Letter</w:t>
      </w:r>
      <w:r>
        <w:rPr>
          <w:rFonts w:ascii="Times New Roman" w:cs="Times New Roman" w:eastAsia="Times New Roman" w:hAnsi="Times New Roman"/>
          <w:sz w:val="18"/>
          <w:szCs w:val="18"/>
          <w:color w:val="231F20"/>
        </w:rPr>
        <w:t xml:space="preserve">”), in a form substantially similar to that attached hereto as either Exhibit A or Exhibit B, signed on behalf of the Company by its President, Chief Executive Officer and Chief Financial Officer and, in the case of a Termination Letter in a form substantially similar to that attached hereto as Exhibit A,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before the date the Company has extended to complete the Business Combination, </w:t>
      </w:r>
      <w:r>
        <w:rPr>
          <w:rFonts w:ascii="Times New Roman" w:cs="Times New Roman" w:eastAsia="Times New Roman" w:hAnsi="Times New Roman"/>
          <w:sz w:val="18"/>
          <w:szCs w:val="18"/>
          <w:color w:val="000000"/>
        </w:rPr>
        <w:t>by depositing into the Trust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Account an extension payment (the “</w:t>
      </w:r>
      <w:r>
        <w:rPr>
          <w:rFonts w:ascii="Times New Roman" w:cs="Times New Roman" w:eastAsia="Times New Roman" w:hAnsi="Times New Roman"/>
          <w:sz w:val="18"/>
          <w:szCs w:val="18"/>
          <w:b w:val="1"/>
          <w:bCs w:val="1"/>
          <w:color w:val="000000"/>
        </w:rPr>
        <w:t>Extension Payment</w:t>
      </w:r>
      <w:r>
        <w:rPr>
          <w:rFonts w:ascii="Times New Roman" w:cs="Times New Roman" w:eastAsia="Times New Roman" w:hAnsi="Times New Roman"/>
          <w:sz w:val="18"/>
          <w:szCs w:val="18"/>
          <w:color w:val="000000"/>
        </w:rPr>
        <w:t>”) of $0.05 per non-redeemed share on a month-to-month basis (each such monthly extension, an “</w:t>
      </w:r>
      <w:r>
        <w:rPr>
          <w:rFonts w:ascii="Times New Roman" w:cs="Times New Roman" w:eastAsia="Times New Roman" w:hAnsi="Times New Roman"/>
          <w:sz w:val="18"/>
          <w:szCs w:val="18"/>
          <w:b w:val="1"/>
          <w:bCs w:val="1"/>
          <w:color w:val="000000"/>
        </w:rPr>
        <w:t>Extension Period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beginning on December 15, 2024 and continuing each month up to May 15, 2025 (the “</w:t>
      </w:r>
      <w:r>
        <w:rPr>
          <w:rFonts w:ascii="Times New Roman" w:cs="Times New Roman" w:eastAsia="Times New Roman" w:hAnsi="Times New Roman"/>
          <w:sz w:val="18"/>
          <w:szCs w:val="18"/>
          <w:b w:val="1"/>
          <w:bCs w:val="1"/>
          <w:color w:val="231F20"/>
        </w:rPr>
        <w:t>Last Date</w:t>
      </w:r>
      <w:r>
        <w:rPr>
          <w:rFonts w:ascii="Times New Roman" w:cs="Times New Roman" w:eastAsia="Times New Roman" w:hAnsi="Times New Roman"/>
          <w:sz w:val="18"/>
          <w:szCs w:val="18"/>
          <w:color w:val="231F20"/>
        </w:rPr>
        <w:t>”), the Trust Account shall be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liquidated in accordance with the procedures set forth in the Termination Letter attached as Exhibit B hereto and distributed to the Public Stockholders as of the Last Date. For example, if during the an Extension Period, the Company does not deposit the Extension Payment into the Trust Account by the 15th day of the month for the next Extension Period, then the Last Date shall be the last day of that month.”</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IN WITNESS WHEREOF, the parties have duly executed this Agreement as of the date first written above.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CONTINENTAL STOCK TRANSFER &amp;</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231F20"/>
        </w:rPr>
        <w:t>TRUST COMPANY, as Trustee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231F20"/>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Francis Wolf</w:t>
            </w:r>
          </w:p>
        </w:tc>
      </w:tr>
      <w:tr>
        <w:trPr>
          <w:trHeight w:val="191"/>
        </w:trPr>
        <w:tc>
          <w:tcPr>
            <w:tcW w:w="630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231F20"/>
              </w:rPr>
              <w:t>Name: Francis Wolf</w:t>
            </w:r>
          </w:p>
        </w:tc>
      </w:tr>
      <w:tr>
        <w:trPr>
          <w:trHeight w:val="234"/>
        </w:trPr>
        <w:tc>
          <w:tcPr>
            <w:tcW w:w="63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231F20"/>
              </w:rPr>
              <w:t>Title: Vice President</w:t>
            </w:r>
          </w:p>
        </w:tc>
      </w:tr>
      <w:tr>
        <w:trPr>
          <w:trHeight w:val="432"/>
        </w:trPr>
        <w:tc>
          <w:tcPr>
            <w:tcW w:w="11240" w:type="dxa"/>
            <w:vAlign w:val="bottom"/>
            <w:gridSpan w:val="2"/>
          </w:tcPr>
          <w:p>
            <w:pPr>
              <w:ind w:left="5640"/>
              <w:spacing w:after="0"/>
              <w:rPr>
                <w:sz w:val="20"/>
                <w:szCs w:val="20"/>
                <w:color w:val="auto"/>
              </w:rPr>
            </w:pPr>
            <w:r>
              <w:rPr>
                <w:rFonts w:ascii="Times New Roman" w:cs="Times New Roman" w:eastAsia="Times New Roman" w:hAnsi="Times New Roman"/>
                <w:sz w:val="18"/>
                <w:szCs w:val="18"/>
                <w:color w:val="231F20"/>
              </w:rPr>
              <w:t>BURTECH ACQUISITION CORP.</w:t>
            </w:r>
          </w:p>
        </w:tc>
      </w:tr>
      <w:tr>
        <w:trPr>
          <w:trHeight w:val="432"/>
        </w:trPr>
        <w:tc>
          <w:tcPr>
            <w:tcW w:w="6300" w:type="dxa"/>
            <w:vAlign w:val="bottom"/>
          </w:tcPr>
          <w:p>
            <w:pPr>
              <w:ind w:left="5640"/>
              <w:spacing w:after="0"/>
              <w:rPr>
                <w:sz w:val="20"/>
                <w:szCs w:val="20"/>
                <w:color w:val="auto"/>
              </w:rPr>
            </w:pPr>
            <w:r>
              <w:rPr>
                <w:rFonts w:ascii="Times New Roman" w:cs="Times New Roman" w:eastAsia="Times New Roman" w:hAnsi="Times New Roman"/>
                <w:sz w:val="18"/>
                <w:szCs w:val="18"/>
                <w:color w:val="231F20"/>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Roman Livson</w:t>
            </w:r>
          </w:p>
        </w:tc>
      </w:tr>
      <w:tr>
        <w:trPr>
          <w:trHeight w:val="191"/>
        </w:trPr>
        <w:tc>
          <w:tcPr>
            <w:tcW w:w="630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231F20"/>
              </w:rPr>
              <w:t>Name: Roman Livson</w:t>
            </w:r>
          </w:p>
        </w:tc>
      </w:tr>
      <w:tr>
        <w:trPr>
          <w:trHeight w:val="234"/>
        </w:trPr>
        <w:tc>
          <w:tcPr>
            <w:tcW w:w="63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231F20"/>
              </w:rPr>
              <w:t>Title: Chief Financial Officer</w:t>
            </w:r>
          </w:p>
        </w:tc>
      </w:tr>
      <w:tr>
        <w:trPr>
          <w:trHeight w:val="702"/>
        </w:trPr>
        <w:tc>
          <w:tcPr>
            <w:tcW w:w="63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104"/>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2024-12-12T15:26:35Z</dcterms:created>
  <dcterms:modified xsi:type="dcterms:W3CDTF">2024-12-12T15:26:35Z</dcterms:modified>
</cp:coreProperties>
</file>