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the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§210.14a-12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2"/>
          <w:szCs w:val="42"/>
          <w:b w:val="1"/>
          <w:bCs w:val="1"/>
          <w:color w:val="auto"/>
        </w:rPr>
        <w:t>BURTECH ACQUISITION CORP.</w:t>
      </w:r>
    </w:p>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29" w:lineRule="exact"/>
        <w:rPr>
          <w:sz w:val="24"/>
          <w:szCs w:val="24"/>
          <w:color w:val="auto"/>
        </w:rPr>
      </w:pPr>
    </w:p>
    <w:p>
      <w:pPr>
        <w:ind w:left="340" w:hanging="332"/>
        <w:spacing w:after="0"/>
        <w:tabs>
          <w:tab w:leader="none" w:pos="34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4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SPECIAL MEETING</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TO BE HELD MARCH 10,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You recently received proxy materials from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for a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to be held at 11:30 a.m. Eastern Time on March 10, 2023. In addition, the Company filed a supplement to the definitive proxy, on February 17, 2023. The Special Meeting will be via teleconference using the following dial-in information, which did not change: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800-450-7155</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Toll</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857-999-9155</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4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0728075#</w:t>
            </w:r>
          </w:p>
        </w:tc>
      </w:tr>
    </w:tbl>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You can find more information on the special meeting in the Company’s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at https://www.cstproxy.com/burtechacq/2023. We first mailed these materials to our stockholders on or about January 26, 2023 and a supplement to the Proxy Statement on February 22, 2023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discussed in the Proxy Statement and the Supplement, the purpose of the Special Meeting is to consider and vote upon the following proposals:</w:t>
      </w:r>
    </w:p>
    <w:p>
      <w:pPr>
        <w:spacing w:after="0" w:line="221" w:lineRule="exact"/>
        <w:rPr>
          <w:sz w:val="20"/>
          <w:szCs w:val="20"/>
          <w:color w:val="auto"/>
        </w:rPr>
      </w:pPr>
    </w:p>
    <w:p>
      <w:pPr>
        <w:jc w:val="both"/>
        <w:ind w:firstLine="656"/>
        <w:spacing w:after="0" w:line="256" w:lineRule="auto"/>
        <w:tabs>
          <w:tab w:leader="none" w:pos="8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(a) extend the date by which BurTech has to consummate a business combination to December 15, 2023 (such date actually extended being referred to as the “</w:t>
      </w:r>
      <w:r>
        <w:rPr>
          <w:rFonts w:ascii="Times New Roman" w:cs="Times New Roman" w:eastAsia="Times New Roman" w:hAnsi="Times New Roman"/>
          <w:sz w:val="18"/>
          <w:szCs w:val="18"/>
          <w:b w:val="1"/>
          <w:bCs w:val="1"/>
          <w:u w:val="single" w:color="auto"/>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 and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to change Section 9.2 (a) of the Charter to modify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tangible asset requirement (the “</w:t>
      </w:r>
      <w:r>
        <w:rPr>
          <w:rFonts w:ascii="Times New Roman" w:cs="Times New Roman" w:eastAsia="Times New Roman" w:hAnsi="Times New Roman"/>
          <w:sz w:val="18"/>
          <w:szCs w:val="18"/>
          <w:b w:val="1"/>
          <w:bCs w:val="1"/>
          <w:color w:val="231F20"/>
        </w:rPr>
        <w:t>NTA Requirement</w:t>
      </w:r>
      <w:r>
        <w:rPr>
          <w:rFonts w:ascii="Times New Roman" w:cs="Times New Roman" w:eastAsia="Times New Roman" w:hAnsi="Times New Roman"/>
          <w:sz w:val="18"/>
          <w:szCs w:val="18"/>
          <w:color w:val="231F20"/>
        </w:rPr>
        <w:t>”)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w:t>
      </w:r>
      <w:r>
        <w:rPr>
          <w:rFonts w:ascii="Times New Roman" w:cs="Times New Roman" w:eastAsia="Times New Roman" w:hAnsi="Times New Roman"/>
          <w:sz w:val="18"/>
          <w:szCs w:val="18"/>
          <w:b w:val="1"/>
          <w:bCs w:val="1"/>
          <w:u w:val="single" w:color="auto"/>
          <w:color w:val="231F20"/>
        </w:rPr>
        <w:t>NTA Amendment</w:t>
      </w:r>
      <w:r>
        <w:rPr>
          <w:rFonts w:ascii="Times New Roman" w:cs="Times New Roman" w:eastAsia="Times New Roman" w:hAnsi="Times New Roman"/>
          <w:sz w:val="18"/>
          <w:szCs w:val="18"/>
          <w:color w:val="231F20"/>
        </w:rPr>
        <w:t>”). We refer to these proposals as the “</w:t>
      </w:r>
      <w:r>
        <w:rPr>
          <w:rFonts w:ascii="Times New Roman" w:cs="Times New Roman" w:eastAsia="Times New Roman" w:hAnsi="Times New Roman"/>
          <w:sz w:val="18"/>
          <w:szCs w:val="18"/>
          <w:b w:val="1"/>
          <w:bCs w:val="1"/>
          <w:u w:val="single" w:color="auto"/>
          <w:color w:val="231F20"/>
        </w:rPr>
        <w:t>Charter Amendment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u w:val="single" w:color="auto"/>
          <w:color w:val="231F20"/>
        </w:rPr>
        <w:t>Proposals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10, 2022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Termination to December 15, 2023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(the “</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This second proxy statement supplement contains additional information that supplements the Proxy Statement. We urge you to read this supplement, together with the Proxy Statement regarding the Extension Proposals. Sincerely,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2300"/>
        <w:spacing w:after="0"/>
        <w:rPr>
          <w:sz w:val="20"/>
          <w:szCs w:val="20"/>
          <w:color w:val="auto"/>
        </w:rPr>
      </w:pPr>
      <w:r>
        <w:rPr>
          <w:rFonts w:ascii="Times New Roman" w:cs="Times New Roman" w:eastAsia="Times New Roman" w:hAnsi="Times New Roman"/>
          <w:sz w:val="18"/>
          <w:szCs w:val="18"/>
          <w:b w:val="1"/>
          <w:bCs w:val="1"/>
          <w:color w:val="auto"/>
        </w:rPr>
        <w:t>YOUR PARTICIPATION IS EXTREMELY IMPORTANT – PLEASE VOTE TODAY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relating to the special meeting, voting your shares, or need to request additional proxy materials, you may contact our proxy solicitor at:</w:t>
      </w:r>
    </w:p>
    <w:p>
      <w:pPr>
        <w:spacing w:after="0" w:line="1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Advantage Proxy</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Toll-Free: 877-870-8565</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We appreciate your support.</w:t>
      </w:r>
    </w:p>
    <w:p>
      <w:pPr>
        <w:spacing w:after="0" w:line="225" w:lineRule="exact"/>
        <w:rPr>
          <w:sz w:val="20"/>
          <w:szCs w:val="20"/>
          <w:color w:val="auto"/>
        </w:rPr>
      </w:pPr>
    </w:p>
    <w:p>
      <w:pPr>
        <w:jc w:val="center"/>
        <w:ind w:left="740" w:right="720"/>
        <w:spacing w:after="0" w:line="266" w:lineRule="auto"/>
        <w:rPr>
          <w:sz w:val="20"/>
          <w:szCs w:val="20"/>
          <w:color w:val="auto"/>
        </w:rPr>
      </w:pPr>
      <w:r>
        <w:rPr>
          <w:rFonts w:ascii="Times New Roman" w:cs="Times New Roman" w:eastAsia="Times New Roman" w:hAnsi="Times New Roman"/>
          <w:sz w:val="18"/>
          <w:szCs w:val="18"/>
          <w:color w:val="auto"/>
        </w:rPr>
        <w:t xml:space="preserve">IF YOUR SHARES ARE HELD IN A BROKERAGE ACCOUNT YOU SHOULD KNOW THAT </w:t>
      </w:r>
      <w:r>
        <w:rPr>
          <w:rFonts w:ascii="Times New Roman" w:cs="Times New Roman" w:eastAsia="Times New Roman" w:hAnsi="Times New Roman"/>
          <w:sz w:val="18"/>
          <w:szCs w:val="18"/>
          <w:b w:val="1"/>
          <w:bCs w:val="1"/>
          <w:u w:val="single" w:color="auto"/>
          <w:color w:val="auto"/>
        </w:rPr>
        <w:t>YOUR BROKER WILL NOT VOTE YOUR SHARES IF THEY DON'T RECEIVE INSTRUCTIONS FROM YOU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VOTE YOUR SHARES NOW SO YOUR VOTE CAN BE COUNTED WITHOUT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0" w:right="7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2 DATED FEBRUARY 23,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FEBRUARY 9,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 TO BE HELD ON MARCH 10, 2023</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information supplements, and should be read in conjunction with, the proxy statement of BurTech Acquisition Corp. (“</w:t>
      </w:r>
      <w:r>
        <w:rPr>
          <w:rFonts w:ascii="Times New Roman" w:cs="Times New Roman" w:eastAsia="Times New Roman" w:hAnsi="Times New Roman"/>
          <w:sz w:val="18"/>
          <w:szCs w:val="18"/>
          <w:b w:val="1"/>
          <w:bCs w:val="1"/>
          <w:color w:val="auto"/>
        </w:rPr>
        <w:t>BurTech</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February 9, 2023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the supplement to the Proxy Statement dated February 17, 2023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relating to the proposed Charter Amendment Proposal, the Trust Amendment Proposal and the Adjournment Proposal, more fully described in the Proxy Statement (together referred to as the “</w:t>
      </w:r>
      <w:r>
        <w:rPr>
          <w:rFonts w:ascii="Times New Roman" w:cs="Times New Roman" w:eastAsia="Times New Roman" w:hAnsi="Times New Roman"/>
          <w:sz w:val="18"/>
          <w:szCs w:val="18"/>
          <w:b w:val="1"/>
          <w:bCs w:val="1"/>
          <w:color w:val="auto"/>
        </w:rPr>
        <w:t>Extension Proposals</w:t>
      </w:r>
      <w:r>
        <w:rPr>
          <w:rFonts w:ascii="Times New Roman" w:cs="Times New Roman" w:eastAsia="Times New Roman" w:hAnsi="Times New Roman"/>
          <w:sz w:val="18"/>
          <w:szCs w:val="18"/>
          <w:color w:val="auto"/>
        </w:rPr>
        <w:t>”). This supplement (the “</w:t>
      </w:r>
      <w:r>
        <w:rPr>
          <w:rFonts w:ascii="Times New Roman" w:cs="Times New Roman" w:eastAsia="Times New Roman" w:hAnsi="Times New Roman"/>
          <w:sz w:val="18"/>
          <w:szCs w:val="18"/>
          <w:b w:val="1"/>
          <w:bCs w:val="1"/>
          <w:color w:val="auto"/>
        </w:rPr>
        <w:t>Second Supplement</w:t>
      </w:r>
      <w:r>
        <w:rPr>
          <w:rFonts w:ascii="Times New Roman" w:cs="Times New Roman" w:eastAsia="Times New Roman" w:hAnsi="Times New Roman"/>
          <w:sz w:val="18"/>
          <w:szCs w:val="18"/>
          <w:color w:val="auto"/>
        </w:rPr>
        <w:t>”) contains additional information that supplements the Proxy Statement and the Supplement, and we urge you to read this Second Supplement, together with the Proxy Statement and the Supplement regarding the following Extension Proposals: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2 TO THE DEFINITIVE PROXY STATEMENT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Company is providing additional information to its stockholders, as described in this Second Supplement to the Definitive Proxy Statement dated February 9, 2023, and the Supplement to the Definitive Proxy Statement filed on February 17, 2023 both of which were filed on these dates with the United States Securities and Exchange Commission in connection with the Special Meeting to be held on March 10, 2023 ( the Definitive Proxy Statement and the Supplement thereto are together referred to as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i w:val="1"/>
          <w:iCs w:val="1"/>
          <w:color w:val="auto"/>
        </w:rPr>
        <w:t>”). These disclosures should be read in connection with the Proxy Statement, which should be read in its entirety. To the extent that the information set forth herein differs from or updates information contained in the Proxy Statement, the information set forth herein shall supersede or supplement the information in the Proxy Statement. Defined terms used but not defined herein have the meanings set forth in the Proxy Statement and all page references are to pages in the Proxy Statement. The Company makes the following amended and supplemental disclosures:</w:t>
      </w:r>
    </w:p>
    <w:p>
      <w:pPr>
        <w:spacing w:after="0" w:line="183" w:lineRule="exact"/>
        <w:rPr>
          <w:sz w:val="20"/>
          <w:szCs w:val="20"/>
          <w:color w:val="auto"/>
        </w:rPr>
      </w:pPr>
    </w:p>
    <w:p>
      <w:pPr>
        <w:jc w:val="both"/>
        <w:ind w:left="460" w:right="100"/>
        <w:spacing w:after="0" w:line="268" w:lineRule="auto"/>
        <w:rPr>
          <w:sz w:val="20"/>
          <w:szCs w:val="20"/>
          <w:color w:val="auto"/>
        </w:rPr>
      </w:pPr>
      <w:r>
        <w:rPr>
          <w:rFonts w:ascii="Times New Roman" w:cs="Times New Roman" w:eastAsia="Times New Roman" w:hAnsi="Times New Roman"/>
          <w:sz w:val="18"/>
          <w:szCs w:val="18"/>
          <w:b w:val="1"/>
          <w:bCs w:val="1"/>
          <w:color w:val="auto"/>
        </w:rPr>
        <w:t>With respect to the 1% federal excise tax that may be imposed under the Inflation Reduction Act of 2022, the Company is notifying all concerned parties that funds in trust, including any interest thereon, will not be used, now or in the future, to pay for any excise tax imposed under the Inflation Reduction Act of 2022.</w:t>
      </w:r>
    </w:p>
    <w:p>
      <w:pPr>
        <w:spacing w:after="0" w:line="171" w:lineRule="exact"/>
        <w:rPr>
          <w:sz w:val="20"/>
          <w:szCs w:val="20"/>
          <w:color w:val="auto"/>
        </w:rPr>
      </w:pPr>
    </w:p>
    <w:p>
      <w:pPr>
        <w:jc w:val="both"/>
        <w:ind w:left="460" w:right="100"/>
        <w:spacing w:after="0" w:line="278" w:lineRule="auto"/>
        <w:rPr>
          <w:sz w:val="20"/>
          <w:szCs w:val="20"/>
          <w:color w:val="auto"/>
        </w:rPr>
      </w:pPr>
      <w:r>
        <w:rPr>
          <w:rFonts w:ascii="Times New Roman" w:cs="Times New Roman" w:eastAsia="Times New Roman" w:hAnsi="Times New Roman"/>
          <w:sz w:val="17"/>
          <w:szCs w:val="17"/>
          <w:color w:val="auto"/>
        </w:rPr>
        <w:t xml:space="preserve">As disclosed in the Proxy Statement, </w:t>
      </w:r>
      <w:r>
        <w:rPr>
          <w:rFonts w:ascii="Times New Roman" w:cs="Times New Roman" w:eastAsia="Times New Roman" w:hAnsi="Times New Roman"/>
          <w:sz w:val="17"/>
          <w:szCs w:val="17"/>
          <w:color w:val="231F20"/>
        </w:rPr>
        <w:t>on August 16, 2022, President Biden signed into law the Inflation Reduction Act of 2022 (the “</w:t>
      </w:r>
      <w:r>
        <w:rPr>
          <w:rFonts w:ascii="Times New Roman" w:cs="Times New Roman" w:eastAsia="Times New Roman" w:hAnsi="Times New Roman"/>
          <w:sz w:val="17"/>
          <w:szCs w:val="17"/>
          <w:b w:val="1"/>
          <w:bCs w:val="1"/>
          <w:color w:val="231F20"/>
        </w:rPr>
        <w:t>IR Act</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which, among other things, imposes a 1% excise tax on any publicly traded domestic corporation that repurchases its stock after December 31, 2022 (the “</w:t>
      </w:r>
      <w:r>
        <w:rPr>
          <w:rFonts w:ascii="Times New Roman" w:cs="Times New Roman" w:eastAsia="Times New Roman" w:hAnsi="Times New Roman"/>
          <w:sz w:val="17"/>
          <w:szCs w:val="17"/>
          <w:b w:val="1"/>
          <w:bCs w:val="1"/>
          <w:color w:val="231F20"/>
        </w:rPr>
        <w:t>Excise Tax</w:t>
      </w:r>
      <w:r>
        <w:rPr>
          <w:rFonts w:ascii="Times New Roman" w:cs="Times New Roman" w:eastAsia="Times New Roman" w:hAnsi="Times New Roman"/>
          <w:sz w:val="17"/>
          <w:szCs w:val="17"/>
          <w:color w:val="231F20"/>
        </w:rPr>
        <w:t>”). Based on recently issued interim guidance from the Internal Revenue Service and Treasury in Notice 2023-2, subject to certain exceptions, the Excise Tax should not apply in the event of our liquidation. In any event, the Company is notifying all concerned parties that funds in trust, including any interest thereon, will not be used, now or in the future, to pay for any excise tax imposed under the Inflation Reduction Act.</w:t>
      </w:r>
    </w:p>
    <w:p>
      <w:pPr>
        <w:spacing w:after="0" w:line="168" w:lineRule="exact"/>
        <w:rPr>
          <w:sz w:val="20"/>
          <w:szCs w:val="20"/>
          <w:color w:val="auto"/>
        </w:rPr>
      </w:pPr>
    </w:p>
    <w:p>
      <w:pPr>
        <w:jc w:val="both"/>
        <w:ind w:left="460" w:right="100"/>
        <w:spacing w:after="0" w:line="261" w:lineRule="auto"/>
        <w:rPr>
          <w:sz w:val="20"/>
          <w:szCs w:val="20"/>
          <w:color w:val="auto"/>
        </w:rPr>
      </w:pPr>
      <w:r>
        <w:rPr>
          <w:rFonts w:ascii="Times New Roman" w:cs="Times New Roman" w:eastAsia="Times New Roman" w:hAnsi="Times New Roman"/>
          <w:sz w:val="18"/>
          <w:szCs w:val="18"/>
          <w:color w:val="231F20"/>
        </w:rPr>
        <w:t>To the extent there are insufficient funds in the Company’s working capital to fund the payment of any potential Excise Taxes that may become due upon a redemption of public shares in connection with a liquidation of the Company in 2023 if we do not effect a business combination prior to December 15, 2023, our Sponsor has agreed to contribute to us (which may be by working capital loan) funds necessary to make any such potential excise tax payment without using proceeds (including interest income) from the trust account.</w:t>
      </w:r>
    </w:p>
    <w:p>
      <w:pPr>
        <w:spacing w:after="0" w:line="180" w:lineRule="exact"/>
        <w:rPr>
          <w:sz w:val="20"/>
          <w:szCs w:val="20"/>
          <w:color w:val="auto"/>
        </w:rPr>
      </w:pPr>
    </w:p>
    <w:p>
      <w:pPr>
        <w:jc w:val="both"/>
        <w:ind w:left="500" w:right="120"/>
        <w:spacing w:after="0" w:line="261" w:lineRule="auto"/>
        <w:rPr>
          <w:sz w:val="20"/>
          <w:szCs w:val="20"/>
          <w:color w:val="auto"/>
        </w:rPr>
      </w:pPr>
      <w:r>
        <w:rPr>
          <w:rFonts w:ascii="Times New Roman" w:cs="Times New Roman" w:eastAsia="Times New Roman" w:hAnsi="Times New Roman"/>
          <w:sz w:val="18"/>
          <w:szCs w:val="18"/>
          <w:color w:val="auto"/>
        </w:rPr>
        <w:t>Based upon the amount in the trust account as of February 8, 2023 ($295.4 million), the Company estimates that the per-share price at which public shares may be redeemed from cash held in the trust account will be approximately $10.27 at the time of the special meeting, without taking into account any additional interest or allocation of payments to cover any tax obligation of the Company, such as franchise taxes, but not including any Excise Tax, since that date.</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END OF SUPPLEMENT TO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2023-02-23T07:40:49Z</dcterms:created>
  <dcterms:modified xsi:type="dcterms:W3CDTF">2023-02-23T07:40:49Z</dcterms:modified>
</cp:coreProperties>
</file>