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May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448"/>
        <w:gridCol w:w="391"/>
        <w:gridCol w:w="391"/>
        <w:gridCol w:w="391"/>
        <w:gridCol w:w="391"/>
        <w:gridCol w:w="391"/>
        <w:gridCol w:w="391"/>
        <w:gridCol w:w="391"/>
        <w:gridCol w:w="412"/>
        <w:gridCol w:w="614"/>
        <w:gridCol w:w="614"/>
        <w:gridCol w:w="617"/>
        <w:gridCol w:w="390"/>
        <w:gridCol w:w="390"/>
        <w:gridCol w:w="555"/>
      </w:tblGrid>
      <w:tr>
        <w:trPr/>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El Dorado Hills,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90" w:type="dxa"/>
        <w:jc w:val="left"/>
        <w:tblInd w:w="0" w:type="dxa"/>
        <w:tblLayout w:type="fixed"/>
        <w:tblCellMar>
          <w:top w:w="28" w:type="dxa"/>
          <w:left w:w="28" w:type="dxa"/>
          <w:bottom w:w="28" w:type="dxa"/>
          <w:right w:w="28" w:type="dxa"/>
        </w:tblCellMar>
      </w:tblPr>
      <w:tblGrid>
        <w:gridCol w:w="1951"/>
        <w:gridCol w:w="1715"/>
        <w:gridCol w:w="242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18"/>
        <w:gridCol w:w="1811"/>
        <w:gridCol w:w="1831"/>
        <w:gridCol w:w="109"/>
        <w:gridCol w:w="109"/>
        <w:gridCol w:w="109"/>
        <w:gridCol w:w="296"/>
        <w:gridCol w:w="296"/>
        <w:gridCol w:w="298"/>
        <w:gridCol w:w="109"/>
        <w:gridCol w:w="109"/>
        <w:gridCol w:w="109"/>
        <w:gridCol w:w="788"/>
        <w:gridCol w:w="788"/>
        <w:gridCol w:w="1125"/>
      </w:tblGrid>
      <w:tr>
        <w:trPr/>
        <w:tc>
          <w:tcPr>
            <w:tcW w:w="231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14, 2026, Blaize Holdings, Inc. (“Blaize”) issued a press release announcing its results of operations for the quarter ended March 31, 2026. A copy of the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0"/>
        <w:gridCol w:w="1950"/>
        <w:gridCol w:w="277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2026xq1pressrelease.htm">
              <w:r>
                <w:rPr>
                  <w:rStyle w:val="InternetLink"/>
                  <w:rFonts w:ascii="Times New Roman;serif" w:hAnsi="Times New Roman;serif"/>
                  <w:b w:val="false"/>
                  <w:color w:val="3051F2"/>
                  <w:sz w:val="20"/>
                  <w:u w:val="single"/>
                </w:rPr>
                <w:t>Press Release, dated May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299"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557"/>
        <w:gridCol w:w="557"/>
        <w:gridCol w:w="79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0"/>
        <w:jc w:val="center"/>
        <w:rPr>
          <w:rFonts w:ascii="Times New Roman;serif" w:hAnsi="Times New Roman;serif"/>
          <w:b/>
          <w:color w:val="000000"/>
          <w:sz w:val="24"/>
        </w:rPr>
      </w:pPr>
      <w:r>
        <w:rPr>
          <w:rFonts w:ascii="Times New Roman;serif" w:hAnsi="Times New Roman;serif"/>
          <w:b/>
          <w:color w:val="000000"/>
          <w:sz w:val="24"/>
        </w:rPr>
        <w:t>Blaize Announces First Quarter 2026 Financial Results</w:t>
      </w:r>
    </w:p>
    <w:p>
      <w:pPr>
        <w:pStyle w:val="TextBody"/>
        <w:bidi w:val="0"/>
        <w:spacing w:before="0" w:after="0"/>
        <w:jc w:val="left"/>
        <w:rPr/>
      </w:pPr>
      <w:r>
        <w:rPr/>
      </w:r>
    </w:p>
    <w:p>
      <w:pPr>
        <w:pStyle w:val="TextBody"/>
        <w:bidi w:val="0"/>
        <w:spacing w:lineRule="auto" w:line="278" w:before="0" w:after="0"/>
        <w:ind w:left="0" w:right="0" w:hanging="360"/>
        <w:jc w:val="left"/>
        <w:rPr/>
      </w:pPr>
      <w:r>
        <w:rPr>
          <w:color w:val="000000"/>
        </w:rPr>
        <w:t>•</w:t>
      </w:r>
      <w:r>
        <w:rPr>
          <w:rFonts w:ascii="Times New Roman;serif" w:hAnsi="Times New Roman;serif"/>
          <w:b w:val="false"/>
          <w:color w:val="000000"/>
          <w:sz w:val="24"/>
        </w:rPr>
        <w:t>Four new strategic partnerships announced with NeoTensr, Nokia, Datacomm Diangraha, and Winmate</w:t>
      </w:r>
    </w:p>
    <w:p>
      <w:pPr>
        <w:pStyle w:val="TextBody"/>
        <w:bidi w:val="0"/>
        <w:spacing w:lineRule="auto" w:line="278" w:before="0" w:after="0"/>
        <w:ind w:left="0" w:right="0" w:hanging="360"/>
        <w:jc w:val="left"/>
        <w:rPr/>
      </w:pPr>
      <w:r>
        <w:rPr>
          <w:color w:val="000000"/>
        </w:rPr>
        <w:t>•</w:t>
      </w:r>
      <w:r>
        <w:rPr>
          <w:rFonts w:ascii="Times New Roman;serif" w:hAnsi="Times New Roman;serif"/>
          <w:b w:val="false"/>
          <w:color w:val="000000"/>
          <w:sz w:val="24"/>
        </w:rPr>
        <w:t xml:space="preserve">Blaize AI Services platform announced at GITEX AI 2026, with face recognition being the first application-level AI service </w:t>
      </w:r>
    </w:p>
    <w:p>
      <w:pPr>
        <w:pStyle w:val="TextBody"/>
        <w:bidi w:val="0"/>
        <w:spacing w:lineRule="auto" w:line="278" w:before="0" w:after="0"/>
        <w:ind w:left="0" w:right="0" w:hanging="360"/>
        <w:jc w:val="left"/>
        <w:rPr/>
      </w:pPr>
      <w:r>
        <w:rPr>
          <w:color w:val="000000"/>
        </w:rPr>
        <w:t>•</w:t>
      </w:r>
      <w:r>
        <w:rPr>
          <w:rFonts w:ascii="Times New Roman;serif" w:hAnsi="Times New Roman;serif"/>
          <w:b w:val="false"/>
          <w:color w:val="000000"/>
          <w:sz w:val="24"/>
        </w:rPr>
        <w:t xml:space="preserve">Strengthened capitalization through $35 million registered equity offering supported by large institutional investors </w:t>
      </w:r>
    </w:p>
    <w:p>
      <w:pPr>
        <w:pStyle w:val="TextBody"/>
        <w:bidi w:val="0"/>
        <w:spacing w:lineRule="auto" w:line="278" w:before="0" w:after="0"/>
        <w:ind w:left="0" w:right="0" w:hanging="360"/>
        <w:jc w:val="left"/>
        <w:rPr/>
      </w:pPr>
      <w:r>
        <w:rPr>
          <w:color w:val="000000"/>
        </w:rPr>
        <w:t>•</w:t>
      </w:r>
      <w:r>
        <w:rPr>
          <w:rFonts w:ascii="Times New Roman;serif" w:hAnsi="Times New Roman;serif"/>
          <w:b w:val="false"/>
          <w:color w:val="000000"/>
          <w:sz w:val="24"/>
        </w:rPr>
        <w:t>Full year 2026 revenue guidance reaffirmed at $130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 xml:space="preserve">El Dorado Hills, Calif. – May 14, 2026 – </w:t>
      </w:r>
      <w:r>
        <w:rPr>
          <w:rFonts w:ascii="Times New Roman;serif" w:hAnsi="Times New Roman;serif"/>
          <w:b w:val="false"/>
          <w:color w:val="000000"/>
          <w:sz w:val="24"/>
        </w:rPr>
        <w:t xml:space="preserve">Blaize Holdings, Inc. (NASDAQ: BZAI, NASDAQ: BZAIW) (“Blaize,” the “Company,” “we,” “us,” and “our”), a leader in programmable, energy-efficient edge AI computing, today announced financial results for the first quarter ended March 31, 2026, reflecting continued strong and focused execution as edge AI infrastructure draws increased global attention.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Blaize reflected a breakout growth year in 2025, and expects 2026 to continue that trend, anchored by four new strategic partnerships, the rollout of the Blaize AI Services platform, and a strengthened capital position. These developments are anticipated to bring a diversified and expanded customer pipeline geographically and broaden Blaize’s exposure across data center, sovereign AI, and rugged edge markets.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Our recent commercial engagements each mark something specific about where Blaize is heading. Our new NeoTensr contract has recently resulted in an $11 million purchase order, which we expect to fulfill in the second quarter. Nokia brings us into the global AI infrastructure space through its AI cloud provider business, with Datacomm as the first reference cloud service provider customer of that joint engagement. We expect our partnership with Winmate to result in Blaize chips in rugged platforms at commercial scale across public safety and critical infrastructure. The rollout of Blaize AI Services, starting with face recognition, marks a shift in our model toward additional recurring, API-based revenue,” said Dinakar Munagala, co-founder and CEO of Blaize. “Together these extend our reach, deepen the pipeline, and shape a more durable long-term revenue mix.”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Business and Operational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 xml:space="preserve">Asia Pacific Edge Data Center Expansion with NeoTensr. </w:t>
      </w:r>
      <w:r>
        <w:rPr>
          <w:rFonts w:ascii="Times New Roman;serif" w:hAnsi="Times New Roman;serif"/>
          <w:b w:val="false"/>
          <w:color w:val="000000"/>
          <w:sz w:val="24"/>
        </w:rPr>
        <w:t xml:space="preserve">Blaize signed a contract with NeoTensr valued at up to $50 million for co-branded edge AI, building upon Blaize’s fourth quarter 2025 order from NeoTensr of over $20 million. The partnership targets multi-edge inference deployment across Asia Pacific using Blaize’s hybrid architecture and the new Blaize AI Services stack. </w:t>
      </w:r>
    </w:p>
    <w:p>
      <w:pPr>
        <w:pStyle w:val="TextBody"/>
        <w:bidi w:val="0"/>
        <w:spacing w:lineRule="auto" w:line="288"/>
        <w:ind w:left="0" w:right="0" w:hanging="360"/>
        <w:jc w:val="left"/>
        <w:rPr/>
      </w:pPr>
      <w:r>
        <w:rPr>
          <w:color w:val="000000"/>
        </w:rPr>
        <w:t>•</w:t>
      </w:r>
      <w:r>
        <w:rPr>
          <w:rFonts w:ascii="Times New Roman;serif" w:hAnsi="Times New Roman;serif"/>
          <w:b/>
          <w:color w:val="000000"/>
          <w:sz w:val="24"/>
        </w:rPr>
        <w:t xml:space="preserve">Announcement of Blaize AI Services and Face Recognition. </w:t>
      </w:r>
      <w:r>
        <w:rPr>
          <w:rFonts w:ascii="Times New Roman;serif" w:hAnsi="Times New Roman;serif"/>
          <w:b w:val="false"/>
          <w:color w:val="000000"/>
          <w:sz w:val="24"/>
        </w:rPr>
        <w:t xml:space="preserve">At GITEX AI 2026, Blaize introduced Blaize AI Services, a platform designed to help cloud providers, data center operators, system integrators, and enterprises deploy application-level AI services faster and at lower cost. Blaize AI Services is expected to create recurring and higher margin revenue. Face recognition, as the first application service on the platform, has now been released,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signifying the Company’s addition of recurring, API-based, per-query revenue to its hardware revenue. Additional services are expected to follow.</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Blaize, Nokia, and Datacomm Strategic Alliance.</w:t>
      </w:r>
      <w:r>
        <w:rPr>
          <w:color w:val="000000"/>
        </w:rPr>
        <w:t xml:space="preserve"> </w:t>
      </w:r>
      <w:r>
        <w:rPr>
          <w:rFonts w:ascii="Times New Roman;serif" w:hAnsi="Times New Roman;serif"/>
          <w:b w:val="false"/>
          <w:color w:val="000000"/>
          <w:sz w:val="24"/>
        </w:rPr>
        <w:t>Blaize, Nokia, and Datacomm announced a strategic alliance to deliver hybrid AI inference infrastructure across Southeast Asia, with the joint architecture designed for pre-integrated deployment combining AI Services and compute, network, security, and lifecycle automation. The parties are exploring AI inference solutions across Indonesia, with initial focus on physical AI, public safety, surveillance, and industrial AI applications. Datacomm has cited a 50% surge in regional AI inference demand over the past six months.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Winmate Strategic Partnership</w:t>
      </w:r>
      <w:r>
        <w:rPr>
          <w:rFonts w:ascii="Times New Roman;serif" w:hAnsi="Times New Roman;serif"/>
          <w:b w:val="false"/>
          <w:color w:val="000000"/>
          <w:sz w:val="24"/>
        </w:rPr>
        <w:t>. Blaize and Winmate signed a strategic partnership agreement to bring AI to rugged defense and critical infrastructure systems, with the parties intending to close approximately $15 million in business during the first year and expectations to scale meaningfully in subsequent years. Joint solutions combining Blaize’s energy-efficient, industrial-grade AI chips with Winmate’s rugged platforms are expected to include drones, handhelds, vehicle mounted units, and embedded edge devices used by border security, maritime, defense, and healthcare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Our recent equity raise strengthened the balance sheet and drew strong participation from high-quality institutional investors, including marquee names with deep exposure to the data center and AI infrastructure ecosystem. The well-subscribed offering extends our financial runway and supports the growth initiatives ahead,” said Harminder Sehmi, Chief Financial Officer of Blaize. “We remain focused on disciplined execution, with particular emphasis on building the inventory needed to fulfill our contracted pipeline.”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First Quarter 2026 Financials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First quarter 2026 revenue was $2.7 million, an increase of 172% year over year</w:t>
      </w:r>
      <w:r>
        <w:rPr>
          <w:rFonts w:ascii="Times New Roman;serif" w:hAnsi="Times New Roman;serif"/>
          <w:b w:val="false"/>
          <w:i/>
          <w:color w:val="000000"/>
          <w:sz w:val="24"/>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Gross margin expanded to 58% compared to 11% in the fourth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loss was $22.7 million compared to net loss of $147.8 million in the first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loss was $13.9 million compared to an Adjusted EBITDA loss of $15.4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Strategic Equity Raise</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 May 6, 2026, Blaize announced the pricing of a registered offering of 18.9 million shares of common stock at $1.85 per share, supported by a group of large institutional investors. The $35 million in proceeds, before fees and expenses, are expected to support execution of commercial deal commitments, continued development of Blaize AI Services, advancement of the rack-scale hybrid platform, and next-generation platform development.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Strategic Vision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Blaize is building toward hybrid rack-scale as the deployment unit for the next phase of AI. Our strategy is anchored on three pillars: sovereign infrastructure with customer-controlled compute;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small LLMs as a service monetized per query through partners; and programmable, energy-efficient compute that runs vision and language workloads on a single stack.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Financial Outlook for Full Year Ending December 31,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forward-looking statements are based on current expectations, and actual results may differ materially, as described below in “Cautionary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of approximately $130.0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loss in the range of $45.0 million to $50.0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Stock-based compensation of approximately $34.4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Weighted average shares outstanding of approximately 142 million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Earnings 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Dinakar Munagala, co-founder and CEO of Blaize, and Harminder Sehmi, CFO of Blaize, will host a conference call at 2:00 p.m. Pacific Time today, May 14, 2026,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Blaize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1E1E1E"/>
          <w:sz w:val="24"/>
        </w:rPr>
        <w:t xml:space="preserve">Blaize delivers a programmable AI platform, purpose-built for AI inference workloads in real-world environments. Its Hybrid AI architecture combines the Blaize GSP (Graph Streaming Processor), an efficient AI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defense. Blaize is headquartered in El Dorado Hills, California, with a global presence across North America, Europe, the Middle East, and Asia. </w:t>
      </w:r>
      <w:r>
        <w:rPr>
          <w:rFonts w:ascii="Times New Roman;serif" w:hAnsi="Times New Roman;serif"/>
          <w:b w:val="false"/>
          <w:color w:val="000000"/>
          <w:sz w:val="24"/>
        </w:rPr>
        <w:t xml:space="preserve">To learn more, visit </w:t>
      </w:r>
      <w:r>
        <w:rPr>
          <w:rFonts w:ascii="Times New Roman;serif" w:hAnsi="Times New Roman;serif"/>
          <w:b w:val="false"/>
          <w:color w:val="467886"/>
          <w:sz w:val="24"/>
        </w:rPr>
        <w:t>www.blaize.com</w:t>
      </w:r>
      <w:r>
        <w:rPr>
          <w:color w:val="000000"/>
        </w:rPr>
        <w:t xml:space="preserve"> </w:t>
      </w:r>
      <w:r>
        <w:rPr>
          <w:rFonts w:ascii="Times New Roman;serif" w:hAnsi="Times New Roman;serif"/>
          <w:b w:val="false"/>
          <w:color w:val="000000"/>
          <w:sz w:val="24"/>
        </w:rPr>
        <w:t xml:space="preserve">or follow us on LinkedIn @blaizeinc.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Non-GAAP Measures</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 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 In conjunction with net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loss calculated in accordance with GAAP, we also use EBITDA and Adjusted EBITDA, as defined below, to evaluate our ongoing operations and for internal planning and forecasting purposes.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EBITDA and Adjusted EBITDA</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 In reliance on the exception provided by Item 10(e)(1)(i)(B) of Regulation S-K, we have not reconciled the forward-looking Adjusted EBITDA (Non-GAAP) for the full fiscal year 2026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Cautionary Statement Regarding Forward Looking Statements</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within the meaning of Section 27A of the U.S. Securities Act of 1933, as amended (the “Securities Act”), and Section 21E of the U.S. Securities Exchange Act of 1934, as amended (the “Exchange Act”), including statements regarding our 2026 financial outlook; stock-based compensation; weighted average shares outstanding; release of the AI Services platform; the engagements with NeoTensr, Nokia, Datacomm, and Winmate, or the ultimate value of those contracts; regional growth, the expectations for AI infrastructure ecosystem development and AI services deployment, projected margin improvement,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(iii) failure to realize the benefits of the business combination of Blaize and BurTech Acquisition Corp., which may be affected by, among other things, competition, the ability of the combined company to grow and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manage growth profitably, maintain relationships with customers and suppliers and retain its management and key employees; (iv) the ability of the Company to successfully market its products and services; (v) the ability of the Company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Annual Report on Form 10-K filed with the Securities and Exchange Commission (SEC) on March 24, 2026, our Quarterly Report on Form 10-Q filed with the SEC on May 14, 2026,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Blaize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Blaize does not give any assurance that it will achieve its expectations. 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Blaize Contact</w:t>
      </w:r>
    </w:p>
    <w:p>
      <w:pPr>
        <w:pStyle w:val="TextBody"/>
        <w:bidi w:val="0"/>
        <w:spacing w:lineRule="auto" w:line="278" w:before="0" w:after="0"/>
        <w:jc w:val="left"/>
        <w:rPr>
          <w:rFonts w:ascii="Times New Roman;serif" w:hAnsi="Times New Roman;serif"/>
          <w:b w:val="false"/>
          <w:color w:val="467886"/>
          <w:sz w:val="24"/>
        </w:rPr>
      </w:pPr>
      <w:r>
        <w:rPr>
          <w:rFonts w:ascii="Times New Roman;serif" w:hAnsi="Times New Roman;serif"/>
          <w:b w:val="false"/>
          <w:color w:val="467886"/>
          <w:sz w:val="24"/>
        </w:rPr>
        <w:t>press@blaize.com</w:t>
      </w:r>
    </w:p>
    <w:p>
      <w:pPr>
        <w:pStyle w:val="TextBody"/>
        <w:bidi w:val="0"/>
        <w:spacing w:lineRule="auto" w:line="278" w:before="0" w:after="0"/>
        <w:jc w:val="left"/>
        <w:rPr>
          <w:rFonts w:ascii="Times New Roman;serif" w:hAnsi="Times New Roman;serif"/>
          <w:b w:val="false"/>
          <w:color w:val="467886"/>
          <w:sz w:val="24"/>
        </w:rPr>
      </w:pPr>
      <w:r>
        <w:rPr>
          <w:rFonts w:ascii="Times New Roman;serif" w:hAnsi="Times New Roman;serif"/>
          <w:b w:val="false"/>
          <w:color w:val="467886"/>
          <w:sz w:val="24"/>
        </w:rPr>
        <w:t>www.blaize.com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78" w:before="0" w:after="0"/>
        <w:jc w:val="left"/>
        <w:rPr>
          <w:rFonts w:ascii="Times New Roman;serif" w:hAnsi="Times New Roman;serif"/>
          <w:b w:val="false"/>
          <w:color w:val="467886"/>
          <w:sz w:val="24"/>
        </w:rPr>
      </w:pPr>
      <w:r>
        <w:rPr>
          <w:rFonts w:ascii="Times New Roman;serif" w:hAnsi="Times New Roman;serif"/>
          <w:b w:val="false"/>
          <w:color w:val="467886"/>
          <w:sz w:val="24"/>
        </w:rPr>
        <w:t>ir@blaize.com</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Source: Blaize Holdings,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BLAIZE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LOSS TO EBITDA AND ADJUSTED EBITDA</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(Unaudited)</w:t>
      </w:r>
    </w:p>
    <w:p>
      <w:pPr>
        <w:pStyle w:val="TextBody"/>
        <w:bidi w:val="0"/>
        <w:spacing w:before="0" w:after="0"/>
        <w:jc w:val="center"/>
        <w:rPr/>
      </w:pPr>
      <w:r>
        <w:rPr/>
      </w:r>
    </w:p>
    <w:p>
      <w:pPr>
        <w:pStyle w:val="TextBody"/>
        <w:bidi w:val="0"/>
        <w:spacing w:before="240" w:after="283"/>
        <w:ind w:left="0" w:right="0" w:firstLine="720"/>
        <w:jc w:val="left"/>
        <w:rPr/>
      </w:pPr>
      <w:r>
        <w:rPr/>
      </w:r>
    </w:p>
    <w:tbl>
      <w:tblPr>
        <w:tblW w:w="7175"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2864</Words>
  <Characters>16765</Characters>
  <CharactersWithSpaces>19523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