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0000FF"/>
        </w:rPr>
        <w:t>Blaize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Riaz Karamali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Pillsbury Winthrop Shaw Pittman LLP, 2550 Hanover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Lane M. Bess</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1928 Sunset Harbor Drive,</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Miami Beach, FL, 33139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(650) 233-4052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Lane Bess</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12,836,751.00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185,234.00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12,836,751.00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13,021,985.00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Bess Ventures &amp; Advisory,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12,446,783.00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12,446,783.00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12,446,783.00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69"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389,968.00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139"/>
          </w:cols>
          <w:pgMar w:left="320" w:top="369" w:right="1440"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389,968.00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389,968.00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Trust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Blaize Holdings</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4659 Golden Foothill Parkway, Suite 206, El Dorado Hills, CALIFORNIA , 95762.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Lane Bess Bess Ventures and Advisory, LLC Destin Huang Irrevocable Trust Dated October 19, 2021</w:t>
      </w:r>
    </w:p>
    <w:p>
      <w:pPr>
        <w:spacing w:after="0" w:line="44" w:lineRule="exact"/>
        <w:rPr>
          <w:rFonts w:ascii="Times New Roman" w:cs="Times New Roman" w:eastAsia="Times New Roman" w:hAnsi="Times New Roman"/>
          <w:sz w:val="22"/>
          <w:szCs w:val="22"/>
          <w:color w:val="auto"/>
        </w:rPr>
      </w:pPr>
    </w:p>
    <w:p>
      <w:pPr>
        <w:ind w:left="980" w:right="80" w:hanging="932"/>
        <w:spacing w:after="0" w:line="185" w:lineRule="auto"/>
        <w:tabs>
          <w:tab w:leader="none" w:pos="98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office and business address of Mr. Bess and Bess Ventures is 1928 Sunset Harbor Drive, Miami Beach, FL 33139 The address of the Trust is 255 Alhambra Circle, Ste 333, Coral Gables, FL 33134</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Mr. Bess is the managing member and owner of Bess Ventures. Mr. Bess is the Investment Fiduciary of the Trust.</w:t>
      </w:r>
    </w:p>
    <w:p>
      <w:pPr>
        <w:spacing w:after="0" w:line="14" w:lineRule="exact"/>
        <w:rPr>
          <w:rFonts w:ascii="Times New Roman" w:cs="Times New Roman" w:eastAsia="Times New Roman" w:hAnsi="Times New Roman"/>
          <w:sz w:val="39"/>
          <w:szCs w:val="39"/>
          <w:color w:val="auto"/>
          <w:vertAlign w:val="subscript"/>
        </w:rPr>
      </w:pPr>
    </w:p>
    <w:p>
      <w:pPr>
        <w:ind w:left="980" w:right="600" w:hanging="932"/>
        <w:spacing w:after="0" w:line="237"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Mr. Bess and Bess Ventures is primarily engaged in the business of investing in securities. The Trust is primarily engaged in the business of trust administration.</w:t>
      </w:r>
    </w:p>
    <w:p>
      <w:pPr>
        <w:spacing w:after="0" w:line="16"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have been convicted in any criminal proceedings (excluding traffic violations or similar misdemeanors) or has been a party to a civil proceeding of a judicial or administrative</w:t>
      </w:r>
    </w:p>
    <w:p>
      <w:pPr>
        <w:ind w:left="980" w:hanging="932"/>
        <w:spacing w:after="0" w:line="235"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100"/>
        <w:spacing w:after="0" w:line="245" w:lineRule="auto"/>
        <w:rPr>
          <w:sz w:val="20"/>
          <w:szCs w:val="20"/>
          <w:color w:val="auto"/>
        </w:rPr>
      </w:pPr>
      <w:r>
        <w:rPr>
          <w:rFonts w:ascii="Times New Roman" w:cs="Times New Roman" w:eastAsia="Times New Roman" w:hAnsi="Times New Roman"/>
          <w:sz w:val="21"/>
          <w:szCs w:val="21"/>
          <w:color w:val="auto"/>
        </w:rPr>
        <w:t>All of the shares of the Issuer's Common Stock (the "Common Stock") reported herein as beneficially owned by the Reporting Persons (other than the Sponsor Stock and the Debtor Collateral Stock, each as defined below), were acquired pursuant to an Agreement and Plan of Merger, dated as of December 22, 2023 (as amended on April 22, 2024, October 24, 2024 and November 21, 2024, the "Business Combination Agreement"), by and among BurTech Acquisition Corp., a Delaware corporation ("BurTech"), BurTech Merger Sub Inc., a Delaware corporation and a direct, wholly owned subsidiary of BurTech, Blaize, Inc., a Delaware corporation ("Blaize"), and for the limited purposes set forth therein, Burkhan Capital LLC, a Delaware limited liability company and affiliate of BurTech. The transactions contemplated by the Business Combination Agreement (the "Business Combination") closed on January 13, 2025 (the "Closing"). Pursuant to the terms of the Business Combination Agreement, immediately prior to the Closing, (i) each share of Blaize Series D-2 Shadow Preferred Stock of Blaize (the "Series D-2 Shadow Preferred Stock") converted to Blaize common stock and (ii) holders of Blaize common stock received approximately 0.78</w:t>
      </w:r>
    </w:p>
    <w:p>
      <w:pPr>
        <w:sectPr>
          <w:pgSz w:w="11900" w:h="16838" w:orient="portrait"/>
          <w:cols w:equalWidth="0" w:num="1">
            <w:col w:w="11180"/>
          </w:cols>
          <w:pgMar w:left="320" w:top="112" w:right="399" w:bottom="0" w:gutter="0" w:footer="0" w:header="0"/>
        </w:sectPr>
      </w:pPr>
    </w:p>
    <w:bookmarkStart w:id="4" w:name="page5"/>
    <w:bookmarkEnd w:id="4"/>
    <w:p>
      <w:pPr>
        <w:ind w:left="940" w:right="40"/>
        <w:spacing w:after="0" w:line="244" w:lineRule="auto"/>
        <w:rPr>
          <w:sz w:val="20"/>
          <w:szCs w:val="20"/>
          <w:color w:val="auto"/>
        </w:rPr>
      </w:pPr>
      <w:r>
        <w:rPr>
          <w:rFonts w:ascii="Times New Roman" w:cs="Times New Roman" w:eastAsia="Times New Roman" w:hAnsi="Times New Roman"/>
          <w:sz w:val="21"/>
          <w:szCs w:val="21"/>
          <w:color w:val="auto"/>
        </w:rPr>
        <w:t>shares of Common Stock for each share of Blaize common stock held by them at such time, subject to certain limitations. Immediately prior to the Closing on January 13, 2025, (i) Bess Ventures held 4,167,698 shares of Series D-2 Shadow Preferred Stock and 5,500,000 shares of common stock of Blaize and (ii) the Trust held 500,000 shares of common stock of Blaize (collectively, the "Existing Blaize Stock"). Upon the Closing, the Existing Blaize Stock was collectively converted into the right to receive 9,336,751 shares of Common Stock. Immediately prior to the Closing, stock options held by Mr. Bess and exercisable for 237,500 shares of common stock of Blaize at a price of $0.92 per share were converted into options exercisable within the next 60 days for 185,234 shares of Common Stock at a price of $1.18 per share. 1,500,000 shares of Sponsor Stock were acquired as consideration in connection with Bess Notes (as defined below), pursuant to which Bess Ventures loaned $25,000,000 to the Sponsor (as defined below) to facilitate the Closing. The Sponsor Stock is beneficially owned by Bess Ventures as of the date that the Letter Agreement Lock-Up Terms (as defined below), which restrict formal transfer of the Sponsor Stock from the Sponsor to Bess Ventures, were within 60 days of their automatic expiry. The Sponsor defaulted on the Bess Notes. On May 8, 2026, 3,500,000 shares (inclusive of Sponsor Stock) of Debtor Collateral Stock underlying the Bess Notes were foreclosed upon as described in the Foreclosure Notice (as defined below). As a result, an additional 2,000,000 shares of Debtor Collateral Stock are beneficially owned by Bess Ventures as of the date set forth in the Foreclosure Notice. Other than the foreclosure on the Debtor Collateral Stock described above, there have been no transactions effected by the Reporting Persons in the past sixty days with respect to the securities of the Issuer.</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4" w:lineRule="auto"/>
        <w:rPr>
          <w:sz w:val="20"/>
          <w:szCs w:val="20"/>
          <w:color w:val="auto"/>
        </w:rPr>
      </w:pPr>
      <w:r>
        <w:rPr>
          <w:rFonts w:ascii="Times New Roman" w:cs="Times New Roman" w:eastAsia="Times New Roman" w:hAnsi="Times New Roman"/>
          <w:sz w:val="21"/>
          <w:szCs w:val="21"/>
          <w:color w:val="auto"/>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w:t>
      </w:r>
    </w:p>
    <w:p>
      <w:pPr>
        <w:spacing w:after="0" w:line="4" w:lineRule="exact"/>
        <w:rPr>
          <w:sz w:val="20"/>
          <w:szCs w:val="20"/>
          <w:color w:val="auto"/>
        </w:rPr>
      </w:pPr>
    </w:p>
    <w:p>
      <w:pPr>
        <w:ind w:left="940"/>
        <w:spacing w:after="0" w:line="230" w:lineRule="auto"/>
        <w:tabs>
          <w:tab w:leader="none" w:pos="123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Mr. Bess serves as Chairman of the Board and, in such capacity,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p>
      <w:pPr>
        <w:spacing w:after="0" w:line="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of this Schedule 13D is incorporated by reference herein. The responses of the</w:t>
      </w:r>
    </w:p>
    <w:p>
      <w:pPr>
        <w:sectPr>
          <w:pgSz w:w="11900" w:h="16838" w:orient="portrait"/>
          <w:cols w:equalWidth="0" w:num="1">
            <w:col w:w="11160"/>
          </w:cols>
          <w:pgMar w:left="360" w:top="112" w:right="379" w:bottom="0" w:gutter="0" w:footer="0" w:header="0"/>
        </w:sectPr>
      </w:pPr>
    </w:p>
    <w:bookmarkStart w:id="5" w:name="page6"/>
    <w:bookmarkEnd w:id="5"/>
    <w:p>
      <w:pPr>
        <w:ind w:left="940" w:right="100"/>
        <w:spacing w:after="0" w:line="249" w:lineRule="auto"/>
        <w:rPr>
          <w:sz w:val="20"/>
          <w:szCs w:val="20"/>
          <w:color w:val="auto"/>
        </w:rPr>
      </w:pPr>
      <w:r>
        <w:rPr>
          <w:rFonts w:ascii="Times New Roman" w:cs="Times New Roman" w:eastAsia="Times New Roman" w:hAnsi="Times New Roman"/>
          <w:sz w:val="21"/>
          <w:szCs w:val="21"/>
          <w:color w:val="auto"/>
        </w:rPr>
        <w:t>Reporting Persons with respect to Rows 7 through 13 of the respective cover pages of the individual Reporting Persons to this Schedule 13D are incorporated herein by reference. The Reporting Persons' aggregate percentage of beneficial ownership is approximately 9.2% of the outstanding shares of the Common Stock. Calculations of the percentage of the shares of Common Stock beneficially owned is based on 142,225,939 shares of Common Stock outstanding as of May 7, 2026. Following the Closing, Mr. Bess expects to receive customary grants of equity for his service as Chairman of the Board of the Issuer, payable in the form of stock options or restricted stock units.</w:t>
      </w:r>
    </w:p>
    <w:p>
      <w:pPr>
        <w:spacing w:after="0" w:line="9" w:lineRule="exact"/>
        <w:rPr>
          <w:sz w:val="20"/>
          <w:szCs w:val="20"/>
          <w:color w:val="auto"/>
        </w:rPr>
      </w:pPr>
    </w:p>
    <w:p>
      <w:pPr>
        <w:ind w:left="940" w:right="260"/>
        <w:spacing w:after="0" w:line="244"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9.2% of the outstanding shares of the Common Stock. Calculations of the percentage of the shares of Common Stock beneficially owned is based on 142,225,939 shares of Common Stock outstanding as of May 7, 2026. Mr. Bess may be deemed to have beneficial ownership of 13,021,985 shares of Common Stock, which consists of (1) 12,446,783 shares of Common Stock held of record by Bess Ventures, (2)</w:t>
      </w:r>
    </w:p>
    <w:p>
      <w:pPr>
        <w:spacing w:after="0" w:line="6" w:lineRule="exact"/>
        <w:rPr>
          <w:sz w:val="20"/>
          <w:szCs w:val="20"/>
          <w:color w:val="auto"/>
        </w:rPr>
      </w:pPr>
    </w:p>
    <w:p>
      <w:pPr>
        <w:ind w:left="940" w:right="220" w:hanging="932"/>
        <w:spacing w:after="0" w:line="241"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389,968 shares of Common Stock held of record by the Trust, and (3) 185,234 shares of Common Stock underlying stock options that are currently exercisable. Bess Ventures may be deemed to have beneficial ownership of</w:t>
      </w:r>
    </w:p>
    <w:p>
      <w:pPr>
        <w:spacing w:after="0" w:line="1" w:lineRule="exact"/>
        <w:rPr>
          <w:rFonts w:ascii="Times New Roman" w:cs="Times New Roman" w:eastAsia="Times New Roman" w:hAnsi="Times New Roman"/>
          <w:sz w:val="21"/>
          <w:szCs w:val="21"/>
          <w:color w:val="auto"/>
        </w:rPr>
      </w:pPr>
    </w:p>
    <w:p>
      <w:pPr>
        <w:ind w:left="940" w:right="14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12,446,783 shares of Common Stock. The Trust may be deemed to have beneficial ownership of 389,968 shares of Common Stock. Each of the Reporting Persons expressly disclaims beneficial ownership of all of the shares of Common Stock included in this Schedule 13D, other than the shares of Common Stock held of record by such Reporting Person, and the filing of this Schedule 13D shall not be construed as an admission that any such person is, for the purposes of sections 13(d) or 13(g) of the Exchange Act of 1934, as amended, the beneficial owner of any securities covered by this Schedule 13D.</w:t>
      </w:r>
    </w:p>
    <w:p>
      <w:pPr>
        <w:spacing w:after="0" w:line="20" w:lineRule="exact"/>
        <w:rPr>
          <w:rFonts w:ascii="Times New Roman" w:cs="Times New Roman" w:eastAsia="Times New Roman" w:hAnsi="Times New Roman"/>
          <w:sz w:val="21"/>
          <w:szCs w:val="21"/>
          <w:color w:val="auto"/>
        </w:rPr>
      </w:pPr>
    </w:p>
    <w:p>
      <w:pPr>
        <w:ind w:left="940" w:right="16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Lane Bess was involved in the Business Combination as a member of the board of directors of Blaize, which approved the Business</w:t>
      </w:r>
    </w:p>
    <w:p>
      <w:pPr>
        <w:jc w:val="both"/>
        <w:ind w:left="940" w:right="160" w:hanging="932"/>
        <w:spacing w:after="0" w:line="249"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Combination and as the manager of Bess Ventures, who owned equity interests in Blaize and voted in support of the Business Combination. Except as set forth in this Schedule 13D, none of the Reporting Persons have engaged in any transaction with respect to the Common Stock during the sixty days prior to the date of filing of this Schedule 13D.</w:t>
      </w:r>
    </w:p>
    <w:p>
      <w:pPr>
        <w:spacing w:after="0" w:line="7" w:lineRule="exact"/>
        <w:rPr>
          <w:rFonts w:ascii="Times New Roman" w:cs="Times New Roman" w:eastAsia="Times New Roman" w:hAnsi="Times New Roman"/>
          <w:sz w:val="21"/>
          <w:szCs w:val="21"/>
          <w:color w:val="auto"/>
        </w:rPr>
      </w:pPr>
    </w:p>
    <w:p>
      <w:pPr>
        <w:ind w:left="94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Item 3 of this Schedule 13D is incorporated by reference herein. To the best knowledge of the Reporting Persons, no one other than the Reporting Persons, or the partners, members, affiliates or shareholders</w:t>
      </w:r>
    </w:p>
    <w:p>
      <w:pPr>
        <w:ind w:left="940" w:right="180" w:hanging="932"/>
        <w:spacing w:after="0" w:line="235"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Reporting Persons, is known to have the right to receive, or the power to direct the receipt of, dividends from, or proceeds from the sale of, the shares of Common Stock reported herein as beneficially owned by the Reporting Persons.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Item 3 of this Schedule 13D is incorporated by reference herein. 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
        <w:spacing w:after="0" w:line="242" w:lineRule="auto"/>
        <w:rPr>
          <w:sz w:val="20"/>
          <w:szCs w:val="20"/>
          <w:color w:val="auto"/>
        </w:rPr>
      </w:pPr>
      <w:r>
        <w:rPr>
          <w:rFonts w:ascii="Times New Roman" w:cs="Times New Roman" w:eastAsia="Times New Roman" w:hAnsi="Times New Roman"/>
          <w:sz w:val="21"/>
          <w:szCs w:val="21"/>
          <w:color w:val="auto"/>
        </w:rPr>
        <w:t>The information contained in Item 3 of this Schedule 13D is incorporated by reference herein. Registration Rights Agreement Upon the Closing, Mr. Bess and Bess Ventues entered into an Amended and Restated Registration Rights Agreement ("the "Registration Rights Agreement") by and among (i) the Issuer (formerly known as BurTech Acquisition Corp.), (ii) BurTech LP LLC (the "Sponsor"), (iii) certain equityholders of Blaize, including Mr. Bess and Bess Ventures,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including Mr. Bess and Bess Ventures. Lock-Up Agreements Upon the Closing, the Issuer entered into lock-up agreements (the "Lock-up Agreements") with Mr. Bess and Bess Ventures,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Blaize Support Agreement On December 22, 2023, Mr. Bess and Bess Ventures entered into a Stockholder Support Agreement (the "Blaize Support Agreement"), by and among BurTech, Blaize, Mr. Bess and Bess Ventures and certain other equityholders of Blaize (together with Mr. Bess and Bess Ventures, the "Blaize Equityholders"). Under the Blaize Support Agreement, the Blaize Equityholders agreed to vote or cause to be voted or to execute and deliver a written consent with respect to the Blaize equity interests held by the Blaize Equityholders adopting the Business Combination Agreement and approving the Business Combination. The Blaize Support Agreement terminated in connection with the Closing. Promissory Notes Bess Ventures is a party to the promissory note agreement, dated as of January 19, 2024 (the "Bess Promissory Note"), pursuant to which the Sponsor borrowed an aggregate principal amount of $13,000,000 from Bess Ventures in exchange for 500,000 shares of BurTech Class A Common Stock (such shares due to Bess Ventures, the "Sponsor Stock"). An additional 500,000 shares of Sponsor Stock would be owed to Bess Ventures if there was an event of default under the Bess Promissory Note. Bess Ventures is a party to the promissory note agreement, dated as of January 2, 2025 (the "2025 Bess Promissory Note", and, together with the Bess Promissory Note, the "Bess Notes"), pursuant to which the Sponsor borrowed an additional aggregate principal amount of $12,000,000 from Bess Ventures in exchange for an additional 500,000 shares of Sponsor Stock. Upon the Closing, the Sponsor Stock was converted into Common Stock. The Sponsor Stock was subject to lock-up restrictions, including those set forth in that certain letter agreement, dated December 10, 2021, by and among BurTech, certain of its officers and directors, the Sponsor and certain other</w:t>
      </w:r>
    </w:p>
    <w:p>
      <w:pPr>
        <w:sectPr>
          <w:pgSz w:w="11900" w:h="16838" w:orient="portrait"/>
          <w:cols w:equalWidth="0" w:num="1">
            <w:col w:w="11160"/>
          </w:cols>
          <w:pgMar w:left="360" w:top="111" w:right="379" w:bottom="0" w:gutter="0" w:footer="0" w:header="0"/>
        </w:sectPr>
      </w:pPr>
    </w:p>
    <w:bookmarkStart w:id="6" w:name="page7"/>
    <w:bookmarkEnd w:id="6"/>
    <w:p>
      <w:pPr>
        <w:ind w:left="940"/>
        <w:spacing w:after="0" w:line="242" w:lineRule="auto"/>
        <w:rPr>
          <w:sz w:val="20"/>
          <w:szCs w:val="20"/>
          <w:color w:val="auto"/>
        </w:rPr>
      </w:pPr>
      <w:r>
        <w:rPr>
          <w:rFonts w:ascii="Times New Roman" w:cs="Times New Roman" w:eastAsia="Times New Roman" w:hAnsi="Times New Roman"/>
          <w:sz w:val="21"/>
          <w:szCs w:val="21"/>
          <w:color w:val="auto"/>
        </w:rPr>
        <w:t>BurTech stockholders party thereto (the "2021 Letter Agreement"). Under the 2021 Letter Agreement, the Sponsor Stock cannot be transferred until the date that is 6 months after the Closing, or upon the earlier of (x) the last reported sale price of Common Stock reaching $12.00 per share for any 20 trading days within any 30-trading day period commencing at least 150 days after the Closing and (y) the date on which the Issuer completes a liquidation, merger, capital stock exchange, reorganization or other similar transaction that results in all of the Issuer's stockholders having the right to exchange their shares of Common Stock for cash, securities or other property (the foregoing terms, collectively, the "Letter Agreement Lock-Up Terms"). Under the Bess Notes, the Sponsor agreed to use commercially reasonable efforts to seek release of the Sponsor Stock from the Letter Agreement Lock-Up Terms. In the event the Sponsor Stock cannot be released from the Letter Agreement Lock-Up Terms, the Sponsor agreed to transfer the Sponsor Stock to Bess Ventures following the expiration of the Letter Agreement Lock-Up Terms. The obligations due under the Bess Promissory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 addition, Bess Ventures, the Sponsor and Blaize entered into a Letter Agreement, dated as of February 15, 2024 (the "Letter Agreement"), pursuant to which Blaize acknowledged and agreed to the grant of security and the obligations set forth in the Bess Security Agreement and other related loan documents, and further agreed to comply with certain instructions and procedures as set forth therein. In addition, the obligations due under the 2025 Bess Promissory Note are secured by the Security Agreement, dated as of January 2, 2025 (the "2025 Bess Security Agreement"), pursuant to which the Sponsor has granted a security interest in all of Sponsor's right, title and interest in and to the personal property and assets, whether now owned or hereafter acquired, set forth in Exhibit A thereto, including 2,500,000 shares of Common Stock (of which 500,000 are shares of Sponsor Stock) (the "2025 Collateral Stock"). In addition, the obligations under the Bess Notes are guaranteed by Burkhan LLC, an affiliate of the Sponsor (the "Guarantor"), under the Guaranty, Pledge and Repayment Agreement dated as of January 2, 2025 by and between Burkhan LLC and Bess Ventures (the "Guaranty Agreement") pursuant to which the Guarantor has granted a security interest in all of Guarantor's right, title and interest in and to the personal property and assets, whether now owned or hereafter acquired, set forth in Exhibit A thereto, including 2,000,000 shares of Common Stock. The Sponsor defaulted on the repayment terms in connection with the Bess Promissory Note, the Bess Security Agreement and the Letter Agreement as a result of its failure to make a timely repayment of the outstanding balance that was due on March 31, 2024. On September 16, 2024, Bess Ventures and the Sponsor entered into a Forbearance Agreement (the "Forbearance Agreement"), in connection with which Bess Ventures agreed to forbear from the exercise of its remedies under the Bess Promissory Note, the Bess Security Agreement and the related loan documents until the earlier of (i) January 6, 2025 or (ii) the date that is 45 days following the Closing Date. On January 2, 2025, Bess Ventures and the Sponsor entered into a Second Forbearance Agreement and Omnibus Amendment (the "Second Forbearance Agreement"), pursuant to which Bess Ventures agreed to forbear from the exercise of its remedies under the Bess Promissory Note, the Bess Security Agreement and the related loan documents until February 5, 2025, or earlier upon a forbearance termination event, and the Sponsor granted a security interest in all of Sponsor's right, title and interest in and to the personal property and assets, whether now owned or hereafter acquired, set forth in Exhibit A thereto, including 3,000,000 shares of Common Stock as to the collateral underlying the Bess Security Agreement (of which 1,000,000 are shares of Sponsor Stock). Such stock, together with the 2025 Collateral Stock, totaling 3,500,000 shares (including 1,500,000 shares of Sponsor Stock), is referred to herein as the "Debtor Collateral Stock". As of May 8, 2026, the Sponsor had defaulted on the Bess Notes. On May 8, 2026, Bess Ventures foreclosed on the 3,500,000 shares of Debtor Collateral Stock (inclusive of any Sponsor Stock) pursuant to its remedies under the Uniform Commercial Code on the terms described in a notice of private disposition of collateral (the "Foreclosure Notice") with respect to the Bess Notes. As of the date hereof, the beneficial ownership figures set forth in this Schedule 13D (as amended) reflect 3,500,000 shares of Debtor Collateral Stock (inclusive of any Sponsor Stock), but do not reflect any remaining shares of Common Stock pledged for the benefit of Bess Ventures pursuant to the Second Forbearance Agreement or the Guaranty Agreement. Earnout Pursuant to the Business Combination Agreement, Eligible Company Holders (as defined in the Business Combination Agreement), including Mr. Bess and Bess Ventures,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The information disclosed in this Item 6, including the foregoing descriptions of the Business Combination Agreement, the Bess Promissory Note, the Bess Security Agreement, the Letter Agreement, the Forbearance Agreement, the 2025 Bess Promissory Note, the 2025 Bess Security Agreement, the Guaranty Agreement, the Second Forbearance Agreement, the Blaize Support Agreement, the Lock-Up Agreements, the Registration Rights Agreement, the Foreclosure Notice and the transactions contemplated thereby, do not purport to be complete and are subject to, and qualified in its entirety by, the full text of such agreements, copies of which are attached hereto as Exhibits 2, 3, 4, 5, 6, 7, 8, 9, 10, 11, 12, 13 and 14 and incorporated herein by reference in their entirety.</w:t>
      </w:r>
    </w:p>
    <w:p>
      <w:pPr>
        <w:spacing w:after="0" w:line="26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48" w:lineRule="auto"/>
        <w:rPr>
          <w:sz w:val="20"/>
          <w:szCs w:val="20"/>
          <w:color w:val="auto"/>
        </w:rPr>
      </w:pPr>
      <w:r>
        <w:rPr>
          <w:rFonts w:ascii="Times New Roman" w:cs="Times New Roman" w:eastAsia="Times New Roman" w:hAnsi="Times New Roman"/>
          <w:sz w:val="21"/>
          <w:szCs w:val="21"/>
          <w:color w:val="auto"/>
        </w:rPr>
        <w:t>Exhibit 1 Joint Filing Agreement by and among the Reporting Persons (incorporated by reference to Exhibit 1 from the Reporting Persons' 13D filed on January 20, 2025).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Promissory note agreement, dated as of January 19, 2024, by and between the Sponsor and Bess Ventures (incorporated by reference to Exhibit 3 from the Reporting Persons' 13D filed on January 20, 2025). Exhibit 4 Security Agreement entered into as of January 19,</w:t>
      </w:r>
    </w:p>
    <w:p>
      <w:pPr>
        <w:sectPr>
          <w:pgSz w:w="11900" w:h="16838" w:orient="portrait"/>
          <w:cols w:equalWidth="0" w:num="1">
            <w:col w:w="11160"/>
          </w:cols>
          <w:pgMar w:left="360" w:top="111" w:right="379" w:bottom="0" w:gutter="0" w:footer="0" w:header="0"/>
        </w:sectPr>
      </w:pPr>
    </w:p>
    <w:bookmarkStart w:id="7" w:name="page8"/>
    <w:bookmarkEnd w:id="7"/>
    <w:p>
      <w:pPr>
        <w:ind w:left="720" w:right="40"/>
        <w:spacing w:after="0" w:line="232" w:lineRule="auto"/>
        <w:rPr>
          <w:sz w:val="20"/>
          <w:szCs w:val="20"/>
          <w:color w:val="auto"/>
        </w:rPr>
      </w:pPr>
      <w:r>
        <w:rPr>
          <w:rFonts w:ascii="Times New Roman" w:cs="Times New Roman" w:eastAsia="Times New Roman" w:hAnsi="Times New Roman"/>
          <w:sz w:val="22"/>
          <w:szCs w:val="22"/>
          <w:color w:val="auto"/>
        </w:rPr>
        <w:t>2024, by and among the Sponsor and Bess Ventures (incorporated by reference to Exhibit 4 from the Reporting Persons' 13D filed on January 20, 2025). Exhibit 5 Letter Agreement of Blaize dated February 15, 2024, acknowledged, consented and agreed to by the Sponsor and Bess Ventures (incorporated by reference to Exhibit 5 from the Reporting Persons' 13D filed on January 20, 2025). Exhibit 6 Forbearance Agreement entered into as of September 16, 2024, by and between the Sponsor and Bess Ventures (incorporated by reference to Exhibit 6 from the Reporting Persons' 13D filed on January 20, 2025). Exhibit 7 Promissory note agreement, dated as of January 2, 2025, by and between the Sponsor and Bess Ventures (incorporated by reference to Exhibit 7 from the Reporting Persons' 13D filed on January 20, 2025). Exhibit 8 Security Agreement entered into as of January 2, 2025, by and among the Sponsor and Bess Ventures (incorporated by reference to Exhibit 8 from the Reporting Persons' 13D filed on January 20, 2025). Exhibit 9 Guaranty, Pledge and Repayment Agreement dated January 2, 2025, by and between Burkhan LLC and Bess Ventures (incorporated by reference to Exhibit 9 from the Reporting Persons' 13D filed on January 20, 2025). Exhibit 10 Second Forbearance Agreement and Omnibus Amendment dated January 2, 2025, by and between the Sponsor and Bess Ventures (incorporated by reference to Exhibit 10 from the Reporting Persons' 13D filed on January 20, 2025). Exhibit 11 Stockholder Support Agreement by and among BurTech, Blaize, Mr. Bess and Bess Ventures and certain other equityholders of Blaize (incorporated by reference to Annex F to the Issuer's Registration Statement on Form S-4, as amended (File No. 333-280889)) Exhibit 12 Form of Lock-Up Agreement by and among the Issuer and the securityholders named therein (incorporated by reference to Annex I to the Issuer's Registration Statement on Form S-4, as amended (File No. 333-280889)). Exhibit 13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 Exhibit 14 Notice of Private Disposition of Collateral dated May 8,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Lane Bess</w:t>
      </w:r>
    </w:p>
    <w:p>
      <w:pPr>
        <w:spacing w:after="0" w:line="152"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pacing w:after="0" w:line="4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Name/Title: Lane Bess</w:t>
      </w:r>
    </w:p>
    <w:p>
      <w:pPr>
        <w:spacing w:after="0" w:line="44" w:lineRule="exact"/>
        <w:rPr>
          <w:sz w:val="20"/>
          <w:szCs w:val="20"/>
          <w:color w:val="auto"/>
        </w:rPr>
      </w:pPr>
    </w:p>
    <w:p>
      <w:pPr>
        <w:ind w:left="222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Bess Ventures &amp; Advisory,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Lane Bess</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Lane Bess/Owner-Manager</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Destin Huang Irrevocable Trust Dated October 19, 2021</w:t>
      </w:r>
    </w:p>
    <w:p>
      <w:pPr>
        <w:spacing w:after="0" w:line="152"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Donald A. Kress</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Chairman of the Board</w:t>
      </w:r>
    </w:p>
    <w:p>
      <w:pPr>
        <w:spacing w:after="0" w:line="44" w:lineRule="exact"/>
        <w:rPr>
          <w:sz w:val="20"/>
          <w:szCs w:val="20"/>
          <w:color w:val="auto"/>
        </w:rPr>
      </w:pPr>
    </w:p>
    <w:p>
      <w:pPr>
        <w:ind w:left="306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ectPr>
          <w:pgSz w:w="11900" w:h="16838" w:orient="portrait"/>
          <w:cols w:equalWidth="0" w:num="1">
            <w:col w:w="10920"/>
          </w:cols>
          <w:pgMar w:left="580" w:top="111" w:right="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PRIVATE DISPOSITION OF COLLATERAL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Burtech LP,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b w:val="1"/>
          <w:bCs w:val="1"/>
          <w:color w:val="auto"/>
        </w:rPr>
        <w:t>Bess Ventures and Advisory,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Secured 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PLEASE TAKE NOTICE</w:t>
      </w:r>
      <w:r>
        <w:rPr>
          <w:rFonts w:ascii="Times New Roman" w:cs="Times New Roman" w:eastAsia="Times New Roman" w:hAnsi="Times New Roman"/>
          <w:sz w:val="18"/>
          <w:szCs w:val="18"/>
          <w:color w:val="auto"/>
        </w:rPr>
        <w:t>: Secured Party with respect to the Collateral (as defined below), hereby gives notice that it purchased the Collateral at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on May 8, 2026, at 9:00 a.m. (EST) (the “</w:t>
      </w:r>
      <w:r>
        <w:rPr>
          <w:rFonts w:ascii="Times New Roman" w:cs="Times New Roman" w:eastAsia="Times New Roman" w:hAnsi="Times New Roman"/>
          <w:sz w:val="18"/>
          <w:szCs w:val="18"/>
          <w:u w:val="single" w:color="auto"/>
          <w:color w:val="auto"/>
        </w:rPr>
        <w:t>Disposition Date</w:t>
      </w:r>
      <w:r>
        <w:rPr>
          <w:rFonts w:ascii="Times New Roman" w:cs="Times New Roman" w:eastAsia="Times New Roman" w:hAnsi="Times New Roman"/>
          <w:sz w:val="18"/>
          <w:szCs w:val="18"/>
          <w:color w:val="auto"/>
        </w:rPr>
        <w:t>”). This notice is being provided in accordance with Sections 9-610(c), 9-611(b) and 9-611(d) of the Uniform Commercial Code, which authorized Secured Party to purchase at a private sale collateral “of a kind that is customarily sold on a recognized market or the subject of widely distributed standard price quotations.”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The collateral disposed of via a private sale consists of 3,500,000 shares of common stock in Blaize, Inc.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TERMS OF DISPOSITION</w:t>
      </w:r>
      <w:r>
        <w:rPr>
          <w:rFonts w:ascii="Times New Roman" w:cs="Times New Roman" w:eastAsia="Times New Roman" w:hAnsi="Times New Roman"/>
          <w:sz w:val="18"/>
          <w:szCs w:val="18"/>
          <w:color w:val="auto"/>
        </w:rPr>
        <w:t>: The price of the Collateral is readily ascertainable because Blaize, Inc. common stock is publicly traded on a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NASDAQ, and is the subject of widely distributed standard price quotations. The price of Blaize, Inc. common stock at 9:00 a.m. (EST) on May 8, 2026, was $1.8300 per share. The total value of the Collateral based on the publicly traded price as of 9:00 a.m. (EST) on May 8, 2026, was $6,405,000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Secured Party credited the Purchase Price against the principal amount owed by Borrower to Lender.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MORE INFORMATION</w:t>
      </w:r>
      <w:r>
        <w:rPr>
          <w:rFonts w:ascii="Times New Roman" w:cs="Times New Roman" w:eastAsia="Times New Roman" w:hAnsi="Times New Roman"/>
          <w:sz w:val="18"/>
          <w:szCs w:val="18"/>
          <w:color w:val="auto"/>
        </w:rPr>
        <w:t>: For more information, please contact counsel to the Secured Party Olivia C. Lugar, Esq. via phone: ****** or email at ******.</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2026-05-12T15:06:25Z</dcterms:created>
  <dcterms:modified xsi:type="dcterms:W3CDTF">2026-05-12T15:06:25Z</dcterms:modified>
</cp:coreProperties>
</file>