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Blaize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Riaz Karamali</w:t>
              <w:br/>
              <w:t>Pillsbury Winthrop Shaw Pittman LLP, 2550 Hanover Street</w:t>
              <w:br/>
              <w:t>Palo Alto, CA, 94304</w:t>
              <w:br/>
              <w:t>(650) 233-4052</w:t>
            </w:r>
          </w:p>
          <w:p>
            <w:pPr>
              <w:pStyle w:val="TableContents"/>
              <w:bidi w:val="0"/>
              <w:jc w:val="left"/>
              <w:rPr/>
            </w:pPr>
            <w:r>
              <w:rPr/>
            </w:r>
          </w:p>
          <w:p>
            <w:pPr>
              <w:pStyle w:val="TableContents"/>
              <w:bidi w:val="0"/>
              <w:spacing w:before="0" w:after="0"/>
              <w:jc w:val="center"/>
              <w:rPr>
                <w:b/>
                <w:color w:val="0000FF"/>
              </w:rPr>
            </w:pPr>
            <w:r>
              <w:rPr>
                <w:b/>
                <w:color w:val="0000FF"/>
              </w:rPr>
              <w:t>Lane M. Bess</w:t>
              <w:br/>
              <w:t xml:space="preserve">1928 Sunset Harbor Drive, </w:t>
              <w:br/>
              <w:t>Miami Beach, FL, 33139</w:t>
              <w:br/>
              <w:t>(650) 233-4052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Lane Bess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185,234.00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12,836,751.00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185,234.00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12,836,751.00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13,021,985.00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Bess Ventures &amp; Advisory,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12,446,783.00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12,446,783.00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12,446,783.00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Destin Huang Irrevocable Trust Dated October 19, 2021</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389,968.00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389,968.00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389,968.00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Trust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CALIFORNIA , 95762.</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Lane Bess Bess Ventures and Advisory, LLC Destin Huang Irrevocable Trust Dated October 19, 2021</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principal office and business address of Mr. Bess and Bess Ventures is 1928 Sunset Harbor Drive, Miami Beach, FL 33139 The address of the Trust is 255 Alhambra Circle, Ste 333, Coral Gables, FL 33134</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Mr. Bess is the managing member and owner of Bess Ventures. Mr. Bess is the Investment Fiduciary of the Trust. Each of Mr. Bess and Bess Ventures is primarily engaged in the business of investing in securities. The Trust is primarily engaged in the business of trust administration.</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none of the Reporting Persons have been convicted in any criminal proceedings (excluding traffic violations or similar misdemeanors) or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none of the Reporting Persons have been convicted in any criminal proceedings (excluding traffic violations or similar misdemeanors) or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United States</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All of the shares of the Issuer's Common Stock (the "Common Stock") reported herein as beneficially owned by the Reporting Persons (other than the Sponsor Stock and any Debtor Collateral Stock, each as defined below), were acquired pursuant to an Agreement and Plan of Merger, dated as of December 22, 2023 (as amended on April 22, 2024, October 24, 2024 and November 21, 2024, the "Business Combination Agreement"), by and among BurTech Acquisition Corp., a Delaware corporation ("BurTech"), BurTech Merger Sub Inc., a Delaware corporation and a direct, wholly owned subsidiary of BurTech, Blaize, Inc., a Delaware corporation ("Blaize"), and for the limited purposes set forth therein, Burkhan Capital LLC, a Delaware limited liability company and affiliate of BurTech. The transactions contemplated by the Business Combination Agreement (the "Business Combination") closed on January 13, 2025 (the "Closing"). Pursuant to the terms of the Business Combination Agreement, immediately prior to the Closing, (i) each share of Blaize Series D-2 Shadow Preferred Stock of Blaize (the "Series D-2 Shadow Preferred Stock") converted to Blaize common stock and (ii) holders of Blaize common stock received approximately 0.78 shares of Common Stock for each share of Blaize common stock held by them at such time, subject to certain limitations. Immediately prior to the Closing on January 13, 2025, (i) Bess Ventures held 4,167,698 shares of Series D-2 Shadow Preferred Stock and 5,500,000 shares of common stock of Blaize and (ii) the Trust held 500,000 shares of common stock of Blaize (collectively, the "Existing Blaize Stock"). Upon the Closing, the Existing Blaize Stock was collectively converted into the right to receive 9,336,751 shares of Common Stock. Immediately prior to the Closing, stock options held by Mr. Bess and exercisable for 237,500 shares of common stock of Blaize at a price of $0.92 per share were converted into options exercisable within the next 60 days for 185,234 shares of Common Stock at a price of $1.18 per share. 1,500,000 shares of Sponsor Stock were acquired as consideration in connection with Bess Notes (as defined below), pursuant to which Bess Ventures loaned $25,000,000 to the Sponsor (as defined below) to facilitate the Closing. The Sponsor Stock is beneficially owned by Bess Ventures as of the date that the Letter Agreement Lock-Up Terms (as defined below), which restricted formal transfer of the Sponsor Stock from the Sponsor to Bess Ventures, were within 60 days of their automatic expiry. The Sponsor defaulted on the Bess Notes. On May 8, 2026, 3,500,000 shares (inclusive of Sponsor Stock) of Debtor Collateral Stock underlying the Bess Notes were foreclosed upon as described in the Foreclosure Notice (as defined below). Pursuant to the terms of the Foreclosure Notice, an additional 2,000,000 shares of Debtor Collateral Stock were beneficially owned by Bess Ventures as of the date set forth in the Foreclosure Notice. On July 7, 2026, the Company issued 2,000,000 shares of Common Stock to Bess Ventures pursuant to the Settlement Agreement (as defined below). As a result, an additional 2,000,000 shares of Common Stock are beneficially owned by Bess Ventures as of the date of the Settlement Agreement. The Sponsor contested the Foreclosure Notice. As a result, on September 16, 2026, Bess Ventures entered into the Third Forbearance Agreement (as defined below), pursuant to which Bess Ventures agreed to defer the exercise of its remedies, including transferring title, with respect to 2,000,000 shares of Debtor Collateral Stock identified in the Foreclosure Notice. Pursuant to the terms of the Third Forbearance Agreement, title to such 2,000,000 shares of Debtor Collateral Stock, which would have been beneficially owned by Bess Ventures as of the date the Foreclosure Notice was delivered pursuant to the terms thereof, will remain with the Sponsor until the earlier of December 31, 2026, or a earlier forbearance termination event. As of the date hereof, such Debtor Collateral Stock are not beneficially owned by Bess Ventures. Except as described above, there have been no transactions effected by the Reporting Persons in the past sixty days with respect to the securities of the Issuer.</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 (a) 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Mr. Bess serves as Chairman of the Board and, in such capacity,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10.4% of the outstanding shares of the Common Stock. Calculations of the percentage of the shares of Common Stock beneficially owned is based on 144,832,039 shares of Common Stock outstanding as of August 13, 2026 according to the Issuer's Quarterly Report on Form 10-Q filed on August 13, 2026.</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10.4% of the outstanding shares of the Common Stock. Calculations of the percentage of the shares of Common Stock beneficially owned is based on 144,832,039 shares of Common Stock outstanding as of August 13, 2026 according to the Issuer's Quarterly Report on Form 10-Q filed on August 13, 2026. Mr. Bess may be deemed to have beneficial ownership of 13,021,985 shares of Common Stock, which consists of (1) 12,446,783 shares of Common Stock held of record by Bess Ventures, (2) 389,968 shares of Common Stock held of record by the Trust, and (3) 185,234 shares of Common Stock underlying stock options that are currently exercisable. Bess Ventures may be deemed to have beneficial ownership of 12,446,783 shares of Common Stock. The Trust may be deemed to have beneficial ownership of 389,968 shares of Common Stock. Each of the Reporting Persons expressly disclaims beneficial ownership of all of the shares of Common Stock included in this Schedule 13D, other than the shares of Common Stock held of record by such Reporting Person, and the filing of this Schedule 13D shall not be construed as an admission that any such person is, for the purposes of sections 13(d) or 13(g) of the Exchange Act of 1934, as amended, the beneficial owner of any securities covered by this Schedule 13D.</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information contained in Item 3 of this Schedule 13D is incorporated by reference herein. Lane Bess was involved in the Business Combination as a member of the board of directors of Blaize, which approved the Business Combination and as the manager of Bess Ventures, who owned equity interests in Blaize and voted in support of the Business Combination. Except as set forth in this Schedule 13D, none of the Reporting Persons have engaged in any transaction with respect to the Common Stock during the sixty days prior to the date of filing of this Schedule 13D.</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The information contained in Item 3 of this Schedule 13D is incorporated by reference herein. To the best knowledge of the Reporting Persons, no one other than the Reporting Persons, or the partners, members, affiliates or shareholders of the Reporting Persons, is known to have the right to receive, or the power to direct the receipt of, dividends from, or proceeds from the sale of, the shares of Common Stock reported herein as beneficially owned by the Reporting Persons.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The information contained in Item 3 of this Schedule 13D is incorporated by reference herein. Not applicable.</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information contained in Item 3 of this Schedule 13D is incorporated by reference herein. Registration Rights Agreement Upon the Closing, Mr. Bess and Bess Ventures entered into an Amended and Restated Registration Rights Agreement ("the "Registration Rights Agreement") by and among (i) the Issuer (formerly known as BurTech Acquisition Corp.), (ii) BurTech LP LLC (the "Sponsor"), (iii) certain equityholders of Blaize, including Mr. Bess and Bess Ventures,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including Mr. Bess and Bess Ventures. Lock-Up Agreements Upon the Closing, the Issuer entered into lock-up agreements (the "Lock-up Agreements") with Mr. Bess and Bess Ventures,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Blaize Support Agreement On December 22, 2023, Mr. Bess and Bess Ventures entered into a Stockholder Support Agreement (the "Blaize Support Agreement"), by and among BurTech, Blaize, Mr. Bess and Bess Ventures and certain other equityholders of Blaize (together with Mr. Bess and Bess Ventures, the "Blaize Equityholders"). Under the Blaize Support Agreement, the Blaize Equityholders agreed to vote or cause to be voted or to execute and deliver a written consent with respect to the Blaize equity interests held by the Blaize Equityholders adopting the Business Combination Agreement and approving the Business Combination. The Blaize Support Agreement terminated in connection with the Closing. Promissory Notes Bess Ventures is a party to the promissory note agreement, dated as of January 19, 2024 (the "Bess Promissory Note"), pursuant to which the Sponsor borrowed an aggregate principal amount of $13,000,000 from Bess Ventures in exchange for 500,000 shares of BurTech Class A Common Stock (such shares due to Bess Ventures, the "Sponsor Stock"). An additional 500,000 shares of Sponsor Stock would be owed to Bess Ventures if there was an event of default under the Bess Promissory Note. Bess Ventures is a party to the promissory note agreement, dated as of January 2, 2025 (the "2025 Bess Promissory Note", and, together with the Bess Promissory Note, the "Bess Notes"), pursuant to which the Sponsor borrowed an additional aggregate principal amount of $12,000,000 from Bess Ventures in exchange for an additional 500,000 shares of Sponsor Stock. Upon the Closing, the Sponsor Stock was converted into Common Stock. The Sponsor Stock was subject to lock-up restrictions, including those set forth in that certain letter agreement, dated December 10, 2021, by and among BurTech, certain of its officers and directors, the Sponsor and certain other BurTech stockholders party thereto (the "2021 Letter Agreement"). Under the 2021 Letter Agreement, the Sponsor Stock cannot be transferred until the date that is 6 months after the Closing, or upon the earlier of (x) the last reported sale price of Common Stock reaching $12.00 per share for any 20 trading days within any 30-trading day period commencing at least 150 days after the Closing and (y) the date on which the Issuer completes a liquidation, merger, capital stock exchange, reorganization or other similar transaction that results in all of the Issuer's stockholders having the right to exchange their shares of Common Stock for cash, securities or other property (the foregoing terms, collectively, the "Letter Agreement Lock-Up Terms"). Under the Bess Notes, the Sponsor agreed to use commercially reasonable efforts to seek release of the Sponsor Stock from the Letter Agreement Lock-Up Terms. In the event the Sponsor Stock cannot be released from the Letter Agreement Lock-Up Terms, the Sponsor agreed to transfer the Sponsor Stock to Bess Ventures following the expiration of the Letter Agreement Lock-Up Terms. The obligations due under the Bess Promissory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 addition, Bess Ventures, the Sponsor and Blaize entered into a Letter Agreement, dated as of February 15, 2024 (the "Letter Agreement"), pursuant to which Blaize acknowledged and agreed to the grant of security and the obligations set forth in the Bess Security Agreement and other related loan documents, and further agreed to comply with certain instructions and procedures as set forth therein. In addition, the obligations due under the 2025 Bess Promissory Note are secured by the Security Agreement, dated as of January 2, 2025 (the "2025 Bess Security Agreement"), pursuant to which the Sponsor has granted a security interest in all of Sponsor's right, title and interest in and to the personal property and assets, whether now owned or hereafter acquired, set forth in Exhibit A thereto, including 2,500,000 shares of Common Stock (of which 500,000 are shares of Sponsor Stock) (the "2025 Collateral Stock"). In addition, the obligations under the Bess Notes are guaranteed by Burkhan LLC, an affiliate of the Sponsor (the "Guarantor"), under the Guaranty, Pledge and Repayment Agreement dated as of January 2, 2025 by and between Burkhan LLC and Bess Ventures (the "Guaranty Agreement") pursuant to which the Guarantor has granted a security interest in all of Guarantor's right, title and interest in and to the personal property and assets, whether now owned or hereafter acquired, set forth in Exhibit A thereto, including 2,000,000 shares of Common Stock. The Sponsor defaulted on the repayment terms in connection with the Bess Promissory Note, the Bess Security Agreement and the Letter Agreement as a result of its failure to make a timely repayment of the outstanding balance that was due on March 31, 2024. On September 16, 2024, Bess Ventures and the Sponsor entered into a Forbearance Agreement (the "Forbearance Agreement"), in connection with which Bess Ventures agreed to forbear from the exercise of its remedies under the Bess Promissory Note, the Bess Security Agreement and the related loan documents until the earlier of (i) January 6, 2025 or (ii) the date that is 45 days following the Closing Date. On January 2, 2025, Bess Ventures and the Sponsor entered into a Second Forbearance Agreement and Omnibus Amendment (the "Second Forbearance Agreement"), pursuant to which Bess Ventures agreed to forbear from the exercise of its remedies under the Bess Promissory Note, the Bess Security Agreement and the related loan documents until February 5, 2025, or earlier upon a forbearance termination event, and the Sponsor granted a security interest in all of Sponsor's right, title and interest in and to the personal property and assets, whether now owned or hereafter acquired, set forth in Exhibit A thereto, including 3,000,000 shares of Common Stock as to the collateral underlying the Bess Security Agreement (of which 1,000,000 are shares of Sponsor Stock). Such stock, together with the 2025 Collateral Stock, totaling 3,500,000 shares (including 1,500,000 shares of Sponsor Stock), is referred to herein as the "Debtor Collateral Stock". As of May 8, 2026, the Sponsor had defaulted on the Bess Notes. On May 8, 2026, Bess Ventures foreclosed on the 3,500,000 shares of Debtor Collateral Stock (inclusive of any Sponsor Stock) pursuant to its remedies under the Uniform Commercial Code on the terms described in a notice of private disposition of collateral (the "Foreclosure Notice") with respect to the Bess Notes. The Sponsor contested the Foreclosure Notice. As a result, on September 16, 2026, Bess Ventures and the Sponsor entered into a Third Forbearance and Omnibus Amendment (the "Third Forbearance Agreement"), pursuant to which the Sponsor agreed to effect the transfer to Bess Ventures of 1,500,000 Sponsor Stock included in the Debtor Collateral Stock identified in the Foreclosure Notice, and Bess Ventures agreed to forbear from the exercise of its remedies under the Bess Notes and the related loan documents, including to effect the transfer of title thereof from the Sponsor to Bess Ventures, with respect to the remaining 2,000,000 shares of Debtor Collateral Stock identified in the Foreclosure Notice until December 31, 2026, or earlier upon a forbearance termination event. As of the date hereof, the beneficial ownership figures set forth in this Schedule 13D (as amended) reflect 1,500,000 shares of Debtor Collateral Stock (inclusive of any Sponsor Stock), but do not reflect any remaining shares of Common Stock pledged for the benefit of Bess Ventures pursuant to the Second Forbearance Agreement or the Guaranty Agreement. On July 7, 2026, Bess Ventures entered into a settlement agreement (the "Settlement Agreement") with the Company in regards to a dispute concerning the custody of the Debtor Collateral Stock. Pursuant to the Settlement Agreement, the Company issued 2,000,000 shares of Common Stock to Bess Ventures. Earnout Pursuant to the Business Combination Agreement, Eligible Company Holders (as defined in the Business Combination Agreement), including Mr. Bess and Bess Ventures,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Company employees and non-employee directors who are entitled to receive earnout shares are required to provide service through the date the target is achieved and if an individual departs, the forfeited earnout shares are re-allocated among the pool of remaining eligible employees. Accordingly, the ultimate number of earnout shares is subject to adjustment from time to time in the event of forfeitures by employees of the Company, which add to the reporting person's earnout shares. The information disclosed in this Item 6, including the foregoing descriptions of the Business Combination Agreement, the Bess Promissory Note, the Bess Security Agreement, the Letter Agreement, the Forbearance Agreement, the 2025 Bess Promissory Note, the 2025 Bess Security Agreement, the Guaranty Agreement, the Second Forbearance Agreement, the Blaize Support Agreement, the Lock-Up Agreements, the Registration Rights Agreement, the Foreclosure Notice, the Settlement Agreement, the Third Forbearance Agreement, and the transactions contemplated thereby, do not purport to be complete and are subject to, and qualified in its entirety by, the full text of such agreements, copies of which are attached hereto as Exhibits 2, 3, 4, 5, 6, 7, 8, 9, 10, 11, 12, 13, 14, 15 and 16 and incorporated herein by reference in their entirety.</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1 Joint Filing Agreement by and among the Reporting Persons (incorporated by reference to Exhibit 1 from the Reporting Persons' 13D filed on January 20, 2025).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Promissory note agreement, dated as of January 19, 2024, by and between the Sponsor and Bess Ventures (incorporated by reference to Exhibit 3 from the Reporting Persons' 13D filed on January 20, 2025). Exhibit 4 Security Agreement entered into as of January 19, 2024, by and among the Sponsor and Bess Ventures (incorporated by reference to Exhibit 4 from the Reporting Persons' 13D filed on January 20, 2025). Exhibit 5 Letter Agreement of Blaize dated February 15, 2024, acknowledged, consented and agreed to by the Sponsor and Bess Ventures (incorporated by reference to Exhibit 5 from the Reporting Persons' 13D filed on January 20, 2025). Exhibit 6 Forbearance Agreement entered into as of September 16, 2024, by and between the Sponsor and Bess Ventures (incorporated by reference to Exhibit 6 from the Reporting Persons' 13D filed on January 20, 2025). Exhibit 7 Promissory note agreement, dated as of January 2, 2025, by and between the Sponsor and Bess Ventures (incorporated by reference to Exhibit 7 from the Reporting Persons' 13D filed on January 20, 2025). Exhibit 8 Security Agreement entered into as of January 2, 2025, by and among the Sponsor and Bess Ventures (incorporated by reference to Exhibit 8 from the Reporting Persons' 13D filed on January 20, 2025). Exhibit 9 Guaranty, Pledge and Repayment Agreement dated January 2, 2025, by and between Burkhan LLC and Bess Ventures (incorporated by reference to Exhibit 9 from the Reporting Persons' 13D filed on January 20, 2025). Exhibit 10 Second Forbearance Agreement and Omnibus Amendment dated January 2, 2025, by and between the Sponsor and Bess Ventures (incorporated by reference to Exhibit 10 from the Reporting Persons' 13D filed on January 20, 2025). Exhibit 11 Stockholder Support Agreement by and among BurTech, Blaize, Mr. Bess and Bess Ventures and certain other equityholders of Blaize (incorporated by reference to Annex F to the Issuer's Registration Statement on Form S-4, as amended (File No. 333-280889)) Exhibit 12 Form of Lock-Up Agreement by and among the Issuer and the securityholders named therein (incorporated by reference to Annex I to the Issuer's Registration Statement on Form S-4, as amended (File No. 333-280889)). Exhibit 13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 Exhibit 14 Notice of Private Disposition of Collateral dated May 8, 2026 (incorporated by reference to Exhibit 14 from the Reporting Persons' 13D/A filed on May 12, 2026). Exhibit 15 Settlement Agreement by and among Bess Ventures and the Company dated July 7, 2026 (incorporated by reference to Exhibit 14 from the Reporting Persons' 13D/A filed on May 12, 2026). Exhibit 16 Third Second Forbearance Agreement and Omnibus Amendment dated September 16, 2026, by and between the Sponsor and Bess Ventures.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518" w:type="dxa"/>
        <w:jc w:val="left"/>
        <w:tblInd w:w="0" w:type="dxa"/>
        <w:tblLayout w:type="fixed"/>
        <w:tblCellMar>
          <w:top w:w="28" w:type="dxa"/>
          <w:left w:w="28" w:type="dxa"/>
          <w:bottom w:w="28" w:type="dxa"/>
          <w:right w:w="28" w:type="dxa"/>
        </w:tblCellMar>
      </w:tblPr>
      <w:tblGrid>
        <w:gridCol w:w="1259"/>
        <w:gridCol w:w="1259"/>
      </w:tblGrid>
      <w:tr>
        <w:trPr/>
        <w:tc>
          <w:tcPr>
            <w:tcW w:w="1259" w:type="dxa"/>
            <w:tcBorders/>
            <w:vAlign w:val="center"/>
          </w:tcPr>
          <w:p>
            <w:pPr>
              <w:pStyle w:val="TableContents"/>
              <w:bidi w:val="0"/>
              <w:spacing w:before="0" w:after="0"/>
              <w:jc w:val="left"/>
              <w:rPr/>
            </w:pPr>
            <w:r>
              <w:rPr/>
              <w:t> </w:t>
            </w:r>
          </w:p>
          <w:tbl>
            <w:tblPr>
              <w:tblW w:w="1156" w:type="dxa"/>
              <w:jc w:val="left"/>
              <w:tblInd w:w="0" w:type="dxa"/>
              <w:tblLayout w:type="fixed"/>
              <w:tblCellMar>
                <w:top w:w="28" w:type="dxa"/>
                <w:left w:w="28" w:type="dxa"/>
                <w:bottom w:w="28" w:type="dxa"/>
                <w:right w:w="28" w:type="dxa"/>
              </w:tblCellMar>
            </w:tblPr>
            <w:tblGrid>
              <w:gridCol w:w="1156"/>
            </w:tblGrid>
            <w:tr>
              <w:trPr/>
              <w:tc>
                <w:tcPr>
                  <w:tcW w:w="1156" w:type="dxa"/>
                  <w:tcBorders/>
                  <w:vAlign w:val="center"/>
                </w:tcPr>
                <w:p>
                  <w:pPr>
                    <w:pStyle w:val="TableContents"/>
                    <w:bidi w:val="0"/>
                    <w:spacing w:before="0" w:after="0"/>
                    <w:jc w:val="left"/>
                    <w:rPr/>
                  </w:pPr>
                  <w:r>
                    <w:rPr/>
                    <w:t>Lane Bess</w:t>
                  </w:r>
                </w:p>
              </w:tc>
            </w:tr>
          </w:tbl>
          <w:p>
            <w:pPr>
              <w:pStyle w:val="TableContents"/>
              <w:bidi w:val="0"/>
              <w:spacing w:before="0" w:after="283"/>
              <w:jc w:val="left"/>
              <w:rPr/>
            </w:pPr>
            <w:r>
              <w:rPr/>
            </w:r>
          </w:p>
        </w:tc>
        <w:tc>
          <w:tcPr>
            <w:tcW w:w="12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79"/>
        <w:gridCol w:w="4526"/>
      </w:tblGrid>
      <w:tr>
        <w:trPr/>
        <w:tc>
          <w:tcPr>
            <w:tcW w:w="56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Lane Bess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Lane Bess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526"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Bess Ventures &amp; Advisory,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2"/>
        <w:gridCol w:w="4083"/>
      </w:tblGrid>
      <w:tr>
        <w:trPr/>
        <w:tc>
          <w:tcPr>
            <w:tcW w:w="61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Lane Bess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Lane Bess/Owner-Manager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0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9"/>
        <w:gridCol w:w="5036"/>
      </w:tblGrid>
      <w:tr>
        <w:trPr/>
        <w:tc>
          <w:tcPr>
            <w:tcW w:w="5169" w:type="dxa"/>
            <w:tcBorders/>
            <w:vAlign w:val="center"/>
          </w:tcPr>
          <w:p>
            <w:pPr>
              <w:pStyle w:val="TableContents"/>
              <w:bidi w:val="0"/>
              <w:spacing w:before="0" w:after="0"/>
              <w:jc w:val="left"/>
              <w:rPr/>
            </w:pPr>
            <w:r>
              <w:rPr/>
              <w:t> </w:t>
            </w:r>
          </w:p>
          <w:tbl>
            <w:tblPr>
              <w:tblW w:w="5521" w:type="dxa"/>
              <w:jc w:val="left"/>
              <w:tblInd w:w="0" w:type="dxa"/>
              <w:tblLayout w:type="fixed"/>
              <w:tblCellMar>
                <w:top w:w="28" w:type="dxa"/>
                <w:left w:w="28" w:type="dxa"/>
                <w:bottom w:w="28" w:type="dxa"/>
                <w:right w:w="28" w:type="dxa"/>
              </w:tblCellMar>
            </w:tblPr>
            <w:tblGrid>
              <w:gridCol w:w="5521"/>
            </w:tblGrid>
            <w:tr>
              <w:trPr/>
              <w:tc>
                <w:tcPr>
                  <w:tcW w:w="5521" w:type="dxa"/>
                  <w:tcBorders/>
                  <w:vAlign w:val="center"/>
                </w:tcPr>
                <w:p>
                  <w:pPr>
                    <w:pStyle w:val="TableContents"/>
                    <w:bidi w:val="0"/>
                    <w:spacing w:before="0" w:after="0"/>
                    <w:jc w:val="left"/>
                    <w:rPr/>
                  </w:pPr>
                  <w:r>
                    <w:rPr/>
                    <w:t>Destin Huang Irrevocable Trust Dated October 19, 2021</w:t>
                  </w:r>
                </w:p>
              </w:tc>
            </w:tr>
          </w:tbl>
          <w:p>
            <w:pPr>
              <w:pStyle w:val="TableContents"/>
              <w:bidi w:val="0"/>
              <w:spacing w:before="0" w:after="283"/>
              <w:jc w:val="left"/>
              <w:rPr/>
            </w:pPr>
            <w:r>
              <w:rPr/>
            </w:r>
          </w:p>
        </w:tc>
        <w:tc>
          <w:tcPr>
            <w:tcW w:w="50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Donald A. Kress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Chairman of the Board</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579301ex16.htm"/>
      <w:bookmarkStart w:id="23" w:name="ksea030579301ex16"/>
      <w:bookmarkEnd w:id="22"/>
      <w:bookmarkEnd w:id="23"/>
      <w:r>
        <w:rPr>
          <w:rFonts w:ascii="Times New Roman;Times;Serif" w:hAnsi="Times New Roman;Times;Serif"/>
          <w:b/>
          <w:i w:val="false"/>
          <w:caps w:val="false"/>
          <w:smallCaps w:val="false"/>
          <w:sz w:val="20"/>
        </w:rPr>
        <w:t>Exhibit 16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FORBEARANCE AGREEMENT AND OMNIBUS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FORBEARANCE AGREEMENT AND OMNIBUS AMENDMENT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September 16, 2026, by BESS VENTURES AND ADVISORY, LLC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BURTECH LP LLC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BURKHAN LLC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with reference to the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and Borrower are parties to (i) that certain 10% Promissory Note Due March 31, 2024, dated as of January 19, 2024 (as amended by that certain Forbearance Agreement, dated September 16, 2024 (the “</w:t>
      </w:r>
      <w:r>
        <w:rPr>
          <w:rFonts w:ascii="Times New Roman;Times;Serif" w:hAnsi="Times New Roman;Times;Serif"/>
          <w:b w:val="false"/>
          <w:i w:val="false"/>
          <w:caps w:val="false"/>
          <w:smallCaps w:val="false"/>
          <w:sz w:val="20"/>
          <w:u w:val="single"/>
        </w:rPr>
        <w:t>First Forbearance Agreement</w:t>
      </w:r>
      <w:r>
        <w:rPr>
          <w:rFonts w:ascii="Times New Roman;Times;Serif" w:hAnsi="Times New Roman;Times;Serif"/>
          <w:b w:val="false"/>
          <w:i w:val="false"/>
          <w:caps w:val="false"/>
          <w:smallCaps w:val="false"/>
          <w:sz w:val="20"/>
        </w:rPr>
        <w:t>”) and that certain Second Forbearance Agreement, dated January 2, 2025 (the “</w:t>
      </w:r>
      <w:r>
        <w:rPr>
          <w:rFonts w:ascii="Times New Roman;Times;Serif" w:hAnsi="Times New Roman;Times;Serif"/>
          <w:b w:val="false"/>
          <w:i w:val="false"/>
          <w:caps w:val="false"/>
          <w:smallCaps w:val="false"/>
          <w:sz w:val="20"/>
          <w:u w:val="single"/>
        </w:rPr>
        <w:t>Second Forbearance Agreement</w:t>
      </w:r>
      <w:r>
        <w:rPr>
          <w:rFonts w:ascii="Times New Roman;Times;Serif" w:hAnsi="Times New Roman;Times;Serif"/>
          <w:b w:val="false"/>
          <w:i w:val="false"/>
          <w:caps w:val="false"/>
          <w:smallCaps w:val="false"/>
          <w:sz w:val="20"/>
        </w:rPr>
        <w:t>”), as so amended, the “</w:t>
      </w:r>
      <w:r>
        <w:rPr>
          <w:rFonts w:ascii="Times New Roman;Times;Serif" w:hAnsi="Times New Roman;Times;Serif"/>
          <w:b w:val="false"/>
          <w:i w:val="false"/>
          <w:caps w:val="false"/>
          <w:smallCaps w:val="false"/>
          <w:sz w:val="20"/>
          <w:u w:val="single"/>
        </w:rPr>
        <w:t>First Loan Agreement</w:t>
      </w:r>
      <w:r>
        <w:rPr>
          <w:rFonts w:ascii="Times New Roman;Times;Serif" w:hAnsi="Times New Roman;Times;Serif"/>
          <w:b w:val="false"/>
          <w:i w:val="false"/>
          <w:caps w:val="false"/>
          <w:smallCaps w:val="false"/>
          <w:sz w:val="20"/>
        </w:rPr>
        <w:t>”) pursuant to which Lender advanced Thirteen Million Dollars ($13,000,000) (the “</w:t>
      </w:r>
      <w:r>
        <w:rPr>
          <w:rFonts w:ascii="Times New Roman;Times;Serif" w:hAnsi="Times New Roman;Times;Serif"/>
          <w:b w:val="false"/>
          <w:i w:val="false"/>
          <w:caps w:val="false"/>
          <w:smallCaps w:val="false"/>
          <w:sz w:val="20"/>
          <w:u w:val="single"/>
        </w:rPr>
        <w:t>First Loan</w:t>
      </w:r>
      <w:r>
        <w:rPr>
          <w:rFonts w:ascii="Times New Roman;Times;Serif" w:hAnsi="Times New Roman;Times;Serif"/>
          <w:b w:val="false"/>
          <w:i w:val="false"/>
          <w:caps w:val="false"/>
          <w:smallCaps w:val="false"/>
          <w:sz w:val="20"/>
        </w:rPr>
        <w:t>”), and (ii) that certain Promissory Note Due February 20, 2025, dated as of January 2, 2025 (the “</w:t>
      </w:r>
      <w:r>
        <w:rPr>
          <w:rFonts w:ascii="Times New Roman;Times;Serif" w:hAnsi="Times New Roman;Times;Serif"/>
          <w:b w:val="false"/>
          <w:i w:val="false"/>
          <w:caps w:val="false"/>
          <w:smallCaps w:val="false"/>
          <w:sz w:val="20"/>
          <w:u w:val="single"/>
        </w:rPr>
        <w:t>Second Loan Agreement</w:t>
      </w:r>
      <w:r>
        <w:rPr>
          <w:rFonts w:ascii="Times New Roman;Times;Serif" w:hAnsi="Times New Roman;Times;Serif"/>
          <w:b w:val="false"/>
          <w:i w:val="false"/>
          <w:caps w:val="false"/>
          <w:smallCaps w:val="false"/>
          <w:sz w:val="20"/>
        </w:rPr>
        <w:t>”) pursuant to which Lender advanced Twelve Million Dollars ($12,000,000) (the “</w:t>
      </w:r>
      <w:r>
        <w:rPr>
          <w:rFonts w:ascii="Times New Roman;Times;Serif" w:hAnsi="Times New Roman;Times;Serif"/>
          <w:b w:val="false"/>
          <w:i w:val="false"/>
          <w:caps w:val="false"/>
          <w:smallCaps w:val="false"/>
          <w:sz w:val="20"/>
          <w:u w:val="single"/>
        </w:rPr>
        <w:t>Second Loan</w:t>
      </w:r>
      <w:r>
        <w:rPr>
          <w:rFonts w:ascii="Times New Roman;Times;Serif" w:hAnsi="Times New Roman;Times;Serif"/>
          <w:b w:val="false"/>
          <w:i w:val="false"/>
          <w:caps w:val="false"/>
          <w:smallCaps w:val="false"/>
          <w:sz w:val="20"/>
        </w:rPr>
        <w:t>” and together with the First Loan, the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Capitalized terms used but not defined herein have the meanings provided in the First Loan Agreement or the Second Loan Agreement, as the context requires; provided, that any capitalized term that is defined in both the First Loan Agreement and the Second Agreement shall be deemed to refer to such terms collectively unless the context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secure the obligations evidenced by the First Loan Agreement, Borrower has also entered into (x) that certain Security Agreement, dated as of January 19, 2024, by and among Borrower and Lender (as amended, restated, amended and restated, extended, supplemented or otherwise modified in writing from time to time, the “</w:t>
      </w:r>
      <w:r>
        <w:rPr>
          <w:rFonts w:ascii="Times New Roman;Times;Serif" w:hAnsi="Times New Roman;Times;Serif"/>
          <w:b w:val="false"/>
          <w:i w:val="false"/>
          <w:caps w:val="false"/>
          <w:smallCaps w:val="false"/>
          <w:sz w:val="20"/>
          <w:u w:val="single"/>
        </w:rPr>
        <w:t>First Security Agreement</w:t>
      </w:r>
      <w:r>
        <w:rPr>
          <w:rFonts w:ascii="Times New Roman;Times;Serif" w:hAnsi="Times New Roman;Times;Serif"/>
          <w:b w:val="false"/>
          <w:i w:val="false"/>
          <w:caps w:val="false"/>
          <w:smallCaps w:val="false"/>
          <w:sz w:val="20"/>
        </w:rPr>
        <w:t>”), and (y) that certain letter agreement, dated as of February 15, 2024, by and among Borrower, Blaize, Inc. and Lender (as amended, restated, amended and restated, extended, supplemented or otherwise modified in writing from time to time, the “</w:t>
      </w:r>
      <w:r>
        <w:rPr>
          <w:rFonts w:ascii="Times New Roman;Times;Serif" w:hAnsi="Times New Roman;Times;Serif"/>
          <w:b w:val="false"/>
          <w:i w:val="false"/>
          <w:caps w:val="false"/>
          <w:smallCaps w:val="false"/>
          <w:sz w:val="20"/>
          <w:u w:val="single"/>
        </w:rPr>
        <w:t>Control Letter</w:t>
      </w:r>
      <w:r>
        <w:rPr>
          <w:rFonts w:ascii="Times New Roman;Times;Serif" w:hAnsi="Times New Roman;Times;Serif"/>
          <w:b w:val="false"/>
          <w:i w:val="false"/>
          <w:caps w:val="false"/>
          <w:smallCaps w:val="false"/>
          <w:sz w:val="20"/>
        </w:rPr>
        <w:t>”), and (ii) to secure the obligations evidenced by the Second Loan Agreement, Borrower has also entered into that certain Security Agreement, dated as of January 2, 2025, by and among Borrower and Lender (as amended, restated, amended and restated, extended, supplemented or otherwise modified in writing from time to time, the “</w:t>
      </w:r>
      <w:r>
        <w:rPr>
          <w:rFonts w:ascii="Times New Roman;Times;Serif" w:hAnsi="Times New Roman;Times;Serif"/>
          <w:b w:val="false"/>
          <w:i w:val="false"/>
          <w:caps w:val="false"/>
          <w:smallCaps w:val="false"/>
          <w:sz w:val="20"/>
          <w:u w:val="single"/>
        </w:rPr>
        <w:t>Second Security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the Second Forbearance Agreement and the Second Loan Agreement, Guarantor has entered into that certain Guaranty and Pledge Agreement, dated January 2, 2025, in favor of Lender to guaranty and grant collateral to secure Borrower’s obligations under the First Loan Agreement and the Second Loan Agreement (the “</w:t>
      </w:r>
      <w:r>
        <w:rPr>
          <w:rFonts w:ascii="Times New Roman;Times;Serif" w:hAnsi="Times New Roman;Times;Serif"/>
          <w:b w:val="false"/>
          <w:i w:val="false"/>
          <w:caps w:val="false"/>
          <w:smallCaps w:val="false"/>
          <w:sz w:val="20"/>
          <w:u w:val="single"/>
        </w:rPr>
        <w:t>Guaranty and Pledge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described in that certain Notice of Default, dated April 1, 2024, Borrower failed to pay the principal and accrued and unpaid interest on the First Loan on March 31, 2024 in accordance with Section 1 of the First Loan Agreement (the “</w:t>
      </w:r>
      <w:r>
        <w:rPr>
          <w:rFonts w:ascii="Times New Roman;Times;Serif" w:hAnsi="Times New Roman;Times;Serif"/>
          <w:b w:val="false"/>
          <w:i w:val="false"/>
          <w:caps w:val="false"/>
          <w:smallCaps w:val="false"/>
          <w:sz w:val="20"/>
          <w:u w:val="single"/>
        </w:rPr>
        <w:t>First Loan Payment Default</w:t>
      </w:r>
      <w:r>
        <w:rPr>
          <w:rFonts w:ascii="Times New Roman;Times;Serif" w:hAnsi="Times New Roman;Times;Serif"/>
          <w:b w:val="false"/>
          <w:i w:val="false"/>
          <w:caps w:val="false"/>
          <w:smallCaps w:val="false"/>
          <w:sz w:val="20"/>
        </w:rPr>
        <w:t>”). Pursuant to the First Forbearance Agreement, Lender agreed to forbear on the First Loan Agreement on the terms and conditions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the Second Forbearance Agreement, Lender agreed to forbear on the First Loan Agreement on the terms and conditions therein until February 5, 2025 (the “</w:t>
      </w:r>
      <w:r>
        <w:rPr>
          <w:rFonts w:ascii="Times New Roman;Times;Serif" w:hAnsi="Times New Roman;Times;Serif"/>
          <w:b w:val="false"/>
          <w:i w:val="false"/>
          <w:caps w:val="false"/>
          <w:smallCaps w:val="false"/>
          <w:sz w:val="20"/>
          <w:u w:val="single"/>
        </w:rPr>
        <w:t>Second Forbearance Termination Date</w:t>
      </w:r>
      <w:r>
        <w:rPr>
          <w:rFonts w:ascii="Times New Roman;Times;Serif" w:hAnsi="Times New Roman;Times;Serif"/>
          <w:b w:val="false"/>
          <w:i w:val="false"/>
          <w:caps w:val="false"/>
          <w:smallCaps w:val="false"/>
          <w:sz w:val="20"/>
        </w:rPr>
        <w:t>”) with respect to the First Loan Payment Default. Borrower subsequently failed to pay the principal, accrued interest and other amounts due under the First Loan Agreement prior to the Second Forbearance Termination Date, and such amounts remain outstanding as of the Effective Date. As a result, the forbearance period under the Second Forbearance Agreement expired, and further, an Event of Default pursuant to Section 9(a) of the Second Loan Agreement has occurred and is continuing because of the failure to pay such obligations when due (the “</w:t>
      </w:r>
      <w:r>
        <w:rPr>
          <w:rFonts w:ascii="Times New Roman;Times;Serif" w:hAnsi="Times New Roman;Times;Serif"/>
          <w:b w:val="false"/>
          <w:i w:val="false"/>
          <w:caps w:val="false"/>
          <w:smallCaps w:val="false"/>
          <w:sz w:val="20"/>
          <w:u w:val="single"/>
        </w:rPr>
        <w:t>Second Loan Payment Event of Default</w:t>
      </w:r>
      <w:r>
        <w:rPr>
          <w:rFonts w:ascii="Times New Roman;Times;Serif" w:hAnsi="Times New Roman;Times;Serif"/>
          <w:b w:val="false"/>
          <w:i w:val="false"/>
          <w:caps w:val="false"/>
          <w:smallCaps w:val="false"/>
          <w:sz w:val="20"/>
        </w:rPr>
        <w:t>”). On February 10, 2025, Lender issued a Notice of Forbearance Termination Event and Payment Event of Default relating to the termination of the forbearance period under the Second Forbearance Agreement due to the Second Loan Payment Event of Default. As of the date hereof, Borrower has failed to pay the principal, accrued interest and other amounts due under the First Loan Agreement and the Second Loan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additional ongoing Events of Default under (i) Section 7(a) of the First Loan Agreement and the Second Loan Agreement as a result of Borrower’s incurrence of indebtedness to pay certain legal costs and expenses to Blaize Holdings, Inc. (the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(ii) Section 7(b) of the First Loan Agreement and the Second Loan Agreement as a result of Borrower’s granting of a security interest in favor of the SPAC over 2,000,000 shares of Class A Common Stock of the SPAC to secure such indebtedness, (iii) Section 5.f of the Second Forbearance Agreement and Section 6.e of the Second Loan Agreement as a result of Borrower’s failures to deliver stock powers with respect to the Collateral, (iv) Section V of the Guaranty and Pledge Agreement as a result of Guarantor’s failures to deliver stock certificates with respect to the Collateral and stock powers with respect thereto, (v) Section 8 of the First Loan Agreement and the Second Loan Agreement as a result of Borrower’s failure to transfer the Advisory Shares to Lender, (vi) Section 7(e) of the First Loan Agreement and clause (iii) of the Control Letter as a result of the transfer of the Notes (as defined in the First Security Agreement) and related rights, title and interests with respect thereto included in the Collateral (as defined in the First Loan Agreement), (vii) clause (iv) of the Control Letter as a result of the failure to deliver the securities issued on the conversion of the Notes to Lender, (viii) Section IV.F of the First Security Agreement and Section IV.F of the Second Security Agreement as a result of the failure to furnish requested information in respect of the Collateral and (ix) Section 6(c)(ii) of the First Loan Agreement and the Second Loan Agreement and Section 5.b of the Second Forbearance Agreement as a result of Borrower’s failure to provide notice to Lender with respect to the foregoing Events of Default (collectively, the “</w:t>
      </w:r>
      <w:r>
        <w:rPr>
          <w:rFonts w:ascii="Times New Roman;Times;Serif" w:hAnsi="Times New Roman;Times;Serif"/>
          <w:b w:val="false"/>
          <w:i w:val="false"/>
          <w:caps w:val="false"/>
          <w:smallCaps w:val="false"/>
          <w:sz w:val="20"/>
          <w:u w:val="single"/>
        </w:rPr>
        <w:t>Covenant Defaults</w:t>
      </w:r>
      <w:r>
        <w:rPr>
          <w:rFonts w:ascii="Times New Roman;Times;Serif" w:hAnsi="Times New Roman;Times;Serif"/>
          <w:b w:val="false"/>
          <w:i w:val="false"/>
          <w:caps w:val="false"/>
          <w:smallCaps w:val="false"/>
          <w:sz w:val="20"/>
        </w:rPr>
        <w:t>”, and together with the First Payment Default and the Second Payment Default, the “</w:t>
      </w:r>
      <w:r>
        <w:rPr>
          <w:rFonts w:ascii="Times New Roman;Times;Serif" w:hAnsi="Times New Roman;Times;Serif"/>
          <w:b w:val="false"/>
          <w:i w:val="false"/>
          <w:caps w:val="false"/>
          <w:smallCaps w:val="false"/>
          <w:sz w:val="20"/>
          <w:u w:val="single"/>
        </w:rPr>
        <w:t>Specified Defaults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May 8, 2026, Lender delivered a letter including a Notification of Private Disposition of Collateral (the “</w:t>
      </w:r>
      <w:r>
        <w:rPr>
          <w:rFonts w:ascii="Times New Roman;Times;Serif" w:hAnsi="Times New Roman;Times;Serif"/>
          <w:b w:val="false"/>
          <w:i w:val="false"/>
          <w:caps w:val="false"/>
          <w:smallCaps w:val="false"/>
          <w:sz w:val="20"/>
          <w:u w:val="single"/>
        </w:rPr>
        <w:t>Foreclosure Notice</w:t>
      </w:r>
      <w:r>
        <w:rPr>
          <w:rFonts w:ascii="Times New Roman;Times;Serif" w:hAnsi="Times New Roman;Times;Serif"/>
          <w:b w:val="false"/>
          <w:i w:val="false"/>
          <w:caps w:val="false"/>
          <w:smallCaps w:val="false"/>
          <w:sz w:val="20"/>
        </w:rPr>
        <w:t>”). The Borrower has contested the disposition described in the Foreclosure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hereof, Borrower acknowledges and agrees that the Loan Documents (as defined in the First Loan Agreement) and the Loan Documents (as defined in the Second Loan Agreement) (collectively, the “</w:t>
      </w:r>
      <w:r>
        <w:rPr>
          <w:rFonts w:ascii="Times New Roman;Times;Serif" w:hAnsi="Times New Roman;Times;Serif"/>
          <w:b w:val="false"/>
          <w:i w:val="false"/>
          <w:caps w:val="false"/>
          <w:smallCaps w:val="false"/>
          <w:sz w:val="20"/>
          <w:u w:val="single"/>
        </w:rPr>
        <w:t>Bess Loan Documents</w:t>
      </w:r>
      <w:r>
        <w:rPr>
          <w:rFonts w:ascii="Times New Roman;Times;Serif" w:hAnsi="Times New Roman;Times;Serif"/>
          <w:b w:val="false"/>
          <w:i w:val="false"/>
          <w:caps w:val="false"/>
          <w:smallCaps w:val="false"/>
          <w:sz w:val="20"/>
        </w:rPr>
        <w:t xml:space="preserve">”) are valid and enforceable in accordance with their respective terms. Borrower acknowledges and agrees that there are no defenses to Borrower’s obligations under the Bess Loan Documents and that after giving effect to this Agreement, the amounts set forth in </w:t>
      </w:r>
      <w:r>
        <w:rPr>
          <w:rFonts w:ascii="Times New Roman;Times;Serif" w:hAnsi="Times New Roman;Times;Serif"/>
          <w:b w:val="false"/>
          <w:i w:val="false"/>
          <w:caps w:val="false"/>
          <w:smallCaps w:val="false"/>
          <w:sz w:val="20"/>
          <w:u w:val="single"/>
        </w:rPr>
        <w:t>Sections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6.d</w:t>
      </w:r>
      <w:r>
        <w:rPr>
          <w:rFonts w:ascii="Times New Roman;Times;Serif" w:hAnsi="Times New Roman;Times;Serif"/>
          <w:b w:val="false"/>
          <w:i w:val="false"/>
          <w:caps w:val="false"/>
          <w:smallCaps w:val="false"/>
          <w:sz w:val="20"/>
        </w:rPr>
        <w:t xml:space="preserve"> below are outstanding and unpaid and that such amounts are due and payable in full without offset or deduction.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has requested that Lender extend the Forbearance Period (as defined in the Second Forbearance Agreement) with respect to the First Loan Agreement, forbear on the Second Loan Payment Default, refrain from enforcing Lender’s rights under the Bess Loan Documents with respect thereto, and make such other modifications to the terms of the Bess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Lender is willing to agree to the foregoing requests, subject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hereto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Recitals</w:t>
      </w:r>
      <w:r>
        <w:rPr>
          <w:rFonts w:ascii="Times New Roman;Times;Serif" w:hAnsi="Times New Roman;Times;Serif"/>
          <w:b w:val="false"/>
          <w:i w:val="false"/>
          <w:caps w:val="false"/>
          <w:smallCaps w:val="false"/>
          <w:sz w:val="20"/>
        </w:rPr>
        <w:t>. The foregoing Recitals are incorporated herein by this reference as are any and all other exhibits and schedules. The parties agree that the information recited above is true and correct. Except as specified herein, all terms and conditions of the Bess Loan Documents, and each of them, shall remain in full force and effect. In the event of any conflict or inconsistency between the terms, conditions and provisions of this Agreement, and the Bess Loan Documents, the terms, conditions, and provisions of this Agreement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Acknowledgment</w:t>
      </w:r>
      <w:r>
        <w:rPr>
          <w:rFonts w:ascii="Times New Roman;Times;Serif" w:hAnsi="Times New Roman;Times;Serif"/>
          <w:b w:val="false"/>
          <w:i w:val="false"/>
          <w:caps w:val="false"/>
          <w:smallCaps w:val="false"/>
          <w:sz w:val="20"/>
        </w:rPr>
        <w:t>. Borrower and Guarantor acknowledge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described in the Recitals above are valid and enforceable in accordance with the respective terms of the Bess Loan Documents. Borrower and Guarantor acknowledge and agree that there are no defenses to Borrower’s Obligations under the Bess Loan Documents, that the amounts owed under the Loans and the Bess Loan Documents described in the Recitals above are outstanding and unpaid and that such amounts are due and payable in full without offset or deduction.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consideration of the financial accommodations set forth herein, Borrower and Guarantor specifically, expressly and forever waive and relinquish (i) any and all offsets or defenses to the total indebtedness of Borrower or Guarantor to Lender under the Bess Loan Documents, (ii) any and all claims against Lender, and (iii) any and all rights or theories on which to invoke or obtain legal or equitable relief, whether injunctive relief or otherwise, in order to abate, postpone or terminate enforcement by Lender of repayment of the Obligations under the Bess Loan Documents, including without limitation any offsets, defenses, claims, rights, or theories with respect to the disposition described in the Foreclosure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sz w:val="20"/>
        </w:rPr>
        <w:t>This Agreement is being executed by LENDER to accommodate the request of Borrower AND GUARANTOR, and Borrower AND GUARANTOR understand and agree that LENDER has no obligation to grant further forbearances in the future, NOR TO EXTEND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Reaffirmation</w:t>
      </w:r>
      <w:r>
        <w:rPr>
          <w:rFonts w:ascii="Times New Roman;Times;Serif" w:hAnsi="Times New Roman;Times;Serif"/>
          <w:b w:val="false"/>
          <w:i w:val="false"/>
          <w:caps w:val="false"/>
          <w:smallCaps w:val="false"/>
          <w:sz w:val="20"/>
        </w:rPr>
        <w:t>. Borrower and Guarantor confirm, acknowledge, and stipulate that all terms, conditions, and provisions of the Bess Loan Documents are valid and enforceable obligations (subject only to applicable bankruptcy, insolvency and similar laws affecting rights of creditors generally, and subject as to enforceability, to general principles of equity (regardless of whether enforcement is sought in a proceeding in equity or at law)), continue in full force and effect and remain unaffected and unchanged, except as otherwise expressly set forth in this Agreement. This Agreement is not intended to be, and shall not be construed to constitute, a novation of any or all of the Bess Loan Documents, nor is it intended to create or constitute a modification of the Loans or the Bess Loan Documents (except as otherwise expressly set forth herein) or a release or relinquishment of, and shall not affect in any way, the liens, security interests and rights thereunder, all of which are hereby ratified, confirmed, renewed, and extended by Borrower and Guarantor in all respects. Borrower and Guarantor reaffirm to Lender each of the representations, warranties, covenants, and agreements of Borrower and Guarantor set forth in the Bess Loan Documents, with the same force and effect as if each were separately stated herein and made as of the Effective Date (subject to any changes permitted by the terms of the Bess Loan Documents), other than representations, warranties, covenants, and agreements that relate to matters which by their nature can no longer be true and correct as a result of the passage of time. Except as may specifically be modified by this Agreement: (i) Borrower and Guarantor agree to comply with all terms and provisions of the Bess Loan Documents to which it is a party; and (ii) the provisions of the other Bess Loan Documents shall remain unmodified and in full force and effect except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Payment of All Fees and Expenses</w:t>
      </w:r>
      <w:r>
        <w:rPr>
          <w:rFonts w:ascii="Times New Roman;Times;Serif" w:hAnsi="Times New Roman;Times;Serif"/>
          <w:b w:val="false"/>
          <w:i w:val="false"/>
          <w:caps w:val="false"/>
          <w:smallCaps w:val="false"/>
          <w:sz w:val="20"/>
        </w:rPr>
        <w:t>. Borrower and Guarantor confirm that all fees and expenses of counsel for Lender are Obligations owed under the Bess Loan Documents and are secured by the First Security Agreement, the Second Security Agreement, and the Guaranty and Pledge Agreement, and that all such fees and expenses will be paid in full in the ordinary course; provided, that unless a Forbearance Termination Event occurs, such expenses of Lender’s counsel shall be capped at fifty percent (50%) of such fees and expenses. Borrower and Guarantor confirm that any failure to comply with the obligations set out in this paragraph shall be events of default under the Bess Loan Documents entitling Lender to declare an Event of Default and pursue all remedies available under the Bess Loan Documents without further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Conditions Precedent</w:t>
      </w:r>
      <w:r>
        <w:rPr>
          <w:rFonts w:ascii="Times New Roman;Times;Serif" w:hAnsi="Times New Roman;Times;Serif"/>
          <w:b w:val="false"/>
          <w:i w:val="false"/>
          <w:caps w:val="false"/>
          <w:smallCaps w:val="false"/>
          <w:sz w:val="20"/>
        </w:rPr>
        <w:t>. This Agreement shall become effective on the date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on which each of the conditions precedent set forth below has been (i) met in form and substance satisfactory to Lender, or (ii) waived by Lender in its sole and absolute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is fully executed;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shall have transferred the Advisory Shares to Lender and shall have taken all action required to effect such transfer, including the execution and delivery of a medallion stamped stock power and any transfer instrument, certificates and other supporting documents required by Lender or the transfer agent in connection with the transfer of the Advisory Shares (collectively, the “</w:t>
      </w:r>
      <w:r>
        <w:rPr>
          <w:rFonts w:ascii="Times New Roman;Times;Serif" w:hAnsi="Times New Roman;Times;Serif"/>
          <w:b w:val="false"/>
          <w:i w:val="false"/>
          <w:caps w:val="false"/>
          <w:smallCaps w:val="false"/>
          <w:sz w:val="20"/>
          <w:u w:val="single"/>
        </w:rPr>
        <w:t>Advisory Share Transfer Documents</w:t>
      </w:r>
      <w:r>
        <w:rPr>
          <w:rFonts w:ascii="Times New Roman;Times;Serif" w:hAnsi="Times New Roman;Times;Serif"/>
          <w:b w:val="false"/>
          <w:i w:val="false"/>
          <w:caps w:val="false"/>
          <w:smallCaps w:val="false"/>
          <w:sz w:val="20"/>
        </w:rPr>
        <w:t>”)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Guarantor shall have delivered medallion stamped stock powers executed in blank with respect to the remaining Collateral which will be held in escrow until a Forbearance Termination Event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additional financing statements, assignments, agreements, reports, approvals, instruments, documents, and consents as Lender may request, in its sole and absolute discretion, opinion and judgment, are executed in connection with this Agreement;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Borrower’s expense, Lender shall have received UCC lien searches that confirm that UCC financing statements were properly filed and reflect first priority security interests in Borrower’s assets, with only such exceptions as Lender may approve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Terms of Forbearance</w:t>
      </w:r>
      <w:r>
        <w:rPr>
          <w:rFonts w:ascii="Times New Roman;Times;Serif" w:hAnsi="Times New Roman;Times;Serif"/>
          <w:b w:val="false"/>
          <w:i w:val="false"/>
          <w:caps w:val="false"/>
          <w:smallCaps w:val="false"/>
          <w:sz w:val="20"/>
        </w:rPr>
        <w:t>. Subject to, conditioned upon and effective as of the Effective Date, during the Forbearance Period (as defined below), Lender shall forbear from exercising its rights and remedies under the First Loan Agreement, the Second Loan Agreement and the other Bess Loan Documents, but only to the extent that such rights and remedies arise exclusively as a result of the occurrence, existence, or continuation of the Specified Defaults.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period from the Effective Date to the date that a Forbearance Termination Event (defined below) occurs shall be referred to as the “</w:t>
      </w:r>
      <w:r>
        <w:rPr>
          <w:rFonts w:ascii="Times New Roman;Times;Serif" w:hAnsi="Times New Roman;Times;Serif"/>
          <w:b w:val="false"/>
          <w:i w:val="false"/>
          <w:caps w:val="false"/>
          <w:smallCaps w:val="false"/>
          <w:sz w:val="20"/>
          <w:u w:val="single"/>
        </w:rPr>
        <w:t>Forbearance Period</w:t>
      </w:r>
      <w:r>
        <w:rPr>
          <w:rFonts w:ascii="Times New Roman;Times;Serif" w:hAnsi="Times New Roman;Times;Serif"/>
          <w:b w:val="false"/>
          <w:i w:val="false"/>
          <w:caps w:val="false"/>
          <w:smallCaps w:val="false"/>
          <w:sz w:val="20"/>
        </w:rPr>
        <w:t>.” Upon the occurrence of any of the following events, the occurrence of such events being referred to herein as a “</w:t>
      </w:r>
      <w:r>
        <w:rPr>
          <w:rFonts w:ascii="Times New Roman;Times;Serif" w:hAnsi="Times New Roman;Times;Serif"/>
          <w:b w:val="false"/>
          <w:i w:val="false"/>
          <w:caps w:val="false"/>
          <w:smallCaps w:val="false"/>
          <w:sz w:val="20"/>
          <w:u w:val="single"/>
        </w:rPr>
        <w:t>Forbearance Termination Event</w:t>
      </w:r>
      <w:r>
        <w:rPr>
          <w:rFonts w:ascii="Times New Roman;Times;Serif" w:hAnsi="Times New Roman;Times;Serif"/>
          <w:b w:val="false"/>
          <w:i w:val="false"/>
          <w:caps w:val="false"/>
          <w:smallCaps w:val="false"/>
          <w:sz w:val="20"/>
        </w:rPr>
        <w:t>,” Lender’s obligation to forbear as specified in the preceding paragraph shall be terminated without further notice to Borrower or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default under, violation of, or breach of, this Agreement (including, without limitation, that Borrower fails to fully and timely pay or cause to be paid any payment to Lender provided for in this Agreement when the same shall become due);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Default or Event of Default under the Bess Loan Documents (including for the avoidance of doubt, the Control Agreement), other than the Specified Defaults;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representation, warranty, certification, or statement of fact made or deemed made by or on behalf of Borrower or Guarantor or any document delivered in connection herewith is incorrect or misleading in any material respect when made or deemed made;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Borrower or Guarantor initiates any judicial, administrative or arbitration proceeding against Lender;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December 31,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and Guarantor agree to notify Lender immediately following the occurrence of any Forbearance Termination Event or any event or circumstance that, with the giving of notice or the passage of time or both, would constitute a default under this Agreement or an Event of Default under the Bess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conditioned upon and effective as of the Effective Date, the parties agree that, notwithstanding anything in the Foreclosure Notice to the contrary, title to the Advisory Shares shall transfer to Lender upon the date set forth in the Advisory Share Transfer Documents. The Foreclosure Notice shall remain in effect with regard to the additional 2,000,000 shares of common stock in the SPAC referred to in the Foreclosure Notice, though the parties agree that title to the additional 2,000,000 shares of common stock in the SPAC referred to in the Foreclosure Notice shall remain with Borrower unless a Forbearance Termination Event occurs, at which point these shares shall be deemed transferred to Lender under the terms of the Foreclosure Notice. For the avoidance of doubt, nothing in the foregoing shall waive, limit, impair, condition, release or otherwise modify Lender’s rights and remedies with respect to the Collateral, including subsequent to a Forbearance Termination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effective date of the transfer of the Advisory Shares to Lender pursuant to the Advisory Share Transfer Documents, the Parties agree that an amount equal to the sum of the portion of Advisory Shares corresponding to such Loan multiplied by the publicly traded price of the SPAC common stock as of 9:00 a.m. (EST) on such date shall be credited against the principal outstanding with respect to the First Loan Agreement and Second Loan Agreement as applicable (such credit, the “</w:t>
      </w:r>
      <w:r>
        <w:rPr>
          <w:rFonts w:ascii="Times New Roman;Times;Serif" w:hAnsi="Times New Roman;Times;Serif"/>
          <w:b w:val="false"/>
          <w:i w:val="false"/>
          <w:caps w:val="false"/>
          <w:smallCaps w:val="false"/>
          <w:sz w:val="20"/>
          <w:u w:val="single"/>
        </w:rPr>
        <w:t>Specified Prepayment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conditioned upon and effective as of the Effective Date, notwithstanding anything to the contrary in the Bess Loan Documents, (i) the Obligations with respect to the First Loan Agreement shall be deemed to bear interest until paid in full at a rate equal to eight percent (8.0%) per annum, commencing on January 19, 2024, and (ii) the Obligations with respect to the Second Loan Agreement shall be deemed to bear interest at eight percent (8.0%) per annum, commencing on January 2, 2025; provided, that following any Forbearance Termination Event, the foregoing amendments to the Obligations shall be null and void. For purposes of illustration, if the Effective Date is June 12, 2026, (a) the total unpaid principal and interest as of such date (prior to giving effect to the Specified Repayment and assuming no Forbearance Termination Event has occurred) shall be $15,493,150.68, and (b) the total unpaid principal and interest as of such date (prior to giving effect to the Specified Repayment and assuming no Forbearance Termination Event has occurred) shall be $13,380,821.92.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conditioned upon and effective as of the Effective Date, Section 8 of the First Loan Agreement and Section 8 of the Second Loan Agreement shall be deleted in their entirety; provided that following any Forbearance Termination Event, the foregoing amendments shall be null and void.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and Guarantor shall take all actions necessary, appropriate or requested by Lender to perfect, protect or otherwise ensure the first priority security interest of Lender in the Collateral, including the execution and delivery of such certificates, instruments, documents and other agreements as requested by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Immediately upon the occurrence of any Forbearance Termination Event, the obligation of Lender to forbear will terminate without notice or further action. Thereupon, Lender shall have the full right and power immediately and unconditionally to exercise all rights and remedies available to Lender under or in connection with the Obligations or the Bess Loan Documents, including the right to immediately date, fill in, and deliver to the transfer agent the medallion stamped stock powers executed in blank with respect to the remaining Collateral to effectuate the immediate transfer of the remaining Collateral to Lender. Without limiting the foregoing or anything in the Loan Documents, Borrower and Guarantor, each hereby grant Lender an irrevocable power of attorney coupled with an interest to date and deliver any instruction letter, stock power or related documents to the transfer agent on Borrower’s or Guarantor’s behalf, as applicable. The transfer agent may rely on this paragraph 6(h) as (x) evidence that Borrower and Guarantor both expressly consent to the transfer of the Collateral to Lender immediately upon the occurrence of any Forbearance Termination Event pursuant to the terms of the Foreclosure Notice, (y) confirmation that both the Borrower and Guarantor waived all objections to transfer of the Collateral to Lender pursuant to the Foreclosure Notice immediately upon the occurrence of any Forbearance Termination Event, and (z) as confirmation that the Transfer agent is hereby directed and authorized by Borrower and Guarantor to rely on the representation of the Lender that a Forbearance Termination Event has occurred to immediately take all steps necessary to effectuate the transfer of the Collateral to Lender. Lender expressly reserves the right to, without notice, exercise all remedies under the Bess Loan Documents, or otherwise available to Lender at law or in equity, (i) immediately on and after the Forbearance Termination Date in respect of any Event of Default then existing or (ii) upon the occurrence and continuation of any Event of Default (other than the Specified Defaults) during the Forbearance Period. This reservation of rights is not intended and shall not be construed as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Nothing herein or contemplated hereby is a waiver of the Specified Defaults or any other Default or Event of Default under the Bess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Borrower and Guarantor each represent and warrant to Lender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Bess Loan Documents to which it is a party constitute legal, valid, and binding obligations of it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it of this Agreement and the performance by it of all of their respective obligations hereunder have been duly authorized by all necessary action and do not and will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Require any consent or approval not heretofore obtained of any other person holding any interest or entitled to receive any interest issued or to be issued by it or otherwise;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Result in or require the creation or imposition of any mortgage, deed of trust, pledge, lien, security interest, claim, charge, right of others or any encumbrance of any nature (other than under this Agreement or the Bess Loan Documents) upon or with respect to any property now owned or leased or hereafter acquired by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Violate any provision of any laws, or of any order, writ, judgment, injunction, decree, determination or award;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Result in a breach of or constitute a default under, cause or permit the acceleration of, any obligation owed under, or require any consent under any indenture or loan or the Bess Loan Documents or any other agreement, lease or instrument to which it is a party or by which any of its property is bound or affected.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officer, agent or other representative executing this Agreement on its behalf has the full right and authority to fully commit and bind it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actions, suits, or proceedings pending or, to its knowledge threatened against or affecting it, in relation to its obligations to Lender, or involving the validity or enforceability of this Agreement, the Bess Loan Documents, its ability to perform its obligations to Lender under the Bess Loan Documents, or the priority of any liens thereof, at law or in equity, or before or by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and the releases contained herein are intended to be final and binding among the parties hereto, and Lender may expressly rely on the finality of this Agreement as a substantial, material factor inducing that party’s execution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event has occurred or is continuing that constitutes a default of this Agreement, or a further Default under the Bess Loan Documents that would constitute an Event of Default but for the requirement that notice be given or time elapse, or both;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Lender’s security interests in all the Collateral for the obligations evidenced by the Bess Loan Documents are valid, perfected and are not subject to avoidance, elimination, or reduction in any manner whatsoever;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It has received, or has had the opportunity to receive, independent legal advice from attorneys of its choice with respect to the advisability of executing this Agreement and prior to the execution of this Agreement by it, its attorneys reviewed this Agreement and discussed this Agreement with them and have made all desired changes;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stated in this Agreement, neither Lender nor any other person or entity has made any statement or representation to it regarding facts relied upon by any of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It does not rely upon any statement, representation or promise of Lender or any other person or entity in executing this Agreement except as expressly stated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terms of this Agreement are contractual and not a mere recital;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Agreement has been carefully read by, the contents hereof are known and understood by, and it is signed freely by it;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agreements set forth herein shall be cumulative and in addition to any and all other representations, warranties and agreements which Borrower or Guarantor give or cause to be given to Lender, either now or 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No Joint Venture, Management and Control</w:t>
      </w:r>
      <w:r>
        <w:rPr>
          <w:rFonts w:ascii="Times New Roman;Times;Serif" w:hAnsi="Times New Roman;Times;Serif"/>
          <w:b w:val="false"/>
          <w:i w:val="false"/>
          <w:caps w:val="false"/>
          <w:smallCaps w:val="false"/>
          <w:sz w:val="20"/>
        </w:rPr>
        <w:t>. Notwithstanding any provision of this Agreement or the Bess Loan Documents, by entering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is not and shall not be construed to be a partner, joint venture, alter ego, manager, controlling person or other business associate or participant of any kind of Borrower, Guarantor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Lender shall not be deemed responsible to perform or participate in any acts, omissions, or decisions of Borrower or Guarantor;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Borrower nor Guarantor have any claims, causes of action or defenses to their obligations to Lender based on any allegations of management or control exercised by Lender. Borrower, Guarantor and Lender, and each of them, acknowledge and agree that Lender do not manage or control them in any 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Release of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the obligations of Lender under this Agreement, Borrower and Guarantor (collectively referred to herein as “</w:t>
      </w:r>
      <w:r>
        <w:rPr>
          <w:rFonts w:ascii="Times New Roman;Times;Serif" w:hAnsi="Times New Roman;Times;Serif"/>
          <w:b w:val="false"/>
          <w:i w:val="false"/>
          <w:caps w:val="false"/>
          <w:smallCaps w:val="false"/>
          <w:sz w:val="20"/>
          <w:u w:val="single"/>
        </w:rPr>
        <w:t>Releasor</w:t>
      </w:r>
      <w:r>
        <w:rPr>
          <w:rFonts w:ascii="Times New Roman;Times;Serif" w:hAnsi="Times New Roman;Times;Serif"/>
          <w:b w:val="false"/>
          <w:i w:val="false"/>
          <w:caps w:val="false"/>
          <w:smallCaps w:val="false"/>
          <w:sz w:val="20"/>
        </w:rPr>
        <w:t>”), for themselves, and Releasor’s successors, assigns, heirs and affiliates, and each of them, shall and do hereby forever relieve, release and discharge Lender, and their successors, assigns, past and present attorneys, accountants, representatives, affiliates, parents, partners, officers, directors, employees and stockholders, jointly and severally, from any and all claims, debts, liabilities, demands, obligations, promises, acts, agreements, costs and expenses (including, but not limited to, attorneys’ fees), damages, injuries, actions and causes of actions, of whatever kind or nature, whether legal or equitable, known or unknown, suspected or unsuspected, contingent or fixed, including, without limitation, those based upon, arising out of, appertaining to, or in connection with the matters of fact alleged or set forth in this Agreement, the Foreclosure Notice, the Bess Loan Documents or the lending relationship between Lender on the one hand, and Borrower, on the other hand, and any and all real and personal property collateral, jointly and severally.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Releasor acknowledges that it is aware that it may hereafter discover claims presently unknown or unsuspected, or facts in addition to or different from those which it now knows or believes to be true. Nevertheless, it is the intention of Releasor, through this Agreement, to fully, finally and forever release all such matters, and all claims relative thereto, which now exist, may exist, or heretofore have existed. In furtherance of such intention, the releases herein given shall be and remain in effect as a full and complete release of such matters notwithstanding the discovery or existence of any such additional or different claims or facts relative thereto, and Releasor hereby waives any right or claim that might arise as a result of such additional or different claims or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entering into the release provided for in this Agreement, Releasor recognizes that no facts or representations are ever absolutely certain; accordingly, it assumes the risk of any mistake, and if it should subsequently discover that any understanding of the facts or of the law was incorrect, said party shall not be entitled to set aside this release by reason thereof, regardless of any mistake of fact or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Releasor is the sole and lawful owner of all right, title and interest in and to every claim and other matter which it purports to release herein, and it has not assigned or transferred, or purported to assign or transfer to any person or entity any claims or other matters herein released. Releasor shall and hereby does indemnify, defend and hold Lender harmless from and against any claims, liabilities, actions, causes of action, demands, injuries, damages, costs, and expenses (including, but not limited to, attorneys’ fees), based upon or arising in connection with any such prior assignment or transfer, or any such purported assignment or transfer, or any claims or other matters released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Novation</w:t>
      </w:r>
      <w:r>
        <w:rPr>
          <w:rFonts w:ascii="Times New Roman;Times;Serif" w:hAnsi="Times New Roman;Times;Serif"/>
          <w:b w:val="false"/>
          <w:i w:val="false"/>
          <w:caps w:val="false"/>
          <w:smallCaps w:val="false"/>
          <w:sz w:val="20"/>
        </w:rPr>
        <w:t>. This Agreement is not a novation, nor is it to be construed as a release or modification of any of the terms, conditions, warranties, waivers, or rights set forth in the Bess Loan Documents, except as expressly set forth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Binding Agreements</w:t>
      </w:r>
      <w:r>
        <w:rPr>
          <w:rFonts w:ascii="Times New Roman;Times;Serif" w:hAnsi="Times New Roman;Times;Serif"/>
          <w:b w:val="false"/>
          <w:i w:val="false"/>
          <w:caps w:val="false"/>
          <w:smallCaps w:val="false"/>
          <w:sz w:val="20"/>
        </w:rPr>
        <w:t>. This Agreement and the releases contained herein are intended to be final and binding against Borrower and Guarantor, and Borrower and Guarantor acknowledge that Lender is expressly relying on the finality of this Agreement as a substantial, material factor inducing Lender’s execution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Survival of Warranties</w:t>
      </w:r>
      <w:r>
        <w:rPr>
          <w:rFonts w:ascii="Times New Roman;Times;Serif" w:hAnsi="Times New Roman;Times;Serif"/>
          <w:b w:val="false"/>
          <w:i w:val="false"/>
          <w:caps w:val="false"/>
          <w:smallCaps w:val="false"/>
          <w:sz w:val="20"/>
        </w:rPr>
        <w:t>. All agreements, representations and warranties made herein shall survive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Failure or Indulgence Not Waiver; No Waiver</w:t>
      </w:r>
      <w:r>
        <w:rPr>
          <w:rFonts w:ascii="Times New Roman;Times;Serif" w:hAnsi="Times New Roman;Times;Serif"/>
          <w:b w:val="false"/>
          <w:i w:val="false"/>
          <w:caps w:val="false"/>
          <w:smallCaps w:val="false"/>
          <w:sz w:val="20"/>
        </w:rPr>
        <w:t>. No failure or delay on the part of Lender in the exercise of any right, power, or privilege hereunder or under the documents or instruments referred to herein shall operate as a waiver thereof, and no single or partial exercise of any such power, right, or privilege shall preclude a further exercise of any right, power, or privilege. Borrower and Guarantor acknowledge and agree that neither the execution nor the delivery of this Agreement shall (a) be deemed to create a course of dealing or otherwise obligate Lender to execute similar amendments under the same or similar circumstances in the future or (b) be deemed to create any implied waiver of any right or remedy of Lender with respect to any term or provision of the Bess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the Bess Loan Documents and the rights and obligations of the parties hereto and thereto, shall be governed by and construed in accordance with the laws of the State of New York (including N.Y. Gen. Oblig. Law § 5-1401), without giving effect to the conflict of laws provisions thereof to the extent such principles or rules would require or permit the application of the laws of any jurisdiction other than those of the State of New York. The provisions of Section 18 of the First Loan Agreement and the Second Loan Agreement are expressly incorporated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Agreement shall be binding upon and inure to the benefit of Lender, Borrower and Guarantor, and their respective successors and assigns, except that none of Borrower’s or Guarantor’s rights hereunder are assignable without the prior written consent of Lender, which consent Lender may give or withhold in its sole and absolute opinion and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Expenses and Fees</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Borrower shall promptly reimburse Lender for its reasonable fees, costs, and expenses including, without limitation, attorneys’ fees in connection with the negotiation, preparation, and administration of this Agreement and the Bess Loan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Lender employs attorneys to remedy, prevent, or obtain relief from a breach or default of this Agreement, or any of the Bess Loan Documents, arising out of a breach or default of this Agreement, or any of the Bess Loan Documents, or in connection with or contesting the validity of this Agreement, or any of the Bess Loan Documents, any of the terms, covenants, provisions, and all conditions hereof or thereof, or any of the matters referred to herein or therein or in connection with any bankruptcy or Judicial Action (as hereinafter defined), Lender shall be entitled to be reimbursed for all of its attorneys’ fees, whether or not suit is filed and including, without limitation, those incurred in each and every action, suit, or proceeding, including any and all appeals and petitions therefrom and all fees and costs incurred by Lender. As used in this Section, the term “</w:t>
      </w:r>
      <w:r>
        <w:rPr>
          <w:rFonts w:ascii="Times New Roman;Times;Serif" w:hAnsi="Times New Roman;Times;Serif"/>
          <w:b w:val="false"/>
          <w:i w:val="false"/>
          <w:caps w:val="false"/>
          <w:smallCaps w:val="false"/>
          <w:sz w:val="20"/>
          <w:u w:val="single"/>
        </w:rPr>
        <w:t>Bankruptcy or Judicial Action</w:t>
      </w:r>
      <w:r>
        <w:rPr>
          <w:rFonts w:ascii="Times New Roman;Times;Serif" w:hAnsi="Times New Roman;Times;Serif"/>
          <w:b w:val="false"/>
          <w:i w:val="false"/>
          <w:caps w:val="false"/>
          <w:smallCaps w:val="false"/>
          <w:sz w:val="20"/>
        </w:rPr>
        <w:t>” shall mean any voluntary or involuntary case filed by or against Borrower under the United States Bankruptcy Code, or any voluntary or involuntary petition in composition, readjustment, liquidation, or dissolution, or any state and federal bankruptcy law action filed by or against Borrower or Guarantor any action where such person is adjudicated as bankrupt or insolvent, any action for dissolution of Borrower or Guarantor or any action in furtherance of any of the foregoing, or any other action, case, or proceeding that has the effect of staying (or in which a stay is being obtained against) the enforcement by Lender of its rights and remedies under this Agreement and/or the Bess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Modifications and Amendments</w:t>
      </w:r>
      <w:r>
        <w:rPr>
          <w:rFonts w:ascii="Times New Roman;Times;Serif" w:hAnsi="Times New Roman;Times;Serif"/>
          <w:b w:val="false"/>
          <w:i w:val="false"/>
          <w:caps w:val="false"/>
          <w:smallCaps w:val="false"/>
          <w:sz w:val="20"/>
        </w:rPr>
        <w:t>. This Agreement may be modified or amended only by written agreement duly executed by the parties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Bess Loan Documents constitute a single, integrated written contract expressing the entire agreement of the parties hereto relative to the subject matter hereof. No covenants, agreements, representations, or warranties of any kind whatsoever have been made by any party hereto with respect to the subject matter hereof, except as specifically set forth in this Agreement and the Bess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found to be illegal, invalid, or unenforceable under present or future laws effective during the term of this Agreement, such provisions shall be fully severable; this Agreement shall be construed and enforced as if such illegal, invalid, or unenforceable provision never comprised a part of this Agreement; and the remaining provisions of this Agreement shall remain in full force and effect and shall not be affected by the illegal, invalid, or unenforceable provision or by severance from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Acknowledgment of Waiver</w:t>
      </w:r>
      <w:r>
        <w:rPr>
          <w:rFonts w:ascii="Times New Roman;Times;Serif" w:hAnsi="Times New Roman;Times;Serif"/>
          <w:b w:val="false"/>
          <w:i w:val="false"/>
          <w:caps w:val="false"/>
          <w:smallCaps w:val="false"/>
          <w:sz w:val="20"/>
        </w:rPr>
        <w:t>. The parties represent and warrant that all of the waivers, warranties, and promises set forth in this Agreement are made after an opportunity to consult with legal counsel of their choosing and with an understanding of their significance and consequence and that they are reasonable.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Time of Essence</w:t>
      </w:r>
      <w:r>
        <w:rPr>
          <w:rFonts w:ascii="Times New Roman;Times;Serif" w:hAnsi="Times New Roman;Times;Serif"/>
          <w:b w:val="false"/>
          <w:i w:val="false"/>
          <w:caps w:val="false"/>
          <w:smallCaps w:val="false"/>
          <w:sz w:val="20"/>
        </w:rPr>
        <w:t>. The parties hereto expressly acknowledge and agree that time is of the essence and that all deadlines and time periods provided for under this Agreement are ABSOLUTE AND FINAL.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Execution in Counterpart</w:t>
      </w:r>
      <w:r>
        <w:rPr>
          <w:rFonts w:ascii="Times New Roman;Times;Serif" w:hAnsi="Times New Roman;Times;Serif"/>
          <w:b w:val="false"/>
          <w:i w:val="false"/>
          <w:caps w:val="false"/>
          <w:smallCaps w:val="false"/>
          <w:sz w:val="20"/>
        </w:rPr>
        <w:t>. This Agreement may be executed and delivered in two or more counterparts, each of which, when so executed and delivered, shall be an original, and such counterparts together shall constitute but one and the same instrument and agreement, and this Agreement shall not be binding on any party until all parties have executed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To the extent that any term, provision or condition of any of the Bess Loan Documents conflict with this Agreement, the term, provision or condition of this Agreement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required to be given hereunder shall be given at the address or facsimile telephone number as set forth in the applicable Bess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Other Relationships</w:t>
      </w:r>
      <w:r>
        <w:rPr>
          <w:rFonts w:ascii="Times New Roman;Times;Serif" w:hAnsi="Times New Roman;Times;Serif"/>
          <w:b w:val="false"/>
          <w:i w:val="false"/>
          <w:caps w:val="false"/>
          <w:smallCaps w:val="false"/>
          <w:sz w:val="20"/>
        </w:rPr>
        <w:t>. This Agreement only pertains to the Obligations. The parties acknowledge that they may, now or in the future, have other lending or borrowing relationships, none of which are affected by this Agreement.</w:t>
      </w:r>
    </w:p>
    <w:p>
      <w:pPr>
        <w:pStyle w:val="TextBody"/>
        <w:bidi w:val="0"/>
        <w:spacing w:before="0" w:after="0"/>
        <w:ind w:left="0" w:right="0" w:firstLine="3186"/>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35"/>
        <w:jc w:val="both"/>
        <w:rPr>
          <w:caps w:val="false"/>
          <w:smallCaps w:val="false"/>
        </w:rPr>
      </w:pPr>
      <w:r>
        <w:rPr>
          <w:caps w:val="false"/>
          <w:smallCaps w:val="false"/>
        </w:rPr>
        <w:t> </w:t>
      </w:r>
    </w:p>
    <w:p>
      <w:pPr>
        <w:pStyle w:val="TextBody"/>
        <w:bidi w:val="0"/>
        <w:spacing w:before="0" w:after="0"/>
        <w:ind w:left="0" w:right="0" w:firstLine="73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approved and executed this Agreement as of the date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4564" w:type="dxa"/>
        <w:jc w:val="left"/>
        <w:tblInd w:w="0" w:type="dxa"/>
        <w:tblLayout w:type="fixed"/>
        <w:tblCellMar>
          <w:top w:w="0" w:type="dxa"/>
          <w:left w:w="0" w:type="dxa"/>
          <w:bottom w:w="0" w:type="dxa"/>
          <w:right w:w="0" w:type="dxa"/>
        </w:tblCellMar>
      </w:tblPr>
      <w:tblGrid>
        <w:gridCol w:w="1321"/>
        <w:gridCol w:w="3168"/>
        <w:gridCol w:w="75"/>
      </w:tblGrid>
      <w:tr>
        <w:trPr/>
        <w:tc>
          <w:tcPr>
            <w:tcW w:w="4489" w:type="dxa"/>
            <w:gridSpan w:val="2"/>
            <w:tcBorders/>
            <w:vAlign w:val="center"/>
          </w:tcPr>
          <w:p>
            <w:pPr>
              <w:pStyle w:val="TableContents"/>
              <w:bidi w:val="0"/>
              <w:spacing w:before="0" w:after="283"/>
              <w:jc w:val="left"/>
              <w:rPr/>
            </w:pPr>
            <w:r>
              <w:rPr>
                <w:b/>
                <w:u w:val="single"/>
              </w:rPr>
              <w:t>LENDER</w:t>
            </w:r>
            <w:r>
              <w:rPr/>
              <w:t>:</w:t>
            </w:r>
          </w:p>
        </w:tc>
        <w:tc>
          <w:tcPr>
            <w:tcW w:w="75" w:type="dxa"/>
            <w:tcBorders/>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left"/>
              <w:rPr/>
            </w:pPr>
            <w:r>
              <w:rPr/>
              <w:t> </w:t>
            </w:r>
          </w:p>
        </w:tc>
        <w:tc>
          <w:tcPr>
            <w:tcW w:w="31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89" w:type="dxa"/>
            <w:gridSpan w:val="2"/>
            <w:tcBorders/>
            <w:vAlign w:val="center"/>
          </w:tcPr>
          <w:p>
            <w:pPr>
              <w:pStyle w:val="TableContents"/>
              <w:bidi w:val="0"/>
              <w:spacing w:before="0" w:after="283"/>
              <w:jc w:val="both"/>
              <w:rPr/>
            </w:pPr>
            <w:r>
              <w:rPr/>
              <w:t>BESS VENTURES AND ADVISORY, LLC</w:t>
            </w:r>
          </w:p>
        </w:tc>
        <w:tc>
          <w:tcPr>
            <w:tcW w:w="75" w:type="dxa"/>
            <w:tcBorders/>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both"/>
              <w:rPr/>
            </w:pPr>
            <w:r>
              <w:rPr/>
              <w:t> </w:t>
            </w:r>
          </w:p>
        </w:tc>
        <w:tc>
          <w:tcPr>
            <w:tcW w:w="3168"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both"/>
              <w:rPr/>
            </w:pPr>
            <w:r>
              <w:rPr/>
              <w:t>By:</w:t>
            </w:r>
          </w:p>
        </w:tc>
        <w:tc>
          <w:tcPr>
            <w:tcW w:w="3168" w:type="dxa"/>
            <w:tcBorders>
              <w:bottom w:val="single" w:sz="12" w:space="0" w:color="000000"/>
            </w:tcBorders>
            <w:tcMar>
              <w:bottom w:w="28" w:type="dxa"/>
            </w:tcMar>
            <w:vAlign w:val="center"/>
          </w:tcPr>
          <w:p>
            <w:pPr>
              <w:pStyle w:val="TableContents"/>
              <w:bidi w:val="0"/>
              <w:spacing w:before="0" w:after="283"/>
              <w:jc w:val="both"/>
              <w:rPr/>
            </w:pPr>
            <w:r>
              <w:rPr/>
              <w:t>/s/ Lane Bess</w:t>
            </w:r>
          </w:p>
        </w:tc>
        <w:tc>
          <w:tcPr>
            <w:tcW w:w="75" w:type="dxa"/>
            <w:tcBorders/>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both"/>
              <w:rPr/>
            </w:pPr>
            <w:r>
              <w:rPr/>
              <w:t>Name:</w:t>
            </w:r>
          </w:p>
        </w:tc>
        <w:tc>
          <w:tcPr>
            <w:tcW w:w="3168" w:type="dxa"/>
            <w:tcBorders/>
            <w:vAlign w:val="center"/>
          </w:tcPr>
          <w:p>
            <w:pPr>
              <w:pStyle w:val="TableContents"/>
              <w:bidi w:val="0"/>
              <w:spacing w:before="0" w:after="283"/>
              <w:jc w:val="both"/>
              <w:rPr/>
            </w:pPr>
            <w:r>
              <w:rPr/>
              <w:t>Lane Bess</w:t>
            </w:r>
          </w:p>
        </w:tc>
        <w:tc>
          <w:tcPr>
            <w:tcW w:w="75" w:type="dxa"/>
            <w:tcBorders/>
            <w:vAlign w:val="center"/>
          </w:tcPr>
          <w:p>
            <w:pPr>
              <w:pStyle w:val="TableContents"/>
              <w:bidi w:val="0"/>
              <w:spacing w:before="0" w:after="283"/>
              <w:jc w:val="left"/>
              <w:rPr/>
            </w:pPr>
            <w:r>
              <w:rPr/>
              <w:t> </w:t>
            </w:r>
          </w:p>
        </w:tc>
      </w:tr>
      <w:tr>
        <w:trPr/>
        <w:tc>
          <w:tcPr>
            <w:tcW w:w="1321" w:type="dxa"/>
            <w:tcBorders/>
            <w:vAlign w:val="center"/>
          </w:tcPr>
          <w:p>
            <w:pPr>
              <w:pStyle w:val="TableContents"/>
              <w:bidi w:val="0"/>
              <w:spacing w:before="0" w:after="283"/>
              <w:jc w:val="both"/>
              <w:rPr/>
            </w:pPr>
            <w:r>
              <w:rPr/>
              <w:t>Title:</w:t>
            </w:r>
          </w:p>
        </w:tc>
        <w:tc>
          <w:tcPr>
            <w:tcW w:w="3168" w:type="dxa"/>
            <w:tcBorders/>
            <w:vAlign w:val="center"/>
          </w:tcPr>
          <w:p>
            <w:pPr>
              <w:pStyle w:val="TableContents"/>
              <w:bidi w:val="0"/>
              <w:spacing w:before="0" w:after="283"/>
              <w:jc w:val="both"/>
              <w:rPr/>
            </w:pPr>
            <w:r>
              <w:rPr/>
              <w:t>Owner-Manager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Continue On Following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25"/>
        <w:gridCol w:w="1835"/>
        <w:gridCol w:w="75"/>
      </w:tblGrid>
      <w:tr>
        <w:trPr/>
        <w:tc>
          <w:tcPr>
            <w:tcW w:w="2560" w:type="dxa"/>
            <w:gridSpan w:val="2"/>
            <w:tcBorders/>
            <w:vAlign w:val="center"/>
          </w:tcPr>
          <w:p>
            <w:pPr>
              <w:pStyle w:val="TableContents"/>
              <w:bidi w:val="0"/>
              <w:spacing w:before="0" w:after="283"/>
              <w:jc w:val="left"/>
              <w:rPr/>
            </w:pPr>
            <w:r>
              <w:rPr>
                <w:b/>
                <w:u w:val="single"/>
              </w:rPr>
              <w:t>BORROWER</w:t>
            </w:r>
            <w:r>
              <w:rPr/>
              <w:t>:</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60" w:type="dxa"/>
            <w:gridSpan w:val="2"/>
            <w:tcBorders/>
            <w:vAlign w:val="center"/>
          </w:tcPr>
          <w:p>
            <w:pPr>
              <w:pStyle w:val="TableContents"/>
              <w:bidi w:val="0"/>
              <w:spacing w:before="0" w:after="283"/>
              <w:jc w:val="both"/>
              <w:rPr/>
            </w:pPr>
            <w:r>
              <w:rPr/>
              <w:t>BURTECH LP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pPr>
            <w:r>
              <w:rPr/>
              <w:t> </w:t>
            </w:r>
          </w:p>
        </w:tc>
        <w:tc>
          <w:tcPr>
            <w:tcW w:w="183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pPr>
            <w:r>
              <w:rPr/>
              <w:t xml:space="preserve">By: </w:t>
            </w:r>
          </w:p>
        </w:tc>
        <w:tc>
          <w:tcPr>
            <w:tcW w:w="1835" w:type="dxa"/>
            <w:tcBorders>
              <w:bottom w:val="single" w:sz="12" w:space="0" w:color="000000"/>
            </w:tcBorders>
            <w:tcMar>
              <w:bottom w:w="28" w:type="dxa"/>
            </w:tcMar>
            <w:vAlign w:val="center"/>
          </w:tcPr>
          <w:p>
            <w:pPr>
              <w:pStyle w:val="TableContents"/>
              <w:bidi w:val="0"/>
              <w:spacing w:before="0" w:after="283"/>
              <w:jc w:val="both"/>
              <w:rPr/>
            </w:pPr>
            <w:r>
              <w:rPr/>
              <w:t>/s/ Shahal Khan</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pPr>
            <w:r>
              <w:rPr/>
              <w:t>Name: </w:t>
            </w:r>
          </w:p>
        </w:tc>
        <w:tc>
          <w:tcPr>
            <w:tcW w:w="1835" w:type="dxa"/>
            <w:tcBorders/>
            <w:vAlign w:val="center"/>
          </w:tcPr>
          <w:p>
            <w:pPr>
              <w:pStyle w:val="TableContents"/>
              <w:bidi w:val="0"/>
              <w:spacing w:before="0" w:after="283"/>
              <w:jc w:val="both"/>
              <w:rPr/>
            </w:pPr>
            <w:r>
              <w:rPr/>
              <w:t>Shahal Khan</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both"/>
              <w:rPr/>
            </w:pPr>
            <w:r>
              <w:rPr/>
              <w:t>Title:</w:t>
            </w:r>
          </w:p>
        </w:tc>
        <w:tc>
          <w:tcPr>
            <w:tcW w:w="1835" w:type="dxa"/>
            <w:tcBorders/>
            <w:vAlign w:val="center"/>
          </w:tcPr>
          <w:p>
            <w:pPr>
              <w:pStyle w:val="TableContents"/>
              <w:bidi w:val="0"/>
              <w:spacing w:before="0" w:after="283"/>
              <w:jc w:val="both"/>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50" w:type="dxa"/>
        <w:jc w:val="left"/>
        <w:tblInd w:w="0" w:type="dxa"/>
        <w:tblLayout w:type="fixed"/>
        <w:tblCellMar>
          <w:top w:w="0" w:type="dxa"/>
          <w:left w:w="0" w:type="dxa"/>
          <w:bottom w:w="0" w:type="dxa"/>
          <w:right w:w="0" w:type="dxa"/>
        </w:tblCellMar>
      </w:tblPr>
      <w:tblGrid>
        <w:gridCol w:w="275"/>
        <w:gridCol w:w="2675"/>
      </w:tblGrid>
      <w:tr>
        <w:trPr/>
        <w:tc>
          <w:tcPr>
            <w:tcW w:w="275"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Space for Medallion Stamp:</w:t>
            </w:r>
          </w:p>
        </w:tc>
      </w:tr>
    </w:tbl>
    <w:p>
      <w:pPr>
        <w:pStyle w:val="TextBody"/>
        <w:bidi w:val="0"/>
        <w:spacing w:before="0" w:after="283"/>
        <w:jc w:val="left"/>
        <w:rPr/>
      </w:pPr>
      <w:r>
        <w:rPr/>
        <w:t> </w:t>
      </w:r>
    </w:p>
    <w:tbl>
      <w:tblPr>
        <w:tblW w:w="2575" w:type="dxa"/>
        <w:jc w:val="left"/>
        <w:tblInd w:w="0" w:type="dxa"/>
        <w:tblLayout w:type="fixed"/>
        <w:tblCellMar>
          <w:top w:w="0" w:type="dxa"/>
          <w:left w:w="0" w:type="dxa"/>
          <w:bottom w:w="0" w:type="dxa"/>
          <w:right w:w="0" w:type="dxa"/>
        </w:tblCellMar>
      </w:tblPr>
      <w:tblGrid>
        <w:gridCol w:w="665"/>
        <w:gridCol w:w="1835"/>
        <w:gridCol w:w="75"/>
      </w:tblGrid>
      <w:tr>
        <w:trPr/>
        <w:tc>
          <w:tcPr>
            <w:tcW w:w="2500" w:type="dxa"/>
            <w:gridSpan w:val="2"/>
            <w:tcBorders/>
            <w:vAlign w:val="center"/>
          </w:tcPr>
          <w:p>
            <w:pPr>
              <w:pStyle w:val="TableContents"/>
              <w:bidi w:val="0"/>
              <w:spacing w:before="0" w:after="283"/>
              <w:jc w:val="left"/>
              <w:rPr/>
            </w:pPr>
            <w:r>
              <w:rPr>
                <w:b/>
                <w:u w:val="single"/>
              </w:rPr>
              <w:t>GUARANTOR</w:t>
            </w:r>
            <w:r>
              <w:rPr>
                <w:strike w:val="false"/>
                <w:dstrike w:val="false"/>
                <w:u w:val="none"/>
                <w:effect w:val="none"/>
              </w:rPr>
              <w:t>:</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00" w:type="dxa"/>
            <w:gridSpan w:val="2"/>
            <w:tcBorders/>
            <w:vAlign w:val="center"/>
          </w:tcPr>
          <w:p>
            <w:pPr>
              <w:pStyle w:val="TableContents"/>
              <w:bidi w:val="0"/>
              <w:spacing w:before="0" w:after="283"/>
              <w:jc w:val="both"/>
              <w:rPr/>
            </w:pPr>
            <w:r>
              <w:rPr/>
              <w:t>BURKHAN LLC</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 </w:t>
            </w:r>
          </w:p>
        </w:tc>
        <w:tc>
          <w:tcPr>
            <w:tcW w:w="183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 xml:space="preserve">By: </w:t>
            </w:r>
          </w:p>
        </w:tc>
        <w:tc>
          <w:tcPr>
            <w:tcW w:w="1835" w:type="dxa"/>
            <w:tcBorders>
              <w:bottom w:val="single" w:sz="12" w:space="0" w:color="000000"/>
            </w:tcBorders>
            <w:tcMar>
              <w:bottom w:w="28" w:type="dxa"/>
            </w:tcMar>
            <w:vAlign w:val="center"/>
          </w:tcPr>
          <w:p>
            <w:pPr>
              <w:pStyle w:val="TableContents"/>
              <w:bidi w:val="0"/>
              <w:spacing w:before="0" w:after="283"/>
              <w:jc w:val="both"/>
              <w:rPr/>
            </w:pPr>
            <w:r>
              <w:rPr/>
              <w:t>/s/ Shahal Khan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Name:</w:t>
            </w:r>
          </w:p>
        </w:tc>
        <w:tc>
          <w:tcPr>
            <w:tcW w:w="1835" w:type="dxa"/>
            <w:tcBorders/>
            <w:vAlign w:val="center"/>
          </w:tcPr>
          <w:p>
            <w:pPr>
              <w:pStyle w:val="TableContents"/>
              <w:bidi w:val="0"/>
              <w:spacing w:before="0" w:after="283"/>
              <w:jc w:val="both"/>
              <w:rPr/>
            </w:pPr>
            <w:r>
              <w:rPr/>
              <w:t>Shahal Khan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Title:</w:t>
            </w:r>
          </w:p>
        </w:tc>
        <w:tc>
          <w:tcPr>
            <w:tcW w:w="1835" w:type="dxa"/>
            <w:tcBorders/>
            <w:vAlign w:val="center"/>
          </w:tcPr>
          <w:p>
            <w:pPr>
              <w:pStyle w:val="TableContents"/>
              <w:bidi w:val="0"/>
              <w:spacing w:before="0" w:after="283"/>
              <w:jc w:val="both"/>
              <w:rPr/>
            </w:pPr>
            <w:r>
              <w:rPr/>
              <w:t>Managing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50" w:type="dxa"/>
        <w:jc w:val="left"/>
        <w:tblInd w:w="0" w:type="dxa"/>
        <w:tblLayout w:type="fixed"/>
        <w:tblCellMar>
          <w:top w:w="0" w:type="dxa"/>
          <w:left w:w="0" w:type="dxa"/>
          <w:bottom w:w="0" w:type="dxa"/>
          <w:right w:w="0" w:type="dxa"/>
        </w:tblCellMar>
      </w:tblPr>
      <w:tblGrid>
        <w:gridCol w:w="275"/>
        <w:gridCol w:w="2675"/>
      </w:tblGrid>
      <w:tr>
        <w:trPr/>
        <w:tc>
          <w:tcPr>
            <w:tcW w:w="275"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pPr>
            <w:r>
              <w:rPr/>
              <w:t>Space for Medallion Stamp: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[End of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11567</Words>
  <Characters>61268</Characters>
  <CharactersWithSpaces>72746</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