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23, 2021 (December 15,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BURTECH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001-41139</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86-2708752</w:t>
            </w:r>
          </w:p>
        </w:tc>
      </w:tr>
      <w:tr>
        <w:trPr>
          <w:trHeight w:val="202"/>
        </w:trPr>
        <w:tc>
          <w:tcPr>
            <w:tcW w:w="3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of incorporation)</w:t>
            </w:r>
          </w:p>
        </w:tc>
        <w:tc>
          <w:tcPr>
            <w:tcW w:w="37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Washington, DC 20004 </w:t>
      </w: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 600-5757Registrant’s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560" w:lineRule="auto"/>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940" w:type="dxa"/>
            <w:vAlign w:val="bottom"/>
            <w:gridSpan w:val="2"/>
          </w:tcPr>
          <w:p>
            <w:pPr>
              <w:ind w:left="1240"/>
              <w:spacing w:after="0"/>
              <w:rPr>
                <w:sz w:val="20"/>
                <w:szCs w:val="20"/>
                <w:color w:val="auto"/>
              </w:rPr>
            </w:pPr>
            <w:r>
              <w:rPr>
                <w:rFonts w:ascii="Arial" w:cs="Arial" w:eastAsia="Arial" w:hAnsi="Arial"/>
                <w:sz w:val="18"/>
                <w:szCs w:val="18"/>
                <w:b w:val="1"/>
                <w:bCs w:val="1"/>
                <w:color w:val="auto"/>
              </w:rPr>
              <w:t>Title of each class</w:t>
            </w:r>
          </w:p>
        </w:tc>
        <w:tc>
          <w:tcPr>
            <w:tcW w:w="3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195"/>
        </w:trPr>
        <w:tc>
          <w:tcPr>
            <w:tcW w:w="3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Units, each consisting of one share of Class A</w:t>
            </w:r>
          </w:p>
        </w:tc>
        <w:tc>
          <w:tcPr>
            <w:tcW w:w="1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BRKHU</w:t>
            </w:r>
          </w:p>
        </w:tc>
        <w:tc>
          <w:tcPr>
            <w:tcW w:w="10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and one Redeemable Warrant to</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purchase one share of Class A common stock for</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$11.50 per share</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Class A Common Stock, par value $0.0001 per share</w:t>
            </w:r>
          </w:p>
        </w:tc>
        <w:tc>
          <w:tcPr>
            <w:tcW w:w="3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BRKH</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Warrants, each exercisable for one share of Common</w:t>
            </w:r>
          </w:p>
        </w:tc>
        <w:tc>
          <w:tcPr>
            <w:tcW w:w="36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8"/>
              </w:rPr>
              <w:t>BRKHW</w:t>
            </w:r>
          </w:p>
        </w:tc>
        <w:tc>
          <w:tcPr>
            <w:tcW w:w="3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for $11.50 per share</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December 15, 2021, BurTech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consummated its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of 25,000,000 units (the “</w:t>
      </w:r>
      <w:r>
        <w:rPr>
          <w:rFonts w:ascii="Arial" w:cs="Arial" w:eastAsia="Arial" w:hAnsi="Arial"/>
          <w:sz w:val="18"/>
          <w:szCs w:val="18"/>
          <w:b w:val="1"/>
          <w:bCs w:val="1"/>
          <w:color w:val="auto"/>
        </w:rPr>
        <w:t>Units</w:t>
      </w:r>
      <w:r>
        <w:rPr>
          <w:rFonts w:ascii="Arial" w:cs="Arial" w:eastAsia="Arial" w:hAnsi="Arial"/>
          <w:sz w:val="18"/>
          <w:szCs w:val="18"/>
          <w:color w:val="auto"/>
        </w:rPr>
        <w:t>”). Each Unit consists of one share of Class A common stock of the Company, par value $0.0001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one redeemable warrant of the Company (“</w:t>
      </w:r>
      <w:r>
        <w:rPr>
          <w:rFonts w:ascii="Arial" w:cs="Arial" w:eastAsia="Arial" w:hAnsi="Arial"/>
          <w:sz w:val="18"/>
          <w:szCs w:val="18"/>
          <w:b w:val="1"/>
          <w:bCs w:val="1"/>
          <w:color w:val="auto"/>
        </w:rPr>
        <w:t>Warrant</w:t>
      </w:r>
      <w:r>
        <w:rPr>
          <w:rFonts w:ascii="Arial" w:cs="Arial" w:eastAsia="Arial" w:hAnsi="Arial"/>
          <w:sz w:val="18"/>
          <w:szCs w:val="18"/>
          <w:color w:val="auto"/>
        </w:rPr>
        <w:t>”), with each Warrant entitling the holder thereof to purchase one share of Common Stock for $11.50 per share. The Units were sold at a price of $10.00 per Unit, generating gross proceeds to the Company of $250,000,000. On December 15, 2021, the underwriters exercised their option to purchase an additional 3,750,000 Units solely to cover over-allotments, generating additional proceeds to the Company of $37,500,000.</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December 15, 2021, simultaneously with the consummation of the IPO, the Company completed the private sale (the “</w:t>
      </w:r>
      <w:r>
        <w:rPr>
          <w:rFonts w:ascii="Arial" w:cs="Arial" w:eastAsia="Arial" w:hAnsi="Arial"/>
          <w:sz w:val="18"/>
          <w:szCs w:val="18"/>
          <w:b w:val="1"/>
          <w:bCs w:val="1"/>
          <w:color w:val="auto"/>
        </w:rPr>
        <w:t>Private Placement</w:t>
      </w:r>
      <w:r>
        <w:rPr>
          <w:rFonts w:ascii="Arial" w:cs="Arial" w:eastAsia="Arial" w:hAnsi="Arial"/>
          <w:sz w:val="18"/>
          <w:szCs w:val="18"/>
          <w:color w:val="auto"/>
        </w:rPr>
        <w:t>”) of 804,500 units (the “</w:t>
      </w:r>
      <w:r>
        <w:rPr>
          <w:rFonts w:ascii="Arial" w:cs="Arial" w:eastAsia="Arial" w:hAnsi="Arial"/>
          <w:sz w:val="18"/>
          <w:szCs w:val="18"/>
          <w:b w:val="1"/>
          <w:bCs w:val="1"/>
          <w:color w:val="auto"/>
        </w:rPr>
        <w:t>Placement Units</w:t>
      </w:r>
      <w:r>
        <w:rPr>
          <w:rFonts w:ascii="Arial" w:cs="Arial" w:eastAsia="Arial" w:hAnsi="Arial"/>
          <w:sz w:val="18"/>
          <w:szCs w:val="18"/>
          <w:color w:val="auto"/>
        </w:rPr>
        <w:t>”) to BurTech LP, LLC, the Company’s sponsor (the “</w:t>
      </w:r>
      <w:r>
        <w:rPr>
          <w:rFonts w:ascii="Arial" w:cs="Arial" w:eastAsia="Arial" w:hAnsi="Arial"/>
          <w:sz w:val="18"/>
          <w:szCs w:val="18"/>
          <w:b w:val="1"/>
          <w:bCs w:val="1"/>
          <w:color w:val="auto"/>
        </w:rPr>
        <w:t>Sponsor</w:t>
      </w:r>
      <w:r>
        <w:rPr>
          <w:rFonts w:ascii="Arial" w:cs="Arial" w:eastAsia="Arial" w:hAnsi="Arial"/>
          <w:sz w:val="18"/>
          <w:szCs w:val="18"/>
          <w:color w:val="auto"/>
        </w:rPr>
        <w:t>”) at a purchase price of $10.00 per Placement Unit, generating gross proceeds to the Company of $8,045,000. On December 15, 2021, the Sponsor purchased an additional 93,750 Placement Units when the underwriter exercised their over-allotment option, generating additional proceeds of $937,500.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15, 2021, a total of $291,812,500, comprised of $282,830,000 of the proceeds from the IPO (which amount includes $10,062,500 of the underwriters’ deferred discount) and $8,982,500 of the proceeds of the sale of the Private Placement Units, was placed in a U.S.-based trust account maintained by Continental Stock Transfer &amp; Trust Company, acting as trustee.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 audited balance sheet as of December 15, 2021 reflecting the receipt of the proceeds upon the consummation of the IPO and the Private Placement has been issued by the Company and is included as Exhibit 99.1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3580" w:type="dxa"/>
            <w:vAlign w:val="bottom"/>
          </w:tcPr>
          <w:p>
            <w:pPr>
              <w:spacing w:after="0"/>
              <w:rPr>
                <w:sz w:val="20"/>
                <w:szCs w:val="20"/>
                <w:color w:val="auto"/>
              </w:rPr>
            </w:pPr>
          </w:p>
        </w:tc>
        <w:tc>
          <w:tcPr>
            <w:tcW w:w="6300" w:type="dxa"/>
            <w:vAlign w:val="bottom"/>
          </w:tcPr>
          <w:p>
            <w:pPr>
              <w:ind w:left="94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Borders>
              <w:top w:val="single" w:sz="8" w:color="auto"/>
            </w:tcBorders>
          </w:tcPr>
          <w:p>
            <w:pPr>
              <w:spacing w:after="0"/>
              <w:rPr>
                <w:sz w:val="18"/>
                <w:szCs w:val="18"/>
                <w:color w:val="auto"/>
              </w:rPr>
            </w:pPr>
          </w:p>
        </w:tc>
        <w:tc>
          <w:tcPr>
            <w:tcW w:w="6300" w:type="dxa"/>
            <w:vAlign w:val="bottom"/>
            <w:tcBorders>
              <w:top w:val="single" w:sz="8" w:color="auto"/>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shd w:val="clear" w:color="auto" w:fill="CCEEFF"/>
          </w:tcPr>
          <w:p>
            <w:pPr>
              <w:spacing w:after="0"/>
              <w:rPr>
                <w:sz w:val="17"/>
                <w:szCs w:val="17"/>
                <w:color w:val="auto"/>
              </w:rPr>
            </w:pP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Audited Balance Sheet as of December 15, 2021.</w:t>
              </w:r>
            </w:hyperlink>
          </w:p>
        </w:tc>
      </w:tr>
      <w:tr>
        <w:trPr>
          <w:trHeight w:val="675"/>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580" w:type="dxa"/>
            <w:vAlign w:val="bottom"/>
            <w:tcBorders>
              <w:top w:val="single" w:sz="8" w:color="0000EE"/>
              <w:bottom w:val="single" w:sz="8" w:color="auto"/>
            </w:tcBorders>
          </w:tcPr>
          <w:p>
            <w:pPr>
              <w:spacing w:after="0"/>
              <w:rPr>
                <w:sz w:val="24"/>
                <w:szCs w:val="24"/>
                <w:color w:val="auto"/>
              </w:rPr>
            </w:pPr>
          </w:p>
        </w:tc>
        <w:tc>
          <w:tcPr>
            <w:tcW w:w="63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10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2"/>
                <w:szCs w:val="22"/>
                <w:b w:val="1"/>
                <w:bCs w:val="1"/>
                <w:color w:val="auto"/>
                <w:w w:val="91"/>
              </w:rPr>
              <w:t>Exhibit 99.1</w:t>
            </w:r>
          </w:p>
        </w:tc>
      </w:tr>
      <w:tr>
        <w:trPr>
          <w:trHeight w:val="431"/>
        </w:trPr>
        <w:tc>
          <w:tcPr>
            <w:tcW w:w="10120" w:type="dxa"/>
            <w:vAlign w:val="bottom"/>
          </w:tcPr>
          <w:p>
            <w:pPr>
              <w:jc w:val="center"/>
              <w:ind w:left="1050"/>
              <w:spacing w:after="0"/>
              <w:rPr>
                <w:sz w:val="20"/>
                <w:szCs w:val="20"/>
                <w:color w:val="auto"/>
              </w:rPr>
            </w:pPr>
            <w:r>
              <w:rPr>
                <w:rFonts w:ascii="Arial" w:cs="Arial" w:eastAsia="Arial" w:hAnsi="Arial"/>
                <w:sz w:val="18"/>
                <w:szCs w:val="18"/>
                <w:b w:val="1"/>
                <w:bCs w:val="1"/>
                <w:color w:val="auto"/>
              </w:rPr>
              <w:t>BURTECH ACQUISITION CORP.</w:t>
            </w:r>
          </w:p>
        </w:tc>
        <w:tc>
          <w:tcPr>
            <w:tcW w:w="1120" w:type="dxa"/>
            <w:vAlign w:val="bottom"/>
          </w:tcPr>
          <w:p>
            <w:pPr>
              <w:spacing w:after="0"/>
              <w:rPr>
                <w:sz w:val="24"/>
                <w:szCs w:val="24"/>
                <w:color w:val="auto"/>
              </w:rPr>
            </w:pPr>
          </w:p>
        </w:tc>
      </w:tr>
      <w:tr>
        <w:trPr>
          <w:trHeight w:val="234"/>
        </w:trPr>
        <w:tc>
          <w:tcPr>
            <w:tcW w:w="10120" w:type="dxa"/>
            <w:vAlign w:val="bottom"/>
          </w:tcPr>
          <w:p>
            <w:pPr>
              <w:jc w:val="center"/>
              <w:ind w:left="1050"/>
              <w:spacing w:after="0"/>
              <w:rPr>
                <w:sz w:val="20"/>
                <w:szCs w:val="20"/>
                <w:color w:val="auto"/>
              </w:rPr>
            </w:pPr>
            <w:r>
              <w:rPr>
                <w:rFonts w:ascii="Arial" w:cs="Arial" w:eastAsia="Arial" w:hAnsi="Arial"/>
                <w:sz w:val="18"/>
                <w:szCs w:val="18"/>
                <w:b w:val="1"/>
                <w:bCs w:val="1"/>
                <w:color w:val="auto"/>
              </w:rPr>
              <w:t>INDEX TO FINANCIAL STATEMENT</w:t>
            </w:r>
          </w:p>
        </w:tc>
        <w:tc>
          <w:tcPr>
            <w:tcW w:w="1120" w:type="dxa"/>
            <w:vAlign w:val="bottom"/>
          </w:tcPr>
          <w:p>
            <w:pPr>
              <w:spacing w:after="0"/>
              <w:rPr>
                <w:sz w:val="20"/>
                <w:szCs w:val="20"/>
                <w:color w:val="auto"/>
              </w:rPr>
            </w:pPr>
          </w:p>
        </w:tc>
      </w:tr>
      <w:tr>
        <w:trPr>
          <w:trHeight w:val="445"/>
        </w:trPr>
        <w:tc>
          <w:tcPr>
            <w:tcW w:w="10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0"/>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Financial Statement:</w:t>
            </w:r>
          </w:p>
        </w:tc>
        <w:tc>
          <w:tcPr>
            <w:tcW w:w="1120" w:type="dxa"/>
            <w:vAlign w:val="bottom"/>
          </w:tcPr>
          <w:p>
            <w:pPr>
              <w:spacing w:after="0"/>
              <w:rPr>
                <w:sz w:val="18"/>
                <w:szCs w:val="18"/>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Balance Sheet as of December 15, 2021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F-3</w:t>
            </w:r>
          </w:p>
        </w:tc>
      </w:tr>
      <w:tr>
        <w:trPr>
          <w:trHeight w:val="230"/>
        </w:trPr>
        <w:tc>
          <w:tcPr>
            <w:tcW w:w="10120" w:type="dxa"/>
            <w:vAlign w:val="bottom"/>
          </w:tcPr>
          <w:p>
            <w:pPr>
              <w:spacing w:after="0"/>
              <w:rPr>
                <w:sz w:val="20"/>
                <w:szCs w:val="20"/>
                <w:color w:val="auto"/>
              </w:rPr>
            </w:pPr>
            <w:r>
              <w:rPr>
                <w:rFonts w:ascii="Arial" w:cs="Arial" w:eastAsia="Arial" w:hAnsi="Arial"/>
                <w:sz w:val="18"/>
                <w:szCs w:val="18"/>
                <w:color w:val="auto"/>
              </w:rPr>
              <w:t>Notes to Financial Statement</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634"/>
        </w:trPr>
        <w:tc>
          <w:tcPr>
            <w:tcW w:w="10120" w:type="dxa"/>
            <w:vAlign w:val="bottom"/>
            <w:tcBorders>
              <w:bottom w:val="single" w:sz="8" w:color="auto"/>
            </w:tcBorders>
          </w:tcPr>
          <w:p>
            <w:pPr>
              <w:jc w:val="center"/>
              <w:ind w:left="1030"/>
              <w:spacing w:after="0"/>
              <w:rPr>
                <w:sz w:val="20"/>
                <w:szCs w:val="20"/>
                <w:color w:val="auto"/>
              </w:rPr>
            </w:pPr>
            <w:r>
              <w:rPr>
                <w:rFonts w:ascii="Arial" w:cs="Arial" w:eastAsia="Arial" w:hAnsi="Arial"/>
                <w:sz w:val="18"/>
                <w:szCs w:val="18"/>
                <w:color w:val="auto"/>
                <w:w w:val="88"/>
              </w:rPr>
              <w:t>F-1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balance sheet of BurTech Acquisition Corp. (the “Company”) as of December 15, 2021, and the related notes (collectively referred to as the “financial statement”). In our opinion, the financial statement presents fairly, in all material respects, the financial position of the Company as of December 15, 2021,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23, 2021</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w:t>
      </w:r>
    </w:p>
    <w:p>
      <w:pPr>
        <w:spacing w:after="0" w:line="220"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u w:val="single" w:color="auto"/>
          <w:color w:val="auto"/>
        </w:rPr>
        <w:t>December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Other Assets,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Cash held in Trust Account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740" w:hanging="733"/>
        <w:spacing w:after="0"/>
        <w:tabs>
          <w:tab w:leader="none" w:pos="740" w:val="left"/>
        </w:tabs>
        <w:numPr>
          <w:ilvl w:val="0"/>
          <w:numId w:val="2"/>
        </w:numPr>
        <w:rPr>
          <w:rFonts w:ascii="Arial" w:cs="Arial" w:eastAsia="Arial" w:hAnsi="Arial"/>
          <w:sz w:val="16"/>
          <w:szCs w:val="16"/>
          <w:color w:val="auto"/>
        </w:rPr>
      </w:pPr>
      <w:r>
        <w:rPr>
          <w:rFonts w:ascii="Arial" w:cs="Arial" w:eastAsia="Arial" w:hAnsi="Arial"/>
          <w:sz w:val="16"/>
          <w:szCs w:val="16"/>
          <w:color w:val="auto"/>
        </w:rPr>
        <w:t>1,539,541</w:t>
      </w:r>
    </w:p>
    <w:p>
      <w:pPr>
        <w:spacing w:after="0" w:line="46"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346,877</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1,886,418</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74,538</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291,812,500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916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38" w:lineRule="exact"/>
        <w:rPr>
          <w:sz w:val="20"/>
          <w:szCs w:val="20"/>
          <w:color w:val="auto"/>
        </w:rPr>
      </w:pPr>
    </w:p>
    <w:p>
      <w:pPr>
        <w:ind w:left="560" w:hanging="553"/>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293,773,456</w:t>
      </w:r>
    </w:p>
    <w:p>
      <w:pPr>
        <w:spacing w:after="0" w:line="46" w:lineRule="exact"/>
        <w:rPr>
          <w:sz w:val="20"/>
          <w:szCs w:val="20"/>
          <w:color w:val="auto"/>
        </w:rPr>
      </w:pPr>
    </w:p>
    <w:p>
      <w:pPr>
        <w:sectPr>
          <w:pgSz w:w="11900" w:h="16838" w:orient="portrait"/>
          <w:cols w:equalWidth="0" w:num="2">
            <w:col w:w="8960" w:space="720"/>
            <w:col w:w="15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96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Accrued offering costs and expenses</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521,560</w:t>
            </w: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 Related Party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144,746</w:t>
            </w:r>
          </w:p>
        </w:tc>
        <w:tc>
          <w:tcPr>
            <w:tcW w:w="80" w:type="dxa"/>
            <w:vAlign w:val="bottom"/>
            <w:shd w:val="clear" w:color="auto" w:fill="CCEEFF"/>
          </w:tcPr>
          <w:p>
            <w:pPr>
              <w:spacing w:after="0"/>
              <w:rPr>
                <w:sz w:val="18"/>
                <w:szCs w:val="18"/>
                <w:color w:val="auto"/>
              </w:rPr>
            </w:pPr>
          </w:p>
        </w:tc>
      </w:tr>
      <w:tr>
        <w:trPr>
          <w:trHeight w:val="229"/>
        </w:trPr>
        <w:tc>
          <w:tcPr>
            <w:tcW w:w="9680" w:type="dxa"/>
            <w:vAlign w:val="bottom"/>
          </w:tcPr>
          <w:p>
            <w:pPr>
              <w:spacing w:after="0"/>
              <w:rPr>
                <w:sz w:val="20"/>
                <w:szCs w:val="20"/>
                <w:color w:val="auto"/>
              </w:rPr>
            </w:pPr>
            <w:r>
              <w:rPr>
                <w:rFonts w:ascii="Arial" w:cs="Arial" w:eastAsia="Arial" w:hAnsi="Arial"/>
                <w:sz w:val="18"/>
                <w:szCs w:val="18"/>
                <w:color w:val="auto"/>
              </w:rPr>
              <w:t>Due to related party</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1,936</w:t>
            </w:r>
          </w:p>
        </w:tc>
        <w:tc>
          <w:tcPr>
            <w:tcW w:w="80" w:type="dxa"/>
            <w:vAlign w:val="bottom"/>
          </w:tcPr>
          <w:p>
            <w:pPr>
              <w:spacing w:after="0"/>
              <w:rPr>
                <w:sz w:val="19"/>
                <w:szCs w:val="19"/>
                <w:color w:val="auto"/>
              </w:rPr>
            </w:pPr>
          </w:p>
        </w:tc>
      </w:tr>
      <w:tr>
        <w:trPr>
          <w:trHeight w:val="210"/>
        </w:trPr>
        <w:tc>
          <w:tcPr>
            <w:tcW w:w="9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10,062,500</w:t>
            </w:r>
          </w:p>
        </w:tc>
      </w:tr>
      <w:tr>
        <w:trPr>
          <w:trHeight w:val="210"/>
        </w:trPr>
        <w:tc>
          <w:tcPr>
            <w:tcW w:w="9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10,730,742</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9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 28,750,000 shares at redemption value of $10.15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291,812,500</w:t>
            </w: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2"/>
        </w:trPr>
        <w:tc>
          <w:tcPr>
            <w:tcW w:w="9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common stock, $0.0001 par value; 280,000,000 shares authorized; 1,329,500 issued and outstanding (excluding 28,750,000</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shares subject to possible redemption)</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Class B common stock, $0.0001 par value; 20,000,000 shares authorized; 9,487,500 shares issued and outstanding</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949</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968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(8,770,868)</w:t>
            </w:r>
          </w:p>
        </w:tc>
      </w:tr>
      <w:tr>
        <w:trPr>
          <w:trHeight w:val="210"/>
        </w:trPr>
        <w:tc>
          <w:tcPr>
            <w:tcW w:w="9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(8,769,786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9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293,773,456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this financial statement.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Business Operations and 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15, 2021, the Company had not commenced any operations. All activity for the period from March 2, 2021 (inception) through December 15, 2021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sponsor is BurTech LP LLC, (the “Sponsor”).</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 costs amounted to $17,770,467 consisting of $2,875,000 of underwriting commissions, $10,062,500 of deferred underwriting commissions, $4,312,500 fair value of class A shares issued to the underwriters and $520,466 of other offering costs. In addition, $1,539,541 of cash was held outside of the Trust Account (as defined below) and is available for working capital purposes.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253" w:lineRule="auto"/>
        <w:rPr>
          <w:sz w:val="20"/>
          <w:szCs w:val="20"/>
          <w:color w:val="auto"/>
        </w:rPr>
      </w:pPr>
      <w:r>
        <w:rPr>
          <w:rFonts w:ascii="Arial" w:cs="Arial" w:eastAsia="Arial" w:hAnsi="Arial"/>
          <w:sz w:val="18"/>
          <w:szCs w:val="18"/>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17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will have only 15 months from the closing of the IPO (the “Combination Period”) to complete the initial Business Combination.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spacing w:after="0" w:line="269" w:lineRule="auto"/>
        <w:rPr>
          <w:sz w:val="20"/>
          <w:szCs w:val="20"/>
          <w:color w:val="auto"/>
        </w:rPr>
      </w:pPr>
      <w:r>
        <w:rPr>
          <w:rFonts w:ascii="Arial" w:cs="Arial" w:eastAsia="Arial" w:hAnsi="Arial"/>
          <w:sz w:val="17"/>
          <w:szCs w:val="17"/>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15, 2021, the Company had approximately $1.5 million in its operating bank account, and working capital of approximately $1.2 million.</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Prior to the IPO, the Company’s liquidity needs up to December 15, 2021 had been satisfied through a payment from the Sponsor of $25,000 (see Note 5) for the Founder Shares to cover certain offering costs and the loan under an unsecured promissory note from the Sponsor of $144,746 (see Note 5). In addition, in order to finance transaction costs in connection with a Business Combination, the Company’s Sponsor or an affiliate of the Sponsor or certain of the Company’s officers and directors may, but are not obligated to, provide the Company Working Capital Loans, as defined below (see Note 5). As of December 15, 2021, there were no amounts outstanding under any Working Capital Loans.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 is presented in conformity with accounting principles generally accepted in the United States of America (“US GAAP”) and pursuant to the rules and regulations of the U.S. Securities and Exchange Commission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an “emerging growth company,” as defined in Section2(a)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this financial statement in conformity with US GAAP requires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$1,539,541 in cash and did not have any cash equivalents as of December 15,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Held in Trust Account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15, 2021, the Company had $291,812,500 in cash held in the Trust Account.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92"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3—Inputs to the fair value measurement are unobservable inputs, such as estimates, assumptions, and valuation techniques when little or no market data exists for the assets or liabilities.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December 15, 2021, 28,750,000 Class A common stock subject to possible redemption are presented at redemption value as temporary equity, outside of the stockholders’ equity section of the Company’s balance sheet.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$17,770,467 as a result of the IPO (consisting of $2,875,000 of underwriting fees, $10,062,500 of deferred underwriting fees, $4,312,500 fair value of the Class A common stock issued to the underwriters and $520,466 of other offering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under FASB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79"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accrued interest and penalties related to unrecognized tax benefits as income tax expense. There were no unrecognized tax benefits and no amounts accrued for interest and penalties as of December 15, 2021. The Company is currently not aware of any issues under review that could result in significant payments, accruals or material deviation from its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identified the United States as its only “major” tax jurisdiction.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subject to income tax examinations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At December 15, 2021, the Company had not experienced losses on this account and management believes the Company is not exposed to significant risks on such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March 2, 2021 (inception). Adoption of the ASU did not impact the Company’s financial position.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if currently adopted would have a material effect on the accompanying financial statement.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Units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 (see Note 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Sponsors agreed to loan the Company up to $300,000 to be used for a portion of the expenses of the IPO. These loans are non-interest bearing, unsecured and due at the earlier of December 31, 2021 or the closing of the IPO. As of December 15, 2021, the Company had borrowed $144,746 under the promissory note.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Loans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 At December 15, 2021 , no such Working Capital Loans were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As of December 15, 2021, the Company accrued $1,936 for the administrative service fees for the period from the Effective Date (December 10, 2021) to December 15, 2021, which is included in due to related party on the accompanying balance sheet.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December 15, 2021, the Company paid a cash underwriting discount of 1.0% per Unit, or $2,875,000, as part of the underwriting fee.</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15, 2021,the Company issued to the representative or its designees 431,250 of Class A common stock (“Representative Shares”). The Company estimated the fair value of the Representative Shares to be $10.00 a share, or $4,312,500 in aggregate. The Company accounted for the Representative Shares as an offering cost of the Initial Public Offering, with a corresponding credit to stockholders’ equity.</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w:t>
      </w:r>
    </w:p>
    <w:p>
      <w:pPr>
        <w:spacing w:after="0" w:line="2" w:lineRule="exact"/>
        <w:rPr>
          <w:sz w:val="20"/>
          <w:szCs w:val="20"/>
          <w:color w:val="auto"/>
        </w:rPr>
      </w:pPr>
    </w:p>
    <w:p>
      <w:pPr>
        <w:jc w:val="both"/>
        <w:ind w:firstLine="8"/>
        <w:spacing w:after="0" w:line="255" w:lineRule="auto"/>
        <w:tabs>
          <w:tab w:leader="none" w:pos="2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1,000,000 shares of preferred stock with a par value of $0.0001 per share. As of December 15, 2021, there were no shares of preferred stock issued or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is authorized to issue 280,000,000 shares of Class A common stock with a par value of $0.0001 per share. Holders of Class A common stock are entitled to one vote for each share. At December 15, 2021, there were 1,329,500 Class A common stock issued or outstanding, excluding 28,750,000 Class A common stock subject to possible redemption.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authorized to issue 20,000,000 shares of Class B common stock with a par value of $0.0001 per share. Holders of the Class B common stock are entitled to one vote for each share. On September 24, 2021, the Company issued 862,500 shares of Class B common stock in connection with a 1.1 stock split. As of December 15, 2021, there were 9,487,500 shares of Class B common stock issued and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spacing w:after="0" w:line="268" w:lineRule="auto"/>
        <w:rPr>
          <w:sz w:val="20"/>
          <w:szCs w:val="20"/>
          <w:color w:val="auto"/>
        </w:rPr>
      </w:pPr>
      <w:r>
        <w:rPr>
          <w:rFonts w:ascii="Arial" w:cs="Arial" w:eastAsia="Arial" w:hAnsi="Arial"/>
          <w:sz w:val="17"/>
          <w:szCs w:val="17"/>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spacing w:after="0" w:line="269" w:lineRule="auto"/>
        <w:rPr>
          <w:sz w:val="20"/>
          <w:szCs w:val="20"/>
          <w:color w:val="auto"/>
        </w:rPr>
      </w:pPr>
      <w:r>
        <w:rPr>
          <w:rFonts w:ascii="Arial" w:cs="Arial" w:eastAsia="Arial" w:hAnsi="Arial"/>
          <w:sz w:val="17"/>
          <w:szCs w:val="17"/>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pacing w:after="0" w:line="225" w:lineRule="exact"/>
        <w:rPr>
          <w:sz w:val="20"/>
          <w:szCs w:val="20"/>
          <w:color w:val="auto"/>
        </w:rPr>
      </w:pPr>
    </w:p>
    <w:p>
      <w:pPr>
        <w:ind w:left="460" w:hanging="223"/>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given after the warrants become exercisable (the “30-day redemption period”) to each warrant holder;</w:t>
      </w:r>
    </w:p>
    <w:p>
      <w:pPr>
        <w:spacing w:after="0" w:line="170" w:lineRule="exact"/>
        <w:rPr>
          <w:rFonts w:ascii="Arial" w:cs="Arial" w:eastAsia="Arial" w:hAnsi="Arial"/>
          <w:sz w:val="18"/>
          <w:szCs w:val="18"/>
          <w:color w:val="auto"/>
        </w:rPr>
      </w:pPr>
    </w:p>
    <w:p>
      <w:pPr>
        <w:jc w:val="both"/>
        <w:ind w:left="460" w:hanging="223"/>
        <w:spacing w:after="0" w:line="286"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65" w:lineRule="exact"/>
        <w:rPr>
          <w:rFonts w:ascii="Arial" w:cs="Arial" w:eastAsia="Arial" w:hAnsi="Arial"/>
          <w:sz w:val="17"/>
          <w:szCs w:val="17"/>
          <w:color w:val="auto"/>
        </w:rPr>
      </w:pPr>
    </w:p>
    <w:p>
      <w:pPr>
        <w:ind w:left="460" w:hanging="223"/>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Class A common stock underlying such warrants.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spacing w:after="0" w:line="273" w:lineRule="auto"/>
        <w:rPr>
          <w:sz w:val="20"/>
          <w:szCs w:val="20"/>
          <w:color w:val="auto"/>
        </w:rPr>
      </w:pPr>
      <w:r>
        <w:rPr>
          <w:rFonts w:ascii="Arial" w:cs="Arial" w:eastAsia="Arial" w:hAnsi="Arial"/>
          <w:sz w:val="17"/>
          <w:szCs w:val="17"/>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8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 was issued. Based on the Company’s review, the Company did not identify any subsequent events that would have required adjustment or disclosure in the financial statement.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2021-12-27T05:12:17Z</dcterms:created>
  <dcterms:modified xsi:type="dcterms:W3CDTF">2021-12-27T05:12:17Z</dcterms:modified>
</cp:coreProperties>
</file>