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333-288742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314325</wp:posOffset>
            </wp:positionV>
            <wp:extent cx="274320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20,326,158 Shares of Common Stock by the Selling Stockholder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769,231 Shares of Common Stock by Cantor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December 18, 2025 (as supplemented or amended from time to time, the “Prospectus”), which forms a part of our Registration Statement on Form S-1 (Registration No. 333-288742). Capitalized terms used in this prospectus supplement and not otherwise defined herein have the meanings specified in the Prospectus.</w:t>
      </w:r>
    </w:p>
    <w:p>
      <w:pPr>
        <w:spacing w:after="0" w:line="203"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Annual Report on Form 10-K filed with the SEC on March 24, 2026, which is set forth below.</w:t>
      </w:r>
    </w:p>
    <w:p>
      <w:pPr>
        <w:spacing w:after="0" w:line="18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07" w:lineRule="exact"/>
        <w:rPr>
          <w:sz w:val="24"/>
          <w:szCs w:val="24"/>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March 23, 2026, the closing prices for our Common Stock and Warrants on the Nasdaq Stock Market LLC were $1.10 per share of Common Stock and $0.30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12 of the Prospectus and other risk factors contained in the documents incorporated by reference therein for a discussion of information that should be considered in connection with an investment in our securities.</w:t>
      </w:r>
    </w:p>
    <w:p>
      <w:pPr>
        <w:spacing w:after="0" w:line="198" w:lineRule="exact"/>
        <w:rPr>
          <w:sz w:val="24"/>
          <w:szCs w:val="24"/>
          <w:color w:val="auto"/>
        </w:rPr>
      </w:pPr>
    </w:p>
    <w:p>
      <w:pPr>
        <w:ind w:right="5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24, 2026</w:t>
      </w:r>
    </w:p>
    <w:p>
      <w:pPr>
        <w:sectPr>
          <w:pgSz w:w="11900" w:h="16838" w:orient="portrait"/>
          <w:cols w:equalWidth="0" w:num="1">
            <w:col w:w="11240"/>
          </w:cols>
          <w:pgMar w:left="320" w:top="119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25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108585</wp:posOffset>
            </wp:positionV>
            <wp:extent cx="925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4" w:lineRule="exact"/>
        <w:rPr>
          <w:sz w:val="20"/>
          <w:szCs w:val="20"/>
          <w:color w:val="auto"/>
        </w:rPr>
      </w:pPr>
    </w:p>
    <w:p>
      <w:pPr>
        <w:ind w:left="1580" w:hanging="189"/>
        <w:spacing w:after="0"/>
        <w:tabs>
          <w:tab w:leader="none" w:pos="1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FFFFFF"/>
        </w:rPr>
        <w:t xml:space="preserve">—— </w:t>
      </w:r>
      <w:r>
        <w:rPr>
          <w:rFonts w:ascii="Times New Roman" w:cs="Times New Roman" w:eastAsia="Times New Roman" w:hAnsi="Times New Roman"/>
          <w:sz w:val="16"/>
          <w:szCs w:val="16"/>
          <w:b w:val="1"/>
          <w:bCs w:val="1"/>
          <w:color w:val="000000"/>
        </w:rPr>
        <w:t>ANNUAL REPORT PURSUANT TO SECTION 13 OR 15(d) OF THE SECURITIES EXCHANGE ACT OF 1934</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 w:lineRule="exact"/>
        <w:rPr>
          <w:sz w:val="20"/>
          <w:szCs w:val="20"/>
          <w:color w:val="auto"/>
        </w:rPr>
      </w:pPr>
    </w:p>
    <w:p>
      <w:pPr>
        <w:jc w:val="center"/>
        <w:spacing w:after="0" w:line="184" w:lineRule="exact"/>
        <w:rPr>
          <w:sz w:val="20"/>
          <w:szCs w:val="20"/>
          <w:color w:val="auto"/>
        </w:rPr>
      </w:pPr>
      <w:r>
        <w:rPr>
          <w:rFonts w:ascii="Times New Roman" w:cs="Times New Roman" w:eastAsia="Times New Roman" w:hAnsi="Times New Roman"/>
          <w:sz w:val="11"/>
          <w:szCs w:val="11"/>
          <w:b w:val="1"/>
          <w:bCs w:val="1"/>
          <w:color w:val="FFFFFF"/>
        </w:rPr>
        <w:t>———</w:t>
      </w:r>
      <w:r>
        <w:rPr>
          <w:rFonts w:ascii="MS PGothic" w:cs="MS PGothic" w:eastAsia="MS PGothic" w:hAnsi="MS PGothic"/>
          <w:sz w:val="16"/>
          <w:szCs w:val="16"/>
          <w:color w:val="000000"/>
          <w:highlight w:val="black"/>
        </w:rPr>
        <w:t>☐</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6"/>
          <w:szCs w:val="16"/>
          <w:b w:val="1"/>
          <w:bCs w:val="1"/>
          <w:color w:val="FFFFFF"/>
        </w:rPr>
        <w:t>——</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6"/>
          <w:szCs w:val="16"/>
          <w:b w:val="1"/>
          <w:bCs w:val="1"/>
          <w:color w:val="000000"/>
        </w:rPr>
        <w:t>TRANSITION REPORT PURSUANT TO SECTION 13 OR 15(d) OF THE SECURITIES EXCHANGE ACT OF 1934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97155</wp:posOffset>
            </wp:positionV>
            <wp:extent cx="925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77470</wp:posOffset>
            </wp:positionV>
            <wp:extent cx="9258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29"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6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480"/>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400" w:type="dxa"/>
            <w:vAlign w:val="bottom"/>
          </w:tcPr>
          <w:p>
            <w:pPr>
              <w:spacing w:after="0"/>
              <w:rPr>
                <w:sz w:val="24"/>
                <w:szCs w:val="24"/>
                <w:color w:val="auto"/>
              </w:rPr>
            </w:pPr>
          </w:p>
        </w:tc>
      </w:tr>
      <w:tr>
        <w:trPr>
          <w:trHeight w:val="261"/>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rPr>
              <w:t>El Dorado Hills, CA</w:t>
            </w:r>
          </w:p>
        </w:tc>
        <w:tc>
          <w:tcPr>
            <w:tcW w:w="3400" w:type="dxa"/>
            <w:vAlign w:val="bottom"/>
          </w:tcPr>
          <w:p>
            <w:pPr>
              <w:jc w:val="right"/>
              <w:ind w:right="604"/>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6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400" w:type="dxa"/>
            <w:vAlign w:val="bottom"/>
          </w:tcPr>
          <w:p>
            <w:pPr>
              <w:jc w:val="center"/>
              <w:ind w:left="1524"/>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97155</wp:posOffset>
            </wp:positionV>
            <wp:extent cx="9258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r>
              <w:rPr>
                <w:rFonts w:ascii="Times New Roman" w:cs="Times New Roman" w:eastAsia="Times New Roman" w:hAnsi="Times New Roman"/>
                <w:sz w:val="17"/>
                <w:szCs w:val="17"/>
                <w:color w:val="auto"/>
                <w:w w:val="99"/>
              </w:rPr>
              <w:t>, par value $0.0001 per share</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BZAI</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302"/>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7"/>
                <w:szCs w:val="17"/>
                <w:color w:val="auto"/>
                <w:w w:val="99"/>
              </w:rPr>
              <w:t>, each whole warrant exercisable for one share of common</w:t>
            </w:r>
          </w:p>
        </w:tc>
        <w:tc>
          <w:tcPr>
            <w:tcW w:w="2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8"/>
              </w:rPr>
              <w:t>BZAIW</w:t>
            </w: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103"/>
        </w:trPr>
        <w:tc>
          <w:tcPr>
            <w:tcW w:w="5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stock at an exercise price of $11.50 per share</w:t>
            </w:r>
          </w:p>
        </w:tc>
        <w:tc>
          <w:tcPr>
            <w:tcW w:w="2380" w:type="dxa"/>
            <w:vAlign w:val="bottom"/>
            <w:gridSpan w:val="2"/>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060" w:type="dxa"/>
            <w:vAlign w:val="bottom"/>
            <w:gridSpan w:val="2"/>
            <w:vMerge w:val="continue"/>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50" w:lineRule="exact"/>
        <w:rPr>
          <w:sz w:val="20"/>
          <w:szCs w:val="20"/>
          <w:color w:val="auto"/>
        </w:rPr>
      </w:pPr>
    </w:p>
    <w:p>
      <w:pPr>
        <w:ind w:right="268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6"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0"/>
          <w:szCs w:val="20"/>
          <w:color w:val="auto"/>
        </w:rPr>
      </w:pPr>
    </w:p>
    <w:tbl>
      <w:tblPr>
        <w:tblLayout w:type="fixed"/>
        <w:tblInd w:w="2880" w:type="dxa"/>
        <w:tblCellMar>
          <w:top w:w="0" w:type="dxa"/>
          <w:left w:w="0" w:type="dxa"/>
          <w:bottom w:w="0" w:type="dxa"/>
          <w:right w:w="0" w:type="dxa"/>
        </w:tblCellMar>
      </w:tblP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5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ectPr>
          <w:pgSz w:w="11900" w:h="16838" w:orient="portrait"/>
          <w:cols w:equalWidth="0" w:num="1">
            <w:col w:w="11240"/>
          </w:cols>
          <w:pgMar w:left="320" w:top="1181" w:right="339" w:bottom="1440" w:gutter="0" w:footer="0" w:header="0"/>
        </w:sectPr>
      </w:pPr>
    </w:p>
    <w:bookmarkStart w:id="2" w:name="page3"/>
    <w:bookmarkEnd w:id="2"/>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p>
    <w:p>
      <w:pPr>
        <w:spacing w:after="0" w:line="28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registrant’s common stock held by non-affiliates was approximately $217.4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20, 2026, the registrant had 122,744,509 shares of common stock, $0.0001 par value per share, outstanding.</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6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Part III incorporates information by reference to the registrant’s definitive proxy statement for the 2026 Annual Meeting of Stockholders, to be filed with the Securities and Exchange Commission no later than 120 days after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2"/>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13"/>
          </w:tcPr>
          <w:p>
            <w:pPr>
              <w:ind w:left="6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3740" w:type="dxa"/>
            <w:vAlign w:val="bottom"/>
            <w:tcBorders>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i w:val="1"/>
                <w:iCs w:val="1"/>
                <w:color w:val="0000FF"/>
              </w:rPr>
              <w:t>Cautionary Note Regarding Forward-Looking Statements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left="779"/>
              <w:spacing w:after="0" w:line="161" w:lineRule="exact"/>
              <w:rPr>
                <w:sz w:val="20"/>
                <w:szCs w:val="20"/>
                <w:color w:val="auto"/>
              </w:rPr>
            </w:pPr>
            <w:r>
              <w:rPr>
                <w:rFonts w:ascii="Times New Roman" w:cs="Times New Roman" w:eastAsia="Times New Roman" w:hAnsi="Times New Roman"/>
                <w:sz w:val="16"/>
                <w:szCs w:val="16"/>
                <w:color w:val="0000FF"/>
                <w:w w:val="99"/>
              </w:rPr>
              <w:t>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i w:val="1"/>
                <w:iCs w:val="1"/>
                <w:color w:val="0000FF"/>
                <w:w w:val="98"/>
              </w:rPr>
              <w:t>Important Information Regarding Our Disclosure to Investors</w:t>
            </w:r>
          </w:p>
        </w:tc>
        <w:tc>
          <w:tcPr>
            <w:tcW w:w="4160" w:type="dxa"/>
            <w:vAlign w:val="bottom"/>
            <w:gridSpan w:val="10"/>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80" w:type="dxa"/>
            <w:vAlign w:val="bottom"/>
          </w:tcPr>
          <w:p>
            <w:pPr>
              <w:spacing w:after="0"/>
              <w:rPr>
                <w:sz w:val="16"/>
                <w:szCs w:val="16"/>
                <w:color w:val="auto"/>
              </w:rPr>
            </w:pPr>
          </w:p>
        </w:tc>
        <w:tc>
          <w:tcPr>
            <w:tcW w:w="3980" w:type="dxa"/>
            <w:vAlign w:val="bottom"/>
            <w:gridSpan w:val="16"/>
            <w:vMerge w:val="continue"/>
          </w:tcPr>
          <w:p>
            <w:pPr>
              <w:spacing w:after="0"/>
              <w:rPr>
                <w:sz w:val="16"/>
                <w:szCs w:val="16"/>
                <w:color w:val="auto"/>
              </w:rPr>
            </w:pPr>
          </w:p>
        </w:tc>
        <w:tc>
          <w:tcPr>
            <w:tcW w:w="4160" w:type="dxa"/>
            <w:vAlign w:val="bottom"/>
            <w:gridSpan w:val="10"/>
            <w:vMerge w:val="continue"/>
          </w:tcPr>
          <w:p>
            <w:pPr>
              <w:spacing w:after="0"/>
              <w:rPr>
                <w:sz w:val="16"/>
                <w:szCs w:val="16"/>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6"/>
                <w:szCs w:val="16"/>
                <w:i w:val="1"/>
                <w:iCs w:val="1"/>
                <w:color w:val="0000FF"/>
              </w:rPr>
              <w:t>Glossary</w:t>
            </w:r>
          </w:p>
        </w:tc>
        <w:tc>
          <w:tcPr>
            <w:tcW w:w="4160" w:type="dxa"/>
            <w:vAlign w:val="bottom"/>
            <w:gridSpan w:val="10"/>
          </w:tcPr>
          <w:p>
            <w:pPr>
              <w:spacing w:after="0"/>
              <w:rPr>
                <w:sz w:val="17"/>
                <w:szCs w:val="17"/>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BUSINESS</w:t>
            </w:r>
          </w:p>
        </w:tc>
        <w:tc>
          <w:tcPr>
            <w:tcW w:w="7380" w:type="dxa"/>
            <w:vAlign w:val="bottom"/>
            <w:gridSpan w:val="24"/>
          </w:tcPr>
          <w:p>
            <w:pPr>
              <w:spacing w:after="0"/>
              <w:rPr>
                <w:sz w:val="24"/>
                <w:szCs w:val="24"/>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7"/>
              </w:rPr>
              <w:t>RISK FACTORS</w:t>
            </w:r>
          </w:p>
        </w:tc>
        <w:tc>
          <w:tcPr>
            <w:tcW w:w="7020" w:type="dxa"/>
            <w:vAlign w:val="bottom"/>
            <w:gridSpan w:val="21"/>
          </w:tcPr>
          <w:p>
            <w:pPr>
              <w:spacing w:after="0"/>
              <w:rPr>
                <w:sz w:val="17"/>
                <w:szCs w:val="17"/>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25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5600" w:type="dxa"/>
            <w:vAlign w:val="bottom"/>
            <w:gridSpan w:val="14"/>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25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5600" w:type="dxa"/>
            <w:vAlign w:val="bottom"/>
            <w:gridSpan w:val="14"/>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3"/>
              </w:rPr>
              <w:t>PROPERTIES</w:t>
            </w:r>
          </w:p>
        </w:tc>
        <w:tc>
          <w:tcPr>
            <w:tcW w:w="400" w:type="dxa"/>
            <w:vAlign w:val="bottom"/>
            <w:gridSpan w:val="3"/>
          </w:tcPr>
          <w:p>
            <w:pPr>
              <w:spacing w:after="0"/>
              <w:rPr>
                <w:sz w:val="17"/>
                <w:szCs w:val="17"/>
                <w:color w:val="auto"/>
              </w:rPr>
            </w:pPr>
          </w:p>
        </w:tc>
        <w:tc>
          <w:tcPr>
            <w:tcW w:w="6820" w:type="dxa"/>
            <w:vAlign w:val="bottom"/>
            <w:gridSpan w:val="20"/>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744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27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[RESERVED]</w:t>
            </w:r>
          </w:p>
        </w:tc>
        <w:tc>
          <w:tcPr>
            <w:tcW w:w="5360" w:type="dxa"/>
            <w:vAlign w:val="bottom"/>
            <w:gridSpan w:val="13"/>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80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20" w:type="dxa"/>
            <w:vAlign w:val="bottom"/>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80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20" w:type="dxa"/>
            <w:vAlign w:val="bottom"/>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53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55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2620" w:type="dxa"/>
            <w:vAlign w:val="bottom"/>
            <w:gridSpan w:val="7"/>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54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0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w w:val="99"/>
              </w:rPr>
              <w:t>DISCLOSURE</w:t>
            </w:r>
          </w:p>
        </w:tc>
        <w:tc>
          <w:tcPr>
            <w:tcW w:w="6140" w:type="dxa"/>
            <w:vAlign w:val="bottom"/>
            <w:tcBorders>
              <w:top w:val="single" w:sz="8" w:color="0000FF"/>
            </w:tcBorders>
            <w:gridSpan w:val="18"/>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23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800" w:type="dxa"/>
            <w:vAlign w:val="bottom"/>
            <w:gridSpan w:val="1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640" w:type="dxa"/>
            <w:vAlign w:val="bottom"/>
            <w:gridSpan w:val="3"/>
          </w:tcPr>
          <w:p>
            <w:pPr>
              <w:spacing w:after="0"/>
              <w:rPr>
                <w:sz w:val="17"/>
                <w:szCs w:val="17"/>
                <w:color w:val="auto"/>
              </w:rPr>
            </w:pPr>
          </w:p>
        </w:tc>
        <w:tc>
          <w:tcPr>
            <w:tcW w:w="5800" w:type="dxa"/>
            <w:vAlign w:val="bottom"/>
            <w:gridSpan w:val="1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2920" w:type="dxa"/>
            <w:vAlign w:val="bottom"/>
            <w:gridSpan w:val="8"/>
          </w:tcPr>
          <w:p>
            <w:pPr>
              <w:spacing w:after="0"/>
              <w:rPr>
                <w:sz w:val="24"/>
                <w:szCs w:val="24"/>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22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3020" w:type="dxa"/>
            <w:vAlign w:val="bottom"/>
            <w:gridSpan w:val="8"/>
          </w:tcPr>
          <w:p>
            <w:pPr>
              <w:spacing w:after="0"/>
              <w:rPr>
                <w:sz w:val="17"/>
                <w:szCs w:val="17"/>
                <w:color w:val="auto"/>
              </w:rPr>
            </w:pPr>
          </w:p>
        </w:tc>
        <w:tc>
          <w:tcPr>
            <w:tcW w:w="2920" w:type="dxa"/>
            <w:vAlign w:val="bottom"/>
            <w:gridSpan w:val="8"/>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96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w w:val="98"/>
              </w:rPr>
              <w:t>STOCKHOLDER MATTERS</w:t>
            </w:r>
          </w:p>
        </w:tc>
        <w:tc>
          <w:tcPr>
            <w:tcW w:w="5240" w:type="dxa"/>
            <w:vAlign w:val="bottom"/>
            <w:tcBorders>
              <w:top w:val="single" w:sz="8" w:color="0000FF"/>
            </w:tcBorders>
            <w:gridSpan w:val="14"/>
          </w:tcPr>
          <w:p>
            <w:pPr>
              <w:spacing w:after="0"/>
              <w:rPr>
                <w:sz w:val="12"/>
                <w:szCs w:val="12"/>
                <w:color w:val="auto"/>
              </w:rPr>
            </w:pPr>
          </w:p>
        </w:tc>
        <w:tc>
          <w:tcPr>
            <w:tcW w:w="940" w:type="dxa"/>
            <w:vAlign w:val="bottom"/>
            <w:gridSpan w:val="3"/>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69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220" w:type="dxa"/>
            <w:vAlign w:val="bottom"/>
            <w:gridSpan w:val="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FORM 10-K SUMMARY</w:t>
            </w:r>
          </w:p>
        </w:tc>
        <w:tc>
          <w:tcPr>
            <w:tcW w:w="2280" w:type="dxa"/>
            <w:vAlign w:val="bottom"/>
            <w:gridSpan w:val="8"/>
          </w:tcPr>
          <w:p>
            <w:pPr>
              <w:spacing w:after="0"/>
              <w:rPr>
                <w:sz w:val="17"/>
                <w:szCs w:val="17"/>
                <w:color w:val="auto"/>
              </w:rPr>
            </w:pPr>
          </w:p>
        </w:tc>
        <w:tc>
          <w:tcPr>
            <w:tcW w:w="4160" w:type="dxa"/>
            <w:vAlign w:val="bottom"/>
            <w:gridSpan w:val="10"/>
          </w:tcPr>
          <w:p>
            <w:pPr>
              <w:spacing w:after="0"/>
              <w:rPr>
                <w:sz w:val="17"/>
                <w:szCs w:val="17"/>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6440" w:type="dxa"/>
            <w:vAlign w:val="bottom"/>
            <w:gridSpan w:val="18"/>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6440" w:type="dxa"/>
            <w:vAlign w:val="bottom"/>
            <w:gridSpan w:val="18"/>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81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Annual Report on Form 10-K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Annual Report on Form 10-K, including but not limited to, changes in domestic and foreign business, market, financial, political and legal conditions; risks related to the Business Combination, as defined in the Glossary of this Annual Report on Form 10-K,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herein, elsewhere in this Annual report on Form 10-K and other documents filed by us from time to time with the U.S. Securities and Exchange Commission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13" w:right="35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IMPORTANT INFORMATION REGARDING OUR DISCLOSURE TO INVESTORS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Annual Report on Form 10-K.</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5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This glossary highlights some of the terms that we use elsewhere in this Annual Report on Form 10-K and is not a complete list of all the defined terms used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means artificial intelligence.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“API” means application programming interface.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 means the Company and its subsidiaries, after the Business Combination.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“Board of Directors” means the board of directors of the Company.</w:t>
      </w:r>
    </w:p>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“BurTech” means BurTech Acquisition Corporation, a SPAC, which was a publicly traded entity existing prior to the Closing Date of the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means Burkhan Capital LLC, a Delaware limited liability company, an affiliate of BurTech.</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“Business Combination” means the transaction pursuant to the Merger Agreement, whereby Merger Sub merged with and into Legacy Blaize, with Legacy Blaize being the surviving company and a wholly owned subsidiary of BurTech. The Business Combination may also be referred to as a “de-SPAC” transaction.</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“CFIUS” means the Committee on Foreign Investment in the United States, which is an inter-governmental agency committee in the United States government that reviews the national security implications of foreign investments in the economy of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means January 13, 2025, the date that the Company consummated the transaction contemplated by the Merger Agreement.</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“de-SPAC” transaction means a process where a private operating company (in this case, Legacy Blaize) merges with a SPAC (in this case, BurTech) to become a publicly traded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“FCPA” means the U.S. Foreign Corrupt Practices Act of 1977,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“GSP” means Graph Streaming Processor, a specialized AI accelerator designed for graph-native computing.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“JOBS Act” means the Jumpstart Our Business Startups Act of 2012.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Blaize” means Blaize, Inc., which survived the Merger as a wholly owned subsidiary of the Company.</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“Merger” means the transactions contemplated by the Merger Agreement as defined below, and, together with the other transactions contemplated by the Merger Agreement, the “Business Combination”.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“Merger Agreement” means the Agreement and Plan of Merger, dated as of December 22, 2023 (as amended on April 22, 2024, October 24, 2024, and November 21, 2024), by and among BurTech, Merger Sub, Legacy Blaize and, for the limited purposes set forth therein, Burkhan.</w:t>
      </w:r>
    </w:p>
    <w:p>
      <w:pPr>
        <w:sectPr>
          <w:pgSz w:w="11900" w:h="16838" w:orient="portrait"/>
          <w:cols w:equalWidth="0" w:num="1">
            <w:col w:w="11180"/>
          </w:cols>
          <w:pgMar w:left="320" w:top="141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80"/>
          </w:cols>
          <w:pgMar w:left="320" w:top="1413" w:right="399" w:bottom="1440" w:gutter="0" w:footer="0" w:header="0"/>
          <w:type w:val="continuous"/>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“Merger Sub” means BurTech Merger Sub, Inc., a former Delaware corporation and former wholly owned subsidiary of BurTech. Merger Sub was a shell company formed by BurTech solely in order to complete the acquisition of Legacy Blaize.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“Nasdaq” means The Nasdaq Stock Market LLC. Both the Nasdaq Global Market (on which the Company’s common stock is listed) and Nasdaq Capital Market (on which the Company’s warrants are listed) are tiers of markets within the broader Nasdaq Stock Market LLC.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“NRE” means non-recurring engineering engagements, also referred to as strategic consulting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“OEM” means original equipment manufacturer.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“PCIe card” means a peripheral component interconnected express card, an expansion component that upgrades computer functionality.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means a restricted stock unit.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 means System-on-a-Chip products, including our wafer fabrication, assembly, and testing processes.</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“SPAC” means Special Purpose Acquisition Company, which is a blank check, publicly traded shell company that has raised capital through an initial public offering and is formed with the purpose of performing a business combination transaction within a specified timeframe.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“Sponsor” means BurTech LP, LLC, which prior to the Merger was the sponsor of BurTech. After the close of the Merger, the Sponsor and its affiliated entities remained a significant shareholder in the Company and are therefore considered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1417" w:right="4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Blaize Holdings, Inc. (“Blaize,” the “Company,” “we,” “us,” and “our”) develops purpose-built AI-enabled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Delaware corporation, incorporated in 2010, headquartered in El Dorado Hills, California.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Reverse Recapitalization</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13, 2025, BurTech completed the Merger, pursuant to the Merger Agreement, whereby Merger Sub merged with and into Legacy Blaize, with Legacy Blaize being the surviving company and a wholly owned subsidiary of BurTech.</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de-SPAC, we changed our name from “BurTech Acquisition Corporation” to “Blaize Holdings, Inc.,” and the Merger was accounted for as a reverse merger and recapitalization, with BurTech considered the acquired company, and Legacy Blaize considered the acquirer, for financial statement reporting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file our annual, periodic and current reports, and other required information, electronically with the SEC. The SEC maintains a website at www.sec.gov that contains reports, proxy and information statements and other information that we file with the SEC electronically. We also make available on our website at https://ir.blaize.com, free of charge, copies of these reports and other information as soon as reasonably practicable after we electronically file such material with, or furnish it to, the SEC. The contents of our website referenced herein are not incorporated by reference into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created an AI computing accelerator, the GSP. This processor has been designed from the ground up for compute-intensive data parallel workloads, such as computer vision, machine learning, and AI applications. It is fully programmable, making it flexible and adaptable. The GSP leverages a data streaming mechanism to enable efficient parallelism at the data, instruction, task, chip, and system level, streamlining execution processing and enabling low energy consumption, high performance, and scalability.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13" w:right="359" w:bottom="1440" w:gutter="0" w:footer="0" w:header="0"/>
        </w:sectPr>
      </w:pPr>
    </w:p>
    <w:bookmarkStart w:id="8" w:name="page9"/>
    <w:bookmarkEnd w:id="8"/>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our hardware offerings include compute cards (PCIe cards and other cards) that incorporate our GSP and come in a comprehensive set of commonly used form factors. We work closely with our vendors to qualify these cards to add AI compute acceleration to their systems, with the intention to deliver solutions across a broad spectrum of performance points and deployment verticals, from the edge to the data center.</w:t>
      </w:r>
    </w:p>
    <w:p>
      <w:pPr>
        <w:spacing w:after="0" w:line="20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to our internally developed products, we deliver third-party hardware solutions, primarily comprised of servers and small form factor stand-alone systems, that host our proprietary technology. We support industry standard APIs and frameworks, enabling customers to execute AI models and develop new applications on our hardware.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2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software suite includes a software development kit which complies with open standards and can be used by customers to program their own models and algorithms. We also provide a comprehensive software suite, Blaize AI Studio (“AI Studio”). AI Studio provides a visual no-code or low-code environment intended to simplify the creation and deployment of AI models and features a robust set of tools and libraries designed to streamline the software development lifecycle.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offer strategic consulting services to configure our hardware and licensed intellectual property to a customer’s needs.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commercial organization utilizes research to identify key markets and sales opportunities across our target markets. Our marketing activities focus on integrating our branded products into complementary hardware, promoting our branded products, and raising awareness of our product offerings to prospects in selected target markets. This includes participation at trade events, demonstrations of our technology, collaborations and co-promotions with ecosystem partners, social campaigns, competitive positioning and other marketing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revenue has been generated from a limited number of significant customers, some of whom have been, and may in the future be, related parties. For the year ended December 31, 2025, two major customers located in China accounted for 61% and 27% of our total revenue, respectively. Neither of these customers was a related party. In 2025, all of our revenue was attributable to sales of hardware and software products, with no revenue generated from services.</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2024, 98% of our revenue was attributable to two different customers, located in the United States and Japan, both of whom were related parties. In 2024, substantially all of our revenue was derived from providing strategic consulting services, and these service contracts have since expired.</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Since our revenue is currently concentrated among a small number of customers, revenue recognized from any one significant customer may change the geographical mix of our revenue. Going forward, we expect to derive revenue from sales of third-party solutions and our hardware and software products, as well as from strategic consulting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outsource all of our manufacturing in relation to our AI chips and PCIe cards.</w:t>
      </w:r>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Samsung Foundry is our foundry for the current generation SoC. All packaging and testing of the SoC is performed by our partners located in Taiwan. Our design and manufacturing partners closely monitor and reserve raw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9" w:name="page10"/>
    <w:bookmarkEnd w:id="9"/>
    <w:p>
      <w:pPr>
        <w:ind w:right="120"/>
        <w:spacing w:after="0" w:line="282" w:lineRule="auto"/>
        <w:rPr>
          <w:sz w:val="20"/>
          <w:szCs w:val="20"/>
          <w:color w:val="auto"/>
        </w:rPr>
      </w:pPr>
      <w:r>
        <w:rPr>
          <w:rFonts w:ascii="Times New Roman" w:cs="Times New Roman" w:eastAsia="Times New Roman" w:hAnsi="Times New Roman"/>
          <w:sz w:val="18"/>
          <w:szCs w:val="18"/>
          <w:color w:val="auto"/>
        </w:rPr>
        <w:t>for silicon wafers and related packaging for our finished SoCs. The raw materials and components used in our products include silicon, polymers, copper, aluminum, other metal alloys, and plastics, which are generally available throughout the world but are largely provided by companies in China.</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have manufacturing contracts with Plexus, a contract manufacturer with a facility located in Penang, Malaysia, that provides new product introduction services and mass produces all of our products. In addition to performing printed circuit board assembly, final assembly, and functional testing for our products, Plexus procures raw material components to meet our periodic build forecasts and provides turnaround shipments of our products to our third-party logistics partner and customers around the world. The raw materials and components that we use include integrated circuits, epoxy glass fabric laminate, metals, plastics, resistors, capacitors, inductors, transistors, diodes, and sensors, which are generally available throughout the world, but largely provided by companies in Asia.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 As a result, our competitors vary depending on the target market line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(“U.S.”) and internationally. These laws and regulations include, but are not limited to, data privacy and data localization, copyright and other intellectual property laws, anti-spam, consumer protection, employment, export control laws, tariffs, and taxation.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Protection and Privacy</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and machine learning technologies (“AI Technologies”) is rapidly evolving as many federal, state and foreign governmental bodies and agencies have introduced, or are currently considering, AI laws and regulations. Additionally, existing laws and regulations may be interpreted in ways that could affect the operation of our AI Technologies. As a result, implementation standards and enforcement practices are likely to remain uncertain for the foreseeable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Anti-Corruption, Sanctions and CFIUS</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the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or retain business from, expedite or secure the performance of official acts of a routine nature, secure an improper advantage, or otherwise violate any anti-bribery laws, from any such person. Similar laws exist in other countries, such as the UK, which restrict improper payments to persons in the public or private sector. Historically, technology companies have been the target of FCPA and other anti-corruption investigations and penalties.</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4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machine learning at the edge sectors.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2025, we held 43 patents and had 16 pending patent applications. Our patents are expected to expire between June 16, 2031 and September 24, 2044. We own two issued foreign patents, one in the United Kingdom and one in the Republic of Korea. Our five pending foreign patent applications include patent applications in India. Our patents contain a broad range of claims related to the field of AI and parallel processing architecture.</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either acquire patents outright, or licenses to use patents, to the extent we believe such patents may be useful or relevant to our business.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 chain vendors, employees, and consultants, as well as close monitoring of the developments and products in the industry.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254 people, of whom 228 were full-time employees. None of our employees are represented by a labor union or covered by collective bargaining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should be considered in addition to the other information, including Item 7. and Item 8. of this Annual Report on Form 10-K. The following risks could harm our business, financial condition, results of operations or reputation, which could cause our stock price to decline. Additional risks, trends and uncertainties not presently known to us or that we currently believe are immaterial may also harm our business, financial condition, results of operations or reputation. Our actual results could differ materially and adversely from those anticipated in these forward-looking statements as a result of certain factors, including those set forth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and uncertainties described in more detail in this Annual Report on Form 10-K:</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w:t>
      </w:r>
    </w:p>
    <w:p>
      <w:pPr>
        <w:spacing w:after="0" w:line="27"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small number of customers, including related parties, for a significant portion of our revenue, and our accounts receivable balances are similarly concentrated.</w:t>
      </w:r>
    </w:p>
    <w:p>
      <w:pPr>
        <w:ind w:left="660" w:right="2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depend on our ability to expand sales to customers located outside of the United States, and we may experience difficulties in collections of our accounts receivable, or other matters that could adversely affect our revenue.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next-generation chip may be delayed or may not be feasible due to financial constraints.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pipeline may take time to mature and may not result in revenue opportunities.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for the fiscal year ended December 31, 2025 was generated from sales of third-party hardware products. These products generally carry lower gross margins compared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11" w:name="page12"/>
    <w:bookmarkEnd w:id="11"/>
    <w:p>
      <w:pPr>
        <w:ind w:left="328" w:right="220"/>
        <w:spacing w:after="0" w:line="261" w:lineRule="auto"/>
        <w:rPr>
          <w:sz w:val="20"/>
          <w:szCs w:val="20"/>
          <w:color w:val="auto"/>
        </w:rPr>
      </w:pPr>
      <w:r>
        <w:rPr>
          <w:rFonts w:ascii="Times New Roman" w:cs="Times New Roman" w:eastAsia="Times New Roman" w:hAnsi="Times New Roman"/>
          <w:sz w:val="18"/>
          <w:szCs w:val="18"/>
          <w:color w:val="auto"/>
        </w:rPr>
        <w:t>branded offerings. As a result, our overall profitability may be adversely affected if the proportion of third-party hardware sales remains high or increases in future periods.</w:t>
      </w:r>
    </w:p>
    <w:p>
      <w:pPr>
        <w:ind w:left="328" w:right="6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partnerships with certain automotive OEMs and Tier-1 suppliers are long-term in nature, and we will not receive firm purchase order commitments until we deliver our auto-grade chip.</w:t>
      </w:r>
    </w:p>
    <w:p>
      <w:pPr>
        <w:ind w:left="328" w:right="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could be harmed if we are unable to acquire new customers, retain existing customers, or expand sales to our existing customers.</w:t>
      </w: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9" w:lineRule="exact"/>
        <w:rPr>
          <w:rFonts w:ascii="Times New Roman" w:cs="Times New Roman" w:eastAsia="Times New Roman" w:hAnsi="Times New Roman"/>
          <w:sz w:val="18"/>
          <w:szCs w:val="18"/>
          <w:color w:val="auto"/>
        </w:rPr>
      </w:pPr>
    </w:p>
    <w:p>
      <w:pPr>
        <w:ind w:left="328" w:right="24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cycle with large enterprise customers can be long and unpredictable, and our sales efforts require considerable time and expense.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offer high quality support, our business and reputation could suffer.</w:t>
      </w:r>
    </w:p>
    <w:p>
      <w:pPr>
        <w:spacing w:after="0" w:line="9" w:lineRule="exact"/>
        <w:rPr>
          <w:rFonts w:ascii="Times New Roman" w:cs="Times New Roman" w:eastAsia="Times New Roman" w:hAnsi="Times New Roman"/>
          <w:sz w:val="18"/>
          <w:szCs w:val="18"/>
          <w:color w:val="auto"/>
        </w:rPr>
      </w:pPr>
    </w:p>
    <w:p>
      <w:pPr>
        <w:ind w:left="328" w:right="1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ind w:left="328" w:right="420" w:hanging="328"/>
        <w:spacing w:after="0" w:line="265" w:lineRule="auto"/>
        <w:tabs>
          <w:tab w:leader="none" w:pos="32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ind w:left="328" w:right="2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driving the global deployment and customer adoption of digital offerings characterized by digital applications and solutions.</w:t>
      </w:r>
    </w:p>
    <w:p>
      <w:pPr>
        <w:ind w:left="328" w:right="7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ind w:left="328" w:right="2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9" w:lineRule="exact"/>
        <w:rPr>
          <w:rFonts w:ascii="Times New Roman" w:cs="Times New Roman" w:eastAsia="Times New Roman" w:hAnsi="Times New Roman"/>
          <w:sz w:val="18"/>
          <w:szCs w:val="18"/>
          <w:color w:val="auto"/>
        </w:rPr>
      </w:pPr>
    </w:p>
    <w:p>
      <w:pPr>
        <w:ind w:left="328" w:right="8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ind w:left="328" w:right="3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ind w:left="328" w:right="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ind w:left="328" w:right="1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1" w:lineRule="exact"/>
        <w:rPr>
          <w:rFonts w:ascii="Times New Roman" w:cs="Times New Roman" w:eastAsia="Times New Roman" w:hAnsi="Times New Roman"/>
          <w:sz w:val="18"/>
          <w:szCs w:val="18"/>
          <w:color w:val="auto"/>
        </w:rPr>
      </w:pPr>
    </w:p>
    <w:p>
      <w:pPr>
        <w:jc w:val="both"/>
        <w:ind w:left="328" w:right="3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or datasets could subject us to possible litigation or cause us to subject our platform or products to unwanted open source license conditions that could negatively impact our sales.</w:t>
      </w:r>
    </w:p>
    <w:p>
      <w:pPr>
        <w:ind w:left="328" w:hanging="328"/>
        <w:spacing w:after="0"/>
        <w:tabs>
          <w:tab w:leader="none" w:pos="3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computer hardware, purchased or leased, and software licensed from and services rendered by third parties in order to run our business.</w:t>
      </w:r>
    </w:p>
    <w:p>
      <w:pPr>
        <w:spacing w:after="0" w:line="20"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our operations will continue to increase in complexity as we grow, which will create management challenges.</w:t>
      </w:r>
    </w:p>
    <w:p>
      <w:pPr>
        <w:spacing w:after="0" w:line="9" w:lineRule="exact"/>
        <w:rPr>
          <w:rFonts w:ascii="Times New Roman" w:cs="Times New Roman" w:eastAsia="Times New Roman" w:hAnsi="Times New Roman"/>
          <w:sz w:val="18"/>
          <w:szCs w:val="18"/>
          <w:color w:val="auto"/>
        </w:rPr>
      </w:pPr>
    </w:p>
    <w:p>
      <w:pPr>
        <w:ind w:left="328" w:right="760" w:hanging="328"/>
        <w:spacing w:after="0" w:line="26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8"/>
          </w:cols>
          <w:pgMar w:left="652" w:top="1417" w:right="359" w:bottom="1440" w:gutter="0" w:footer="0" w:header="0"/>
        </w:sectPr>
      </w:pPr>
    </w:p>
    <w:bookmarkStart w:id="12" w:name="page13"/>
    <w:bookmarkEnd w:id="12"/>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hire, retain and motivate qualified personnel, our business will suffer.</w:t>
      </w:r>
    </w:p>
    <w:p>
      <w:pPr>
        <w:spacing w:after="0" w:line="27" w:lineRule="exact"/>
        <w:rPr>
          <w:rFonts w:ascii="Times New Roman" w:cs="Times New Roman" w:eastAsia="Times New Roman" w:hAnsi="Times New Roman"/>
          <w:sz w:val="18"/>
          <w:szCs w:val="18"/>
          <w:color w:val="auto"/>
        </w:rPr>
      </w:pPr>
    </w:p>
    <w:p>
      <w:pPr>
        <w:ind w:left="328" w:right="2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our corporate culture as we grow, we could lose the innovation, teamwork, passion and focus on execution that we believe contribute to our success, and our business may be harmed.</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associated with being a public company require significant resources and attention from our senior management team.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management team has limited experience with the complexities of managing a publicly traded company.</w:t>
      </w:r>
    </w:p>
    <w:p>
      <w:pPr>
        <w:spacing w:after="0" w:line="9" w:lineRule="exact"/>
        <w:rPr>
          <w:rFonts w:ascii="Times New Roman" w:cs="Times New Roman" w:eastAsia="Times New Roman" w:hAnsi="Times New Roman"/>
          <w:sz w:val="18"/>
          <w:szCs w:val="18"/>
          <w:color w:val="auto"/>
        </w:rPr>
      </w:pPr>
    </w:p>
    <w:p>
      <w:pPr>
        <w:jc w:val="both"/>
        <w:ind w:left="328" w:right="60" w:hanging="328"/>
        <w:spacing w:after="0" w:line="265" w:lineRule="auto"/>
        <w:tabs>
          <w:tab w:leader="none" w:pos="3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ind w:left="328" w:right="6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ind w:left="328" w:right="8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we are subject to various laws and regulations in the U.S. and internationally, which may expose us to liability, increased costs or have other adverse effects that could harm our business.</w:t>
      </w:r>
    </w:p>
    <w:p>
      <w:pPr>
        <w:ind w:left="328"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 w:lineRule="exact"/>
        <w:rPr>
          <w:rFonts w:ascii="Times New Roman" w:cs="Times New Roman" w:eastAsia="Times New Roman" w:hAnsi="Times New Roman"/>
          <w:sz w:val="18"/>
          <w:szCs w:val="18"/>
          <w:color w:val="auto"/>
        </w:rPr>
      </w:pPr>
    </w:p>
    <w:p>
      <w:pPr>
        <w:ind w:left="328" w:right="4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conduct a portion of our business with third-party ecosystem partners to provide defensive solutions that incorporate our products to various foreign and domestic government agencies, which are subject to unique risks.</w:t>
      </w:r>
    </w:p>
    <w:p>
      <w:pPr>
        <w:ind w:left="328" w:right="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anti-corruption, anti-bribery, anti-money laundering and similar laws. Non-compliance with such laws can subject us to criminal and/or civil liability and harm our business.</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may limit our ability to access or repatriate funds.</w:t>
      </w:r>
    </w:p>
    <w:p>
      <w:pPr>
        <w:spacing w:after="0" w:line="9" w:lineRule="exact"/>
        <w:rPr>
          <w:rFonts w:ascii="Times New Roman" w:cs="Times New Roman" w:eastAsia="Times New Roman" w:hAnsi="Times New Roman"/>
          <w:sz w:val="18"/>
          <w:szCs w:val="18"/>
          <w:color w:val="auto"/>
        </w:rPr>
      </w:pPr>
    </w:p>
    <w:p>
      <w:pPr>
        <w:ind w:left="328" w:right="20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or other securities convertible into our common stock could cause the market value of shares of our common stock to decline and could result in dilution of your shares.</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the continued listing standards of the Nasdaq from time to time. This could result in our common stock being delisted from the exchange.</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Activist shareholders could disrupt our operations, cause uncertainty, and adversely affect our business and stock price.</w:t>
      </w:r>
    </w:p>
    <w:p>
      <w:pPr>
        <w:spacing w:after="0" w:line="9" w:lineRule="exact"/>
        <w:rPr>
          <w:rFonts w:ascii="Times New Roman" w:cs="Times New Roman" w:eastAsia="Times New Roman" w:hAnsi="Times New Roman"/>
          <w:sz w:val="18"/>
          <w:szCs w:val="18"/>
          <w:color w:val="auto"/>
        </w:rPr>
      </w:pPr>
    </w:p>
    <w:p>
      <w:pPr>
        <w:ind w:left="328" w:right="2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for the foreseeable future, and investors should plan to rely on stock price appreciation for a return on their investment.</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ind w:left="328" w:right="1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ind w:left="328" w:right="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provisions of Delaware law and our certificate of incorporation and bylaws may deter third parties from acquiring us and diminish the value of our common stock.</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could materially adversely affect our business, financial condition, results of operations, and prospects.</w:t>
      </w:r>
    </w:p>
    <w:p>
      <w:pPr>
        <w:spacing w:after="0" w:line="9" w:lineRule="exact"/>
        <w:rPr>
          <w:rFonts w:ascii="Times New Roman" w:cs="Times New Roman" w:eastAsia="Times New Roman" w:hAnsi="Times New Roman"/>
          <w:sz w:val="18"/>
          <w:szCs w:val="18"/>
          <w:color w:val="auto"/>
        </w:rPr>
      </w:pPr>
    </w:p>
    <w:p>
      <w:pPr>
        <w:ind w:left="328" w:right="1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chain and production process may be affected by tariffs on equipment or materials that we may rely on or use for our products, which could also cause our costs to increase.</w:t>
      </w:r>
    </w:p>
    <w:p>
      <w:pPr>
        <w:ind w:left="328" w:right="20" w:hanging="328"/>
        <w:spacing w:after="0" w:line="26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8"/>
          </w:cols>
          <w:pgMar w:left="652" w:top="1417" w:right="359" w:bottom="1440" w:gutter="0" w:footer="0" w:header="0"/>
        </w:sectPr>
      </w:pPr>
    </w:p>
    <w:bookmarkStart w:id="13" w:name="page14"/>
    <w:bookmarkEnd w:id="13"/>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may differ significantly from any guidance that we may provide.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claims, investigations, and regulatory actions from time to time.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not yet achieved profitability. During the years ended December 31, 2025 and 2024, we incurred losses from operations of $103.8 million and $47.6 million, respectively, and used cash in operating activities of $73.8 million and $53.5 million, respectively. In 2025, our revenue was substantially comprised of sales of third-party hardware which supports our hardware products, certain of our hardware products, and our software products. In 2024, our revenue was substantially attributed to NRE engagements with automotive partners.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w:t>
      </w:r>
    </w:p>
    <w:p>
      <w:pPr>
        <w:spacing w:after="0" w:line="2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number of customers, including related parties, for a significant portion of our revenue, and our accounts receivable balances are similarly concentrated.</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relatively small number of customers currently account for, and have historically accounted for, a significant portion of our revenue and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impact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spacing w:after="0" w:line="213"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may depend on our ability to expand sales to customers located outside of the United States, and we may experience difficulties in collections of our accounts receivable, or other matters that could adversely affect our revenue.</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 substantial part of our sales is outside of the United States and some of our customers have some or all of their operations in countries other than the United States. Customers located in these markets can present unique challenges compared to other markets, including longer payment cycles, difficulties in enforcing agreements and collecting payments due to us through certain foreign legal systems, higher credit risk, and fluctuations in the timing and amount of purchase orders. For example, several of our current customers have payment practices and may have payment terms that are longer than customary in the United States, which has delayed, and may in the future continue to delay, our ability to collect amounts due to us. Problems with collections from, or sales to, any one of those customers could materially and adversely affect our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1417"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our next-generation chip may be delayed or may not be feasible due to financial constraints.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Development of silicon chip products is a highly complex process involving specialized third-party partners, and we cannot guarantee that any next-generation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 pipeline may take time to mature and may not result in revenue opportunities.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recent years, we have developed a customer pipeline and expect the delivery of our hardware and software solutions based on our production chip that came to market at the end of 2022. This pipeline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a customer or end customer is ready to deploy AI solutions. Furthermore, we believe our revenue growth depends on a number of factors, including our ability to:</w:t>
      </w:r>
    </w:p>
    <w:p>
      <w:pPr>
        <w:spacing w:after="0" w:line="21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OEMs and Tier-1 suppliers.</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for the fiscal year ended December 31, 2025 was generated from sales of third-party hardware products. These products generally carry lower gross margins compared to our branded offerings. As a result, our overall profitability may be adversely affected if the proportion of third-party hardware sales remains high or increases in future periods.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business strategy has historically emphasized both our strategic consulting services and the development, marketing, and sale of our branded AI chip products, which typically yield higher margins due to proprietary technology and value-added features. However, competitive pressures and supply chain considerations have led to a shift in our sales mix. If we are unable to successfully promote and sell our own branded products, or if market conditions continue to favor third-party hardware, our gross margin and net income could decline.</w:t>
      </w:r>
    </w:p>
    <w:p>
      <w:pPr>
        <w:spacing w:after="0" w:line="20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Additionally, reliance on third-party hardware exposes us to risks related to supplier relationships, product quality, and inventory management. We may have limited control over pricing, product availability, and warranty terms, which could further impact our financial results. If we are unable to mitigate these risks or improve the margin profile of our sales mix,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413" w:right="379" w:bottom="1440" w:gutter="0" w:footer="0" w:header="0"/>
        </w:sectPr>
      </w:pPr>
    </w:p>
    <w:bookmarkStart w:id="15" w:name="page16"/>
    <w:bookmarkEnd w:id="15"/>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automotive-grade chip.</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long-term joint development agreements for expected revenue predicated upon us delivering automotive-grade chips to these partners.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We have not yet entered into any contractual arrangements for any ADAS solutions with any automotive partners based on our technology. This technology is not expected to be in production until 2028 or later.</w:t>
      </w:r>
    </w:p>
    <w:p>
      <w:pPr>
        <w:spacing w:after="0" w:line="2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may choose to adopt competing technologies. If this occurs, it will be extremely difficult to retain our specialist automotive skills and there is a high risk of losing that expertise altogether.</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could be harmed if we are unable to acquire new customers, retain existing customers, or expand sales to our existing customers.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majority of revenues that we have generated to date are through sales of third-party hardware and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and increase the proportion of our complementary products in relation to other hardware sales such as servers sourced from third parties. Our ability to increase sales to existing customers and prospective customers depends on several factors, including their experience with using our products and our pricing model.</w:t>
      </w:r>
    </w:p>
    <w:p>
      <w:pPr>
        <w:spacing w:after="0" w:line="21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base and customer location footprint;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3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may not be able to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may not be able to realize,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13" w:right="379" w:bottom="1440" w:gutter="0" w:footer="0" w:header="0"/>
        </w:sectPr>
      </w:pPr>
    </w:p>
    <w:bookmarkStart w:id="16" w:name="page17"/>
    <w:bookmarkEnd w:id="16"/>
    <w:p>
      <w:pPr>
        <w:ind w:right="440"/>
        <w:spacing w:after="0" w:line="282" w:lineRule="auto"/>
        <w:rPr>
          <w:sz w:val="20"/>
          <w:szCs w:val="20"/>
          <w:color w:val="auto"/>
        </w:rPr>
      </w:pPr>
      <w:r>
        <w:rPr>
          <w:rFonts w:ascii="Times New Roman" w:cs="Times New Roman" w:eastAsia="Times New Roman" w:hAnsi="Times New Roman"/>
          <w:sz w:val="18"/>
          <w:szCs w:val="18"/>
          <w:color w:val="auto"/>
        </w:rPr>
        <w:t>or in part, the anticipated benefits we expect our strategy will achieve. The failure to realize those benefits could have a material adverse effect on our business, financial condition and results of operations.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cycle with large enterprise customers can be long and unpredictable, and our sales efforts require considerable time and expense.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U.S. that impose supply chain and manufacturing location restrictions.</w:t>
      </w:r>
    </w:p>
    <w:p>
      <w:pPr>
        <w:spacing w:after="0" w:line="23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maintain or grow our brand recognition, our ability to expand our customer base will be impaired and our financial condition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17" w:name="page18"/>
    <w:bookmarkEnd w:id="17"/>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2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186"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chip manufacturers could lead to production delays, increased costs, and could potentially lead to a compromise in the quality and performance of our products, which could significantly impact our business and financial results.</w:t>
      </w: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fabless company, we do not manufacture our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17" w:right="359" w:bottom="1440" w:gutter="0" w:footer="0" w:header="0"/>
        </w:sectPr>
      </w:pPr>
    </w:p>
    <w:bookmarkStart w:id="18" w:name="page19"/>
    <w:bookmarkEnd w:id="18"/>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reasons outside our control;</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 such as changes in China-Taiwan relations that may adversely affect our manufacturers’ and suppliers’ operations;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we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our suppliers.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impacted.</w:t>
      </w: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17" w:right="359" w:bottom="1440" w:gutter="0" w:footer="0" w:header="0"/>
        </w:sectPr>
      </w:pPr>
    </w:p>
    <w:bookmarkStart w:id="19" w:name="page20"/>
    <w:bookmarkEnd w:id="19"/>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20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207"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ind w:left="660" w:right="50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It is uncertain whether our strategies will attract customers or generate revenue required to succeed in this highly competitive and rapidly changing global market. We have committed and continue to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overly 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20" w:name="page21"/>
    <w:bookmarkEnd w:id="20"/>
    <w:p>
      <w:pPr>
        <w:ind w:right="180"/>
        <w:spacing w:after="0" w:line="266" w:lineRule="auto"/>
        <w:rPr>
          <w:sz w:val="20"/>
          <w:szCs w:val="20"/>
          <w:color w:val="auto"/>
        </w:rPr>
      </w:pPr>
      <w:r>
        <w:rPr>
          <w:rFonts w:ascii="Times New Roman" w:cs="Times New Roman" w:eastAsia="Times New Roman" w:hAnsi="Times New Roman"/>
          <w:sz w:val="18"/>
          <w:szCs w:val="18"/>
          <w:color w:val="auto"/>
        </w:rPr>
        <w:t>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18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ability to manage our business will depend in part on our ability to manage this growth effectively. If we fail to manage our anticipated growth and change in a manner that preserves our corporate culture, it could negatively affect our reputation and ability to retain and attract customers and employees.</w:t>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may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suppliers, design partners, part suppliers and chip, board and system manufacturers, larger and more mature intellectual property portfolios and substantially greater financial, technical and other resources.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21" w:name="page22"/>
    <w:bookmarkEnd w:id="21"/>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what we believe to be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2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our finances to defend against lawsuits or detrimental publicity, or to comply with new regulations imposed on AI technologies or products.</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four years ago and it is possible that in certain situations, it may not be competitive in performance and features. This will impact our ability to deliver the revenue forecast until our next-generation chip is available and we may lose key customer opportunities in the meantime.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1417" w:right="399" w:bottom="1440" w:gutter="0" w:footer="0" w:header="0"/>
        </w:sectPr>
      </w:pPr>
    </w:p>
    <w:bookmarkStart w:id="22" w:name="page23"/>
    <w:bookmarkEnd w:id="22"/>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1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Further, provisions typically included in our agreements with our customers that attempt to limit our exposure to claims may not be enforceable or adequate or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210"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use AI Technologies throughout our business and are making significant investments in this area. For example, we use AI Technologies internally to prepare data provided by customers for assisting such customers with AI development when using AI Studio.</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 usage of, or our investments in, such technologies may not ultimately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13" w:right="359" w:bottom="1440" w:gutter="0" w:footer="0" w:header="0"/>
        </w:sectPr>
      </w:pPr>
    </w:p>
    <w:bookmarkStart w:id="23" w:name="page24"/>
    <w:bookmarkEnd w:id="23"/>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and we may plan to increase our investment in this area to continuously improve our use of AI Technologies and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Any measures we take to reduce such risks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2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 a number of aspects of intellectual property rights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19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a company located in the southeastern United States.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2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achieve or maintain sufficient and performance data transmission capacity could significantly reduce demand for our platform.</w:t>
      </w:r>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civil unrest in the area, and/or the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1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rights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2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or datasets could subject us to possible litigation or cause us to subject our platform or products to unwanted open source license conditions that could negatively impact our sales.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datasets, and we expect to incorporate open source software and datasets into other offerings or solutions in the future. Such open source material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material were to allege that we had not complied with its license, we could be required to incur significant legal expenses. If we combine our proprietary technology with open source material or utilize open source material in a certain manner, we could, under certain open source licenses, be required to disclose part or all of the source code of our proprietary technology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25" w:name="page26"/>
    <w:bookmarkEnd w:id="25"/>
    <w:p>
      <w:pPr>
        <w:ind w:right="160"/>
        <w:spacing w:after="0" w:line="255" w:lineRule="auto"/>
        <w:rPr>
          <w:sz w:val="20"/>
          <w:szCs w:val="20"/>
          <w:color w:val="auto"/>
        </w:rPr>
      </w:pPr>
      <w:r>
        <w:rPr>
          <w:rFonts w:ascii="Times New Roman" w:cs="Times New Roman" w:eastAsia="Times New Roman" w:hAnsi="Times New Roman"/>
          <w:sz w:val="18"/>
          <w:szCs w:val="18"/>
          <w:color w:val="auto"/>
        </w:rPr>
        <w:t>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2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Our executive officers and key employees are employed “at will” and could choose to terminate their employment with us at any time. The loss of one or more of our executive officers or key employees could have a serious adverse effect on our business.</w:t>
      </w:r>
    </w:p>
    <w:p>
      <w:pPr>
        <w:spacing w:after="0" w:line="2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candidates for employment and existing employees often consider the value of the stock awards they may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we compete for highly skilled talent has been extremely high in the past few years. Although we have managed to retain our key employees, we may experience some level of employee attrition or turnover, and there is no guarantee that we will be able to continue to retain key employees or respond to these conditions in these locations if these trends continue.</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we have in the past and intend to continue to issue equity awards as key components of our overall compensation and employee attraction and retention efforts, we are required under GAAP to recognize compensation expense in our operating results for employee stock-based compensation under our equity grant programs, which may increase the pressure to limit stock-based compensation. Further, the dilutive effect of substantial equity awards may have a negative effect upon our stock, which could increase the pressure to limit stock-based compensation, or, conversely, should we fail to effectively limit the dilutive effects of stock based compensation, our stockholders may experience a decline in the stock price from such dilution.</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and cultivating a corporate culture which we believe motivates employees and is attractive to potential employees. As we grow and develop our infrastructure as a public company, our operations may become increasingly complex. We may find it difficult to maintain important aspects of our corporate culture. Any failure to preserve our corporate culture could negatively affect our future success, including our ability to retain and recruit personnel, and to effectively focus on and pursue our corporate objectives.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require significant resources and attention from our senior management team.</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with listed common stock, we are required to comply with various laws, regulations and requirements, including the requirements of the Exchange Act, certain corporate governance provisions of the Sarbanes-Oxley Act, related regulations of the SEC and requirements of the Nasdaq. The Exchange Act requires that we file annual, quarterly and current reports with respect to our business and financial condition. The Sarbanes-Oxley Act requires, among other things, that we establish and maintain effective internal control over financial reporting. While Section 404 of the Sarbanes-Oxley Act requires, among other things, that we assess the effectiveness of our internal control structure and procedures for financial reporting on an annual basis, for as long as we are a non-accelerated filer or an Emerging Growth Company, the registered public accounting firm that issues an audit report on our financial statements will not be required to attest to or report on the effectiveness of our internal control over financial reporting pursuant to Section 404(b) of the Sarbanes-Oxley Act. An independent assessment of the effectiveness of our internal controls could detect problems that our management’s assessment might not. We cannot be certain if the scaled SEC reporting options available to Smaller Reporting Companies or the delay in implementing new accounting standards available to us as an Emerging Growth Company will make our common stock less attractive to investors, possibly making the market price of our common stock decline and the trading volume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141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senior management team has limited experience with the complexities of managing a publicly traded company.</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Since completing the Merger in 2025, we have been required, on an ongoing basis, to comply with various laws, regulations and requirements, including the requirements of the Exchange Act, related regulations of the SEC, and continued listing requirements of the Nasdaq, along with certain extremely technical and complex accounting requirements of GAAP, and reports required under these laws, regulations, and requirements, which must be communicated to the market on a timely basis. Our senior management team has limited experience with these laws, regulations, and requirements, and a failure to timely identify any potential for noncompliance with the foregoing may result in a material adverse event, and have significant consequences to our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are or have been involved in the development of our intellectual property rights.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2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13" w:right="359" w:bottom="1440" w:gutter="0" w:footer="0" w:header="0"/>
        </w:sectPr>
      </w:pPr>
    </w:p>
    <w:bookmarkStart w:id="29" w:name="page30"/>
    <w:bookmarkEnd w:id="29"/>
    <w:p>
      <w:pPr>
        <w:ind w:right="20"/>
        <w:spacing w:after="0" w:line="282" w:lineRule="auto"/>
        <w:rPr>
          <w:sz w:val="20"/>
          <w:szCs w:val="20"/>
          <w:color w:val="auto"/>
        </w:rPr>
      </w:pPr>
      <w:r>
        <w:rPr>
          <w:rFonts w:ascii="Times New Roman" w:cs="Times New Roman" w:eastAsia="Times New Roman" w:hAnsi="Times New Roman"/>
          <w:sz w:val="18"/>
          <w:szCs w:val="18"/>
          <w:color w:val="auto"/>
        </w:rPr>
        <w:t>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intellectual property rights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rights may be unenforceable under the laws of jurisdictions outside the U.S.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U.S., is constantly developing. Changes in the law could make it harder for us to enforce our rights.</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general, we are subject to various laws and regulations in the U.S. and internationally, which may expose us to liability, increased costs or have other adverse effects that could harm our business.</w:t>
      </w:r>
    </w:p>
    <w:p>
      <w:pPr>
        <w:spacing w:after="0" w:line="18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business is subject to a variety of laws and regulations. These laws and regulations include but are not limited to data privacy and data localization, copyright or similar laws, export controls and sanctions,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may grow in popularity, the risk that additional laws and regulations will impact our business will continue to increase.</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21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addition,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20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17" w:right="359" w:bottom="1440" w:gutter="0" w:footer="0" w:header="0"/>
        </w:sectPr>
      </w:pPr>
    </w:p>
    <w:bookmarkStart w:id="30" w:name="page31"/>
    <w:bookmarkEnd w:id="30"/>
    <w:p>
      <w:pPr>
        <w:ind w:right="10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U.S. only with the required export authorizations, including by license, a license exception or other appropriate government authorizations.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or allegations of violations of export control and sanctions laws. In addition, our employees, representatives, or other third parties acting on our behalf may engage in conduct for which we might be held responsible. Violations of U.S. sanctions or export control laws can expose us to reputational harm as well as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2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0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a portion of our business with third-party ecosystem partners to provide defensive solutions that incorporate our products to various foreign and domestic government agencies, which are subject to unique risks.</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any third-party ecosystem partners’ compliance costs, including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417" w:right="359" w:bottom="1440" w:gutter="0" w:footer="0" w:header="0"/>
        </w:sectPr>
      </w:pPr>
    </w:p>
    <w:bookmarkStart w:id="31" w:name="page32"/>
    <w:bookmarkEnd w:id="31"/>
    <w:p>
      <w:pPr>
        <w:ind w:right="100"/>
        <w:spacing w:after="0" w:line="266" w:lineRule="auto"/>
        <w:rPr>
          <w:sz w:val="20"/>
          <w:szCs w:val="20"/>
          <w:color w:val="auto"/>
        </w:rPr>
      </w:pPr>
      <w:r>
        <w:rPr>
          <w:rFonts w:ascii="Times New Roman" w:cs="Times New Roman" w:eastAsia="Times New Roman" w:hAnsi="Times New Roman"/>
          <w:sz w:val="18"/>
          <w:szCs w:val="18"/>
          <w:color w:val="auto"/>
        </w:rPr>
        <w:t>form of withheld payments and/or reduced future business if we or any third-party ecosystem partners fail to comply with these requirements in the future, or otherwise have a material impact on our or any third-party ecosystem partners’ business, which could negatively impact our financial condition and operating results.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In addition, transactions involving government contractors may be subject to government review and approvals and may require the contractor to hold certain national security clearances in order to perform them.</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Additionally, the FCPA requires that we keep accurate books and records and maintain a system of adequate internal controls. Although we have taken precautions to prevent violations of these laws, we cannot provide assurance that our internal controls and compliance systems will always prevent misconduct by our employees, agents, third parties, or business partners.</w:t>
      </w:r>
    </w:p>
    <w:p>
      <w:pPr>
        <w:spacing w:after="0" w:line="2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1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including of our employees, employees of our customers and other third parties with which we do business and any personal information that may be uploaded to our services by our customers. As such, we are subject to federal, state, and foreign laws regarding cybersecurity, privacy, and the processing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Moreover, many jurisdictions have enacted laws requiring companies to notify individuals of security breaches involving certain types of personal information.</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privacy, and the processing of personal information is increasingly demanding, with frequent imposition of new and changing requirements that are subject to differing interpretations and create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Europe, and elsewhere, including in relation to cybersecurity incidents.</w:t>
      </w:r>
    </w:p>
    <w:p>
      <w:pPr>
        <w:spacing w:after="0" w:line="2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Further,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21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may fail to properly assess and understand the risks of information security breaches and cannot guarantee that any measures we take to ameliorate these risks will be effective. Like other companies, we have been the subject of various cyber incidents. While we believe these incidents have not been material, we cannot guarantee that any future will not have a material impact.</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Confidential Information (including personal information) could lead to significant fines and penalties, exposure to indemnification obligations, governmental investigations and enforcement actions, litigation (including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17" w:right="359" w:bottom="1440" w:gutter="0" w:footer="0" w:header="0"/>
        </w:sectPr>
      </w:pPr>
    </w:p>
    <w:bookmarkStart w:id="33" w:name="page34"/>
    <w:bookmarkEnd w:id="33"/>
    <w:p>
      <w:pPr>
        <w:ind w:right="100"/>
        <w:spacing w:after="0" w:line="254" w:lineRule="auto"/>
        <w:rPr>
          <w:sz w:val="20"/>
          <w:szCs w:val="20"/>
          <w:color w:val="auto"/>
        </w:rPr>
      </w:pPr>
      <w:r>
        <w:rPr>
          <w:rFonts w:ascii="Times New Roman" w:cs="Times New Roman" w:eastAsia="Times New Roman" w:hAnsi="Times New Roman"/>
          <w:sz w:val="18"/>
          <w:szCs w:val="18"/>
          <w:color w:val="auto"/>
        </w:rPr>
        <w:t>actions) or adverse publicity. Additionally, 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Further,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the foregoing could force us to spend money in defense or settlement of proceedings, result in the imposition of monetary liability or injunctive relief, divert management’s time and attention, increase our costs of doing business and adversely affect our reputation and the demand for our platform and products, which could materially adversely affect our business, results of operations, and financial condition.</w:t>
      </w:r>
    </w:p>
    <w:p>
      <w:pPr>
        <w:spacing w:after="0" w:line="21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Market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on a going concern basis, which contemplates the realization of assets and the discharge of liabilities in the normal course of business. Our ability to continue to meet our obligations, achieve our business objectives, and continue as a going concern is dependent upon several factors, including our revenue growth rate and the timing and extent of spending to support further sales, marketing and research and development efforts. Although we intend to raise additional capital through issuances of additional debt and/or equity, additional financing may not be available at terms acceptable to us or at all. These factors raise substantial doubt about our ability to continue as a going concern. If we cannot continue as a viable entity, this could materially adversely affect the value of our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controls may limit our ability to access or repatriate funds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portion of our business operations, customers, or suppliers are located in China, and we may continue to expand our presence in the region. The Chinese government maintains strict currency controls and regulations on the convertibility of the Renminbi (RMB) into foreign currencies. These controls can restrict the free flow of capital into and out of China and may limit our ability to access, transfer, or repatriate funds generated from our operations or sales in China.</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Approval from or registration with appropriate government authorities is required for the conversion of RMB into foreign currency and remittance of such foreign currency out of China for capital account items, such as direct investment, loans, and repatriation of investment proceeds.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we are unable to obtain the necessary government approvals or complete the required registration processes, or if the Chinese government tightens its currency controls, we may be unable to repatriate funds from China or finance our operations. In addition, changes in foreign exchange policies or fluctuations in the value of the RMB could adversely affect our financial condition, results of operations, and cash flows.</w:t>
      </w:r>
    </w:p>
    <w:p>
      <w:pPr>
        <w:spacing w:after="0" w:line="20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Furthermore, any future restrictions on currency exchange or capital outflows imposed by the Chinese government could limit our ability to use cash generated in China to fund our business activities outside of China or to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7" w:right="339" w:bottom="1440" w:gutter="0" w:footer="0" w:header="0"/>
        </w:sectPr>
      </w:pPr>
    </w:p>
    <w:bookmarkStart w:id="34" w:name="page35"/>
    <w:bookmarkEnd w:id="34"/>
    <w:p>
      <w:pPr>
        <w:ind w:right="540"/>
        <w:spacing w:after="0" w:line="282" w:lineRule="auto"/>
        <w:rPr>
          <w:sz w:val="20"/>
          <w:szCs w:val="20"/>
          <w:color w:val="auto"/>
        </w:rPr>
      </w:pPr>
      <w:r>
        <w:rPr>
          <w:rFonts w:ascii="Times New Roman" w:cs="Times New Roman" w:eastAsia="Times New Roman" w:hAnsi="Times New Roman"/>
          <w:sz w:val="18"/>
          <w:szCs w:val="18"/>
          <w:color w:val="auto"/>
        </w:rPr>
        <w:t>our obligations denominated in foreign currencies. These risks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or other securities convertible into our common stock could cause the market value of shares of our common stock to decline and could result in dilution of your shares.</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substantial number of warrants and equity awards are outstanding, each of which are convertible into common stock in the case of warrants, exercisable for shares of our common stock in the case of stock options, or become common stock after the passage of time in the case of RSUs.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issuances of common stock upon the conversion or exercise of warrants, issuances of additional equity awards, issuances of other classes of stock, or issuances of preferred stock could cause the market price of shares of our common stock to decrease significantly. We cannot predict the effect, if any, of future sales of shares of our common stock, or the availability of shares of our common stock for future sales, on the value of shares of our common stock. Sales of substantial amounts of shares of our common stock, or the perception that such sales could occur, may adversely affect prevailing market prices for shares of our common stock.</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the continued listing standards of the Nasdaq from time to time. This could result in our common stock being delisted from the exchange.</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Delisting could have several adverse consequences for our company and our shareholders. It would likely reduce the liquidity and marketability of our common stock, making it more difficult for shareholders to buy or sell shares. Delisting may also negatively impact our ability to raise capital, attract and retain employees, and pursue strategic transactions. Furthermore, it could diminish our visibility and credibility in the marketplace, potentially affecting relationships with customers, suppliers, and other business partners.</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are unable to improve our stock price or otherwise comply with the listing requirements, and our common stock is delisted, it may only be traded on the over-the-counter market, which is generally less liquid and more volatile. This could further depress the market price of our common stock and adversely affect the value of your investment. You could lose some or all of your 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Activist shareholders could disrupt our operations, cause uncertainty, and adversely affect our business and stock price.</w:t>
      </w:r>
    </w:p>
    <w:p>
      <w:pPr>
        <w:spacing w:after="0" w:line="25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may be subject to actions or proposals from activist shareholders, including unsolicited offers to acquire control, proposals to change our governance structure, or demands for strategic, operational, or financial changes. Activist shareholders may seek to effect changes in how the Company is governed, managed, or operated, or may seek to acquire control of the Company without paying a premium for all of our outstanding shares. Such activities could include public campaigns, proxy contests, or litigation.</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Responding to activist shareholders can be costly and time-consuming, may divert the attention of our Board of Directors and management from the operation of our business, and could disrupt our ability to execute our strategic plans. Even if activist campaigns are not successful, the process of engaging with activist shareholders and responding to their proposals can create uncertainty among employees, customers, suppliers, and other stakeholders, potentially harming our business relationships and reputation.</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perceived or actual actions by activist shareholders may cause volatility in the market price of our common stock, particularly if activist campaigns are accompanied by negative publicity or speculation regarding the Company’s future. If activist shareholders are successful in electing directors or effecting changes in management or strategy, such changes may not be in the best interests of all shareholders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417" w:right="379" w:bottom="1440" w:gutter="0" w:footer="0" w:header="0"/>
        </w:sectPr>
      </w:pPr>
    </w:p>
    <w:bookmarkStart w:id="35" w:name="page36"/>
    <w:bookmarkEnd w:id="35"/>
    <w:p>
      <w:pPr>
        <w:spacing w:after="0" w:line="2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actions of activist shareholders may adversely impact our ability to achieve our business objectives, maintain stable operations, and deliver long-term value to our shareholders.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 and investors should intend to rely on stock price appreciation for a return on their investment.</w:t>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paying any cash dividends in the foreseeable future. Our current policy is to retain all available funds and future earnings, if any, to fund the development and growth of our business, support our working capital needs, and for general corporate purposes. As a result, investors seeking cash dividends should not purchase our common stock.</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future determination to pay dividends will be at the discretion of our Board of Directors and will depend on a number of factors, including our financial condition, results of operations, capital requirements, contractual restrictions, and other factors that the Board of Directors may deem relevant. In addition, our ability to pay dividends may be limited by covenants in any future debt agreements or other financing arrangements.</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Accordingly, investors should intend to rely on sales of their shares of our common stock after price appreciation, which may never occur, as the only way to realize any future gains on their investment. If our common stock does not appreciate in value, or if it declines in value, investors may lose part or all of their investment.</w:t>
      </w:r>
    </w:p>
    <w:p>
      <w:pPr>
        <w:spacing w:after="0" w:line="19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Furthermore, if we were to incur debt, the terms of such debt, including the accrual and payment of interest at fixed or variable interest rates, could restrict our operations.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common stock to make claims on our assets. As a result, our stockholders bear the risk of future issuances of debt securities reducing the value of our common stock.</w:t>
      </w:r>
    </w:p>
    <w:p>
      <w:pPr>
        <w:spacing w:after="0" w:line="2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14, 2025, we entered into a common stock purchase agreement (the “Committed Equity Facility”) with B. Riley Principal Capital, LLC (“B. Riley”), pursuant to which B. Riley has committed to purchase up to $50.0 million of our common stock, subject to certain limitations and conditions set forth in the Committed Equity Facility. The shares of our common stock that may be issued under the Committed Equity Facility may be sold by us to B. Riley at our discretion from time to time over an approximately 36-month period. As of October 17, 2025, the most recent date of such a sale, we had sold a total of 8,410,321 shares of our common stock to B. Riley for net proceeds of $33.2 million.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B. Riley under the Committed Equity Facility. Sales of our common stock, if any, to B. Riley under the Committed Equity Facility depend upon market conditions and other factors to be determined by us. We may ultimately decide to sell to B. Riley all or only a portion of the shares of our common stock that may be available for us to sell to B. Riley pursuant to the Committed Equity Facility. Depending on market liquidity at the time, resales of those shares by B. Riley may cause the public trading price of our common stock to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40" w:right="359" w:bottom="1440" w:gutter="0" w:footer="0" w:header="0"/>
        </w:sectPr>
      </w:pPr>
    </w:p>
    <w:bookmarkStart w:id="36" w:name="page37"/>
    <w:bookmarkEnd w:id="36"/>
    <w:p>
      <w:pPr>
        <w:spacing w:after="0" w:line="2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purchase price per share to be paid by B. Riley for the shares of common stock that we may elect to sell to B. Riley under the Committed Equity Facility will fluctuate based on the market prices of our common stock during the applicable purchase valuation period for each purchase made pursuant to the Committed Equity Facility, it is not possible for us to predict, as of the date of this filing and prior to any such sales, the number of shares of common stock that we will ultimately sell to B. Riley under the Committed Equity Facility, the purchase price per share that B. Riley will pay for shares purchased from us under the Committed Equity Facility, or the aggregate gross proceeds that we will receive from those purchases by B. Riley under the Committed Equity Facility.</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although the Committed Equity Facility provides that we may, in our discretion, from time to time during the term of the Committed Equity Facility direct B. Riley to purchase shares of our common stock from us, for a maximum aggregate purchase price of up to $50.0 million, only 20,326,159 shares of common stock of which 83,353 represent the commitment shares we issued to B. Riley upon our execution of the Committed Equity Facility on July 14, 2025 were registered for resale under a registration statement on Form S-1. Accordingly, only 20,242,806 of such shares represent shares that we may elect, in our sole discretion, to issue and sell to B. Riley, from time to time under the Committed Equity Facility. Because the market price of our common stock fluctuates, the actual purchase prices to be paid by B. Riley for shares of our common stock that we direct it to purchase under the Committed Equity Facility also fluctuate because they will be based on the current market price of our common stock at the time of each purchase. In order to receive aggregate gross proceeds equal to B. Riley’s $50.0 million total aggregate purchase commitment under the Committed Equity Facility, we would have to register additional shares of common stock.</w:t>
      </w:r>
    </w:p>
    <w:p>
      <w:pPr>
        <w:spacing w:after="0" w:line="21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under the applicable Nasdaq rules, we may not issue to B. Riley more than 20,326,159 shares of common stock without stockholder approval, which number of shares is equal to 19.99% of the shares of the common stock outstanding immediately prior to the execution of the Committed Equity Facility. As a result, if it becomes necessary for us to issue and sell to B. Riley an aggregate number of shares that would exceed that limit (excluding certain issuances), then before we could issue any shares of common stock in excess of the share issuance limit under the Committed Equity Facility, we would also need to obtain the requisite stockholder approval.</w:t>
      </w:r>
    </w:p>
    <w:p>
      <w:pPr>
        <w:spacing w:after="0" w:line="2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Any issuance and sale by us under the Committed Equity Facility of a substantial amount of shares of common stock could cause additional substantial dilution to our stockholders, which may not be in your best interest as a stockholder.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inability to access a portion or the full amount available under the Committed Equity Facility, in the absence of any other financing sources, could have a material adverse effect on our business.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Delaware law and our certificate of incorporation and bylaws may deter third parties from acquiring us and diminish the value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provide for, among other things:</w:t>
      </w:r>
    </w:p>
    <w:p>
      <w:pPr>
        <w:spacing w:after="0" w:line="252" w:lineRule="exact"/>
        <w:rPr>
          <w:sz w:val="20"/>
          <w:szCs w:val="20"/>
          <w:color w:val="auto"/>
        </w:rPr>
      </w:pPr>
    </w:p>
    <w:p>
      <w:pPr>
        <w:ind w:left="660" w:right="3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 voting or other rights or preferences that could have the effect of impeding the success of an attempt to acquire us or otherwise effect a change in control;</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which limits the ability of minority stockholders to elect director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stockholder meetings;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234" w:lineRule="exact"/>
        <w:rPr>
          <w:sz w:val="20"/>
          <w:szCs w:val="20"/>
          <w:color w:val="auto"/>
        </w:rPr>
      </w:pPr>
    </w:p>
    <w:p>
      <w:pPr>
        <w:ind w:right="40"/>
        <w:spacing w:after="0" w:line="222" w:lineRule="exact"/>
        <w:rPr>
          <w:sz w:val="20"/>
          <w:szCs w:val="20"/>
          <w:color w:val="auto"/>
        </w:rPr>
      </w:pPr>
      <w:r>
        <w:rPr>
          <w:rFonts w:ascii="Times New Roman" w:cs="Times New Roman" w:eastAsia="Times New Roman" w:hAnsi="Times New Roman"/>
          <w:sz w:val="18"/>
          <w:szCs w:val="18"/>
          <w:color w:val="auto"/>
        </w:rPr>
        <w:t>In addition, in our certificate of incorporation, we have not opted out of Section 203 of the Delaware General Corporation Law, which prohibits a Delaware corporation from engaging in certain “business combinations” with any “interested stockholder”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following the time that the stockholder became an interested stockholder,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21" w:lineRule="exact"/>
        <w:rPr>
          <w:sz w:val="20"/>
          <w:szCs w:val="20"/>
          <w:color w:val="auto"/>
        </w:rPr>
      </w:pPr>
    </w:p>
    <w:p>
      <w:pPr>
        <w:ind w:left="660" w:right="4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that resulted in the stockholder becoming an interested stockholder;</w:t>
      </w:r>
    </w:p>
    <w:p>
      <w:pPr>
        <w:ind w:left="660" w:right="3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ind w:left="660" w:hanging="328"/>
        <w:spacing w:after="0" w:line="216" w:lineRule="exact"/>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of the votes of our outstanding voting stock that is not owned by the interested stockholder.</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207"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This provision may encourage companies interested in acquiring us to negotiate in advance with our Board of Directors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2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provisions in our certificate of incorporation and our bylaws, as well as Delaware law, may discourage, delay or prevent a transaction involving a change in control of us that is in the best interest of its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of Directors and take other corporate 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 capital spending, concerns about the stability and liquidity of certain financial institutions, prolonged or recurring U.S. federal government shutdowns, epidemics,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440" w:right="359" w:bottom="1440" w:gutter="0" w:footer="0" w:header="0"/>
        </w:sectPr>
      </w:pPr>
    </w:p>
    <w:bookmarkStart w:id="38" w:name="page39"/>
    <w:bookmarkEnd w:id="38"/>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chain and production process may be affected by tariffs on equipment or materials that we may rely on or use for our products, which could also cause our costs to increase.</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impact our supply chain and access to equipment, and our costs. Tariffs imposed on components or equipment that we source from China will increase our costs and could have an adverse impact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are often required to enter or exit the United States. Those components are at the highest risk of being affected by the aforementioned changes, and in turn disrupting the supply chain and our product pipeline.</w:t>
      </w:r>
    </w:p>
    <w:p>
      <w:pPr>
        <w:spacing w:after="0" w:line="21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19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write reports and downgrade our stock or publish inaccurate or unfavorable research about our business, our share price could decline. If one or more of these analysts cease coverage of us or fail to publish reports on us regularly, our securities price or trading volume could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any guidance that we may provide.</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projections or guidance in our quarterly earnings releases, quarterly earnings conference calls, or otherwise regarding our future performance that represents our management’s estimates as of the date of release. Any guidance we provide is based on certain assumptions, which may or may not prove to be correct. Failure to meet announced guidance or market expectations going forward, particularly with respect to our operational and financial results, shareholder returns, and expectations regarding the success of our business initiatives, whether due to our assumptions not being met or the impact of various risks and uncertainties, is likely to result in either or both a decline in or increased volatility in the market price of our stock. In addition, price and volume fluctuations in the stock market as a whole may affect the market price of our stock in ways that may be unrelated to our financial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claims, investigations, and regulatory actions from time to time.</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claims, investigations, and regulatory actions arising in the ordinary course of our business. These matters may include, but are not limited to, commercial disputes, employment-related claims, intellectual property matters, product liability, contractual obligations, and regulatory compliance issues. The outcome of litigation and other legal proceedings is inherently uncertain, and regardless of the merits of the claims, defending against such actions can be costly, time-consuming, and may divert management’s attention from our core business operations.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Adverse outcomes in one or more of these proceedings could result in significant monetary damages, penalties, or injunctive relief against us, which could negatively impact our financial condition, results of operations, and reputation. Even if we ultimately prevail in any such matters, the costs of defense and the potential impact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3" w:right="339" w:bottom="1440" w:gutter="0" w:footer="0" w:header="0"/>
        </w:sectPr>
      </w:pPr>
    </w:p>
    <w:bookmarkStart w:id="39" w:name="page40"/>
    <w:bookmarkEnd w:id="39"/>
    <w:p>
      <w:pPr>
        <w:ind w:right="60"/>
        <w:spacing w:after="0" w:line="282" w:lineRule="auto"/>
        <w:rPr>
          <w:sz w:val="20"/>
          <w:szCs w:val="20"/>
          <w:color w:val="auto"/>
        </w:rPr>
      </w:pPr>
      <w:r>
        <w:rPr>
          <w:rFonts w:ascii="Times New Roman" w:cs="Times New Roman" w:eastAsia="Times New Roman" w:hAnsi="Times New Roman"/>
          <w:sz w:val="18"/>
          <w:szCs w:val="18"/>
          <w:color w:val="auto"/>
        </w:rPr>
        <w:t>business relationships and reputation could be material. Additionally, the initiation of litigation or regulatory actions, or the announcement of such matters, could result in negative publicity and harm our brand or market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program for overseeing and managing cybersecurity and related risks, which is supported by both management and our Board of Directors.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cybersecurity functions are led by our Chief Scientist and Chief Operating Officer (“CSCOO”), who is one of the Company’s founders and reports to our Chief Executive Officer. Our CSCOO has delegated the overall responsibility for overseeing our cybersecurity management program and the protection and defense of our networks and systems to the Director of IT and Information Security (“DITIS”). The DITIS’s relevant experience in cybersecurity includes over 25 years of extensive experience, including six years with us, and roles including Director of Information Technology and Chief Information Officer at various other companies. The DITIS manages a team of IT professionals with broad experience and expertise, including in cybersecurity threat assessments, corporate firewall installation and management, enterprise infrastructure engineering, and network analysis, and who also support our cybersecurity incident response and vulnerability management efforts.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responsible for overseeing our enterprise risk management activities in general, and the Audit Committee of the Board (“Audit Committee”), also reviews the adequacy and effectiveness of our information security policies and practices and the internal controls regarding information security risks. The Audit Committee receives regular information security updates from management. The full Board receives an update on our risk management process and the risk trends related to cybersecurity at least annually from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consult with external parties, such as cybersecurity firms and risk management and governance experts, on risk management and strategy.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strategy includes but is not limited to the following key elements:</w:t>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Risk Assessment and Management </w:t>
      </w:r>
      <w:r>
        <w:rPr>
          <w:rFonts w:ascii="Times New Roman" w:cs="Times New Roman" w:eastAsia="Times New Roman" w:hAnsi="Times New Roman"/>
          <w:sz w:val="18"/>
          <w:szCs w:val="18"/>
          <w:color w:val="auto"/>
        </w:rPr>
        <w:t>– We follow processes outlined in the international standard ISO 27001, an Information Security Management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(ISMS), which helps safeguard the confidentiality, integrity, and availability of information through a structured risk management process. We believe that this approach helps us to manage cybersecurity risks by using a structured framework. However, as with any risk management program, absolute assurance cannot be provided.</w:t>
      </w:r>
    </w:p>
    <w:p>
      <w:pPr>
        <w:spacing w:after="0" w:line="207"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Technical Security Controls </w:t>
      </w:r>
      <w:r>
        <w:rPr>
          <w:rFonts w:ascii="Times New Roman" w:cs="Times New Roman" w:eastAsia="Times New Roman" w:hAnsi="Times New Roman"/>
          <w:sz w:val="18"/>
          <w:szCs w:val="18"/>
          <w:color w:val="auto"/>
        </w:rPr>
        <w:t>– We employ layered security controls, including firewalls, identity and access management software and/or multi-factor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authentication requirements for access to internal applications, and encryption technologies.</w:t>
      </w:r>
    </w:p>
    <w:p>
      <w:pPr>
        <w:spacing w:after="0" w:line="18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Vendor Risk Management Program </w:t>
      </w:r>
      <w:r>
        <w:rPr>
          <w:rFonts w:ascii="Times New Roman" w:cs="Times New Roman" w:eastAsia="Times New Roman" w:hAnsi="Times New Roman"/>
          <w:sz w:val="18"/>
          <w:szCs w:val="18"/>
          <w:color w:val="auto"/>
        </w:rPr>
        <w:t>– We have implemented processes to oversee, identify and manage risks from cybersecurity threats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third-party service providers. Our vendor risk management program establishes governance, processes and tools for managing various risks related to third-party service providers, including information security and supplier-related risks.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2025, we have not identified risks from cybersecurity threats, including as a result of any previous cybersecurity incidents, that have materially affected or are reasonably likely to materially affect us, including our business strategy, results of operations or financial condition. For more information regarding the risks we face from cybersecurity threats, please see Part I, Item 1A, —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leased office space located in El Dorado Hills, California. All of our facilities are substantially comprised of leased premises for office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lawsuits, disputes and claims arising in the ordinary course of our business. We are not currently a party to any litigation or legal proceedings that, in the opinion of our management, may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413" w:right="359" w:bottom="1440" w:gutter="0" w:footer="0" w:header="0"/>
        </w:sectPr>
      </w:pPr>
    </w:p>
    <w:bookmarkStart w:id="41" w:name="page42"/>
    <w:bookmarkEnd w:id="4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“BZAI”.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20, 2026, there were approximately 122,744,509 shares of our common stock outstanding with 105 holders of record of our common stock. The actual number of stockholders is greater than this number of record holders and includes stockholders who are beneficial owners but whose shares are held in “street name” accounts by brokers and other nominees.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any cash dividends on our common stock to date and we have no current plans to pay cash dividends to holders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1413"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consolidated financial statements and related notes thereto, included in Part 1I, Item 8. of this Annual Report on Form 10-K, and risk factors, included in Part I, Item 1A. of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January 13, 2025, BurTech completed the Merger, pursuant to the Merger Agreement, whereby Merger Sub merged with and into Legacy Blaize, with Legacy Blaize being the surviving company and a wholly owned subsidiary of BurTech.</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de-SPAC, we changed our name from “BurTech Acquisition Corporation” to “Blaize Holdings, Inc.”. BurTech was considered the acquired company and Legacy Blaize was considered the acquirer for financial statement reporting purposes, and the Merger was accounted for as a reverse merger and recapitalization.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in Our Business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July 16, 2025, we entered into a Strategic Cooperation Agreement (the “Starshine Agreement”) with Starshine Computing Power Technology Limited, a Hong Kong company (“Starshine”). Pursuant to the terms of the Starshine Agreement, we entered into a strategic partnership with Starshine to develop business opportunities for the sale of our hybrid AI platform and other products and services through Starshine in the Asia Pacific region. Starshine agreed to deliver a minimum of $120.0 million in revenue to us over the first 18 months of the Starshine Agreement. Any such commitments made by Starshine are subject to issuance of purchase orders by Starshine. Starshine initiated one purchase order to us in the third quarter of 2025 for $10.4 million. Starshine paid $1.6 million to us in regards to its account receivable, and the remainder of $8.8 million of its account receivable remains outstanding as of March 24, 2026. As of March 24, 2026, we have not received any further purchase orders from Starshine.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413" w:right="379" w:bottom="1440" w:gutter="0" w:footer="0" w:header="0"/>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10, 2025, Blaize and affiliates of Polar Asset Management Partners Inc. (“Polar”) entered into a Securities Purchase Agreement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we believe could accelerate our growth through near-term customer implementations. Although we have no contractual arrangement(s) with respect to such pipeline and we cannot predict with certainty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December 31, 2025, 25 POCs were initiated or in progress with a potential customer.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December 31, 2025, we had a total of 30 Partners.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December 31, 2025, 20 Design Wins had been confirmed with a Partner or customer.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252" w:lineRule="exact"/>
        <w:rPr>
          <w:sz w:val="20"/>
          <w:szCs w:val="20"/>
          <w:color w:val="auto"/>
        </w:rPr>
      </w:pPr>
    </w:p>
    <w:p>
      <w:pPr>
        <w:ind w:left="660" w:right="2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encompasses the sale of our semiconductor products and/or third-party hardware products which support our semiconductor products through various supply agreements.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encompasses the sale of our applications and other software products through various licensing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consulting services revenue — providing customized design services to our customers, tailored to their specific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4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1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revenue increased to $38.6 million compared to $1.6 million for the year ended December 31, 2024. The increase was due to hardware sales in 2025, primarily comprised of hardware sales to third parties, while revenue from the comparable period in 2024 was derived primarily from strategic consulting services provided to related parties. Strategic consulting services revenue with the related party is no longer expected, as the development contract with this party has been completed.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the geographical location of our customers for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1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Since our revenue is concentrated among a small number of customers, revenue from any one significant customer may significantly change the geographical mix of our revenue. Customer C and Customer D, below, are both located in China, along with a customer in “Others,”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revenue by customer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B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Others</w:t>
            </w:r>
            <w:r>
              <w:rPr>
                <w:rFonts w:ascii="Times New Roman" w:cs="Times New Roman" w:eastAsia="Times New Roman" w:hAnsi="Times New Roman"/>
                <w:sz w:val="10"/>
                <w:szCs w:val="10"/>
                <w:color w:val="auto"/>
              </w:rPr>
              <w:t xml:space="preserve"> (2) (3)</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Customers A and B are both related parties.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comprised less than 10% of revenue each.</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2025, “Others” included $3.4 million in revenue from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 of revenue is currently primarily comprised of the cost of purchase of hardware from third parties (servers into which our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cost of revenue has historically also included direct labor costs associated with the servicing of our strategic consulting services revenue contracts with a related party. Strategic consulting services revenue with the related party is no longer expected, as the development contract with this party has been completed. There is no depreciation allocable to cost of revenue; however, if such depreciation expense were to be incurred, it would be allocated to cost of revenue.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consists of ordinary depreciation on long-lived assets such as computer equipment, furniture and fixtures, leasehold improvements, and office equipment and is generally not material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Transaction costs consisted of direct incremental legal, consulting, and banking fees related to the consummation of the Merger which was completed in the first quarter of 2025. No additional costs relating to the Merger are expected to be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Detail of 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costs and expenses, as described above,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spacing w:after="0"/>
              <w:rPr>
                <w:sz w:val="18"/>
                <w:szCs w:val="18"/>
                <w:color w:val="auto"/>
              </w:rPr>
            </w:pPr>
          </w:p>
        </w:tc>
      </w:tr>
      <w:tr>
        <w:trPr>
          <w:trHeight w:val="21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140.7 %</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0"/>
        </w:trPr>
        <w:tc>
          <w:tcPr>
            <w:tcW w:w="4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cost of revenue increased by $31.9 million to $32.4 million, compared to $0.6 million for the year ended December 31, 2024. The increase was primarily driven by purchases of hardware from third party vendors in order to fulfil sales contracts.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R&amp;D expense increased by $17.4 million, or 69.5%, to $42.5 million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compared to $25.1 million for the year ended December 31, 2024. The increase during the year ended December 31, 2025 was primarily due to higher stock-based compensation expenses allocated to R&amp;D of $17.1 million and the acquisition of third-party intellectual property for new chip development.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R&amp;D expenses described above are expected to continue as we support the development of our next generation of products.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SG&amp;A expense increased by $31.3 million, or 140.7%, to $53.5 million, up from $22.2 million for the year ended December 31, 2024. This increase during the year ended December 31, 2025 was primarily due to stock-based compensation expense of $20.5 million, which is the largest component of payroll expense, which is, in turn, the largest component of SG&amp;A.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our total other expense, net,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spacing w:after="0"/>
              <w:rPr>
                <w:sz w:val="18"/>
                <w:szCs w:val="18"/>
                <w:color w:val="auto"/>
              </w:rPr>
            </w:pPr>
          </w:p>
        </w:tc>
      </w:tr>
      <w:tr>
        <w:trPr>
          <w:trHeight w:val="211"/>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57"/>
        </w:trPr>
        <w:tc>
          <w:tcPr>
            <w:tcW w:w="40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Change in fair value of Legacy Blaize convertible</w:t>
            </w: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warrants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(210,325)</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unissued shares of common</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“total other expense, net” for the year ended December 31, 2025 compared to the year ended December 31, 2024 was driven by the fair value changes in the different financial instruments in place during each period. In the first quarter of 2025, as a result of the Merger, the Legacy Blaize convertible notes and warrants were all converted into shares of our common stock. These instruments were, therefore, only outstanding fully during the comparative period for 2024.</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After the Merger, the earnout awards issued to Burkhan that were classified as a derivative liability, and the derivative asset (fair value of the initial put option) and liability (forward contracts at each date of purchase of common stock by B. Riley) associated with the Committed Equity Facility were recorded, and subsequently marked to market at the end of each quarterly period. The derivatives associated with the Committed Equity Facility were marked to zero as of December 31, 2025, due to the immateriality of the remaining balances. “Other, net” includes fines and penalties (and the reversal of the same) regarding non-income tax based tax positions as well as the Committed Equity Facility transaction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GAAP, we also use EBITDA and Adjusted EBITDA, as defined below, to evaluate our ongoing operations and for internal planning and forecasting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further adjusted for non-cash items such as stock-based compensation, changes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and operational income and expenses that are not expected to be ongoing, as discussed below in the footnote to “other adjustments”.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to EBITDA and Adjusted EBITDA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900" w:type="dxa"/>
            <w:vAlign w:val="bottom"/>
          </w:tcPr>
          <w:p>
            <w:pPr>
              <w:spacing w:after="0"/>
              <w:rPr>
                <w:sz w:val="18"/>
                <w:szCs w:val="18"/>
                <w:color w:val="auto"/>
              </w:rPr>
            </w:pPr>
          </w:p>
        </w:tc>
        <w:tc>
          <w:tcPr>
            <w:tcW w:w="14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spacing w:after="0"/>
              <w:rPr>
                <w:sz w:val="18"/>
                <w:szCs w:val="18"/>
                <w:color w:val="auto"/>
              </w:rPr>
            </w:pPr>
          </w:p>
        </w:tc>
      </w:tr>
      <w:tr>
        <w:trPr>
          <w:trHeight w:val="21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(145,709)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238.1 %</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for income taxes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9"/>
        </w:trPr>
        <w:tc>
          <w:tcPr>
            <w:tcW w:w="4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(144,079)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228.1 %</w:t>
            </w: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876.0 %</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547.9 %</w:t>
            </w: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125.2 %</w:t>
            </w:r>
          </w:p>
        </w:tc>
      </w:tr>
      <w:tr>
        <w:trPr>
          <w:trHeight w:val="229"/>
        </w:trPr>
        <w:tc>
          <w:tcPr>
            <w:tcW w:w="40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445.1 %</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80" w:firstLine="8"/>
        <w:spacing w:after="0" w:line="255"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consolidated financial statements, as we cannot expect that the sources of financing currently available to us will be sufficient to fund our ongoing cash requirements for at least the next twelve months and/or into the foreseeable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described in Item 8 — “Financial Statements and Supplementary Data,” in Note 2 — “Liquidity and Going Concern,” our consolidated financial statements accompanying this Annual Report on Form 10-K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2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17" w:right="339" w:bottom="1440" w:gutter="0" w:footer="0" w:header="0"/>
        </w:sectPr>
      </w:pPr>
    </w:p>
    <w:bookmarkStart w:id="49" w:name="page50"/>
    <w:bookmarkEnd w:id="49"/>
    <w:p>
      <w:pPr>
        <w:ind w:right="80"/>
        <w:spacing w:after="0" w:line="282" w:lineRule="auto"/>
        <w:rPr>
          <w:sz w:val="20"/>
          <w:szCs w:val="20"/>
          <w:color w:val="auto"/>
        </w:rPr>
      </w:pPr>
      <w:r>
        <w:rPr>
          <w:rFonts w:ascii="Times New Roman" w:cs="Times New Roman" w:eastAsia="Times New Roman" w:hAnsi="Times New Roman"/>
          <w:sz w:val="18"/>
          <w:szCs w:val="18"/>
          <w:color w:val="auto"/>
        </w:rPr>
        <w:t>further sales and marketing initiatives, as well as our research and development efforts. In order to continue to finance our operations, we will need to raise additional financing, if such financing is available at all.</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a result of the above considerations, we have determined that our liquidity condition raises substantial doubt about our ability to continue as a going concern through a year from the date of issuance of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During the Current Year</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table below sets forth a description of our issuance of common stock during the year ended December 31, 2025, commencing from the Closing Date of the Merger: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Committed Equity Facility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8,493,674</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in Polar Private Placement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Cantor Fitzgerald &amp; Co.</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769,231</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Committed Equity Facility</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14, 2025, the Company entered into the Committed Equity Facility with B. Riley Principal Capital II, LLC (“B. Riley”). Pursuant to the agreement governing the Committed Equity Facility, the Company has the right, but not the obligation, to direct B. Riley to purchase newly issued shares of the Company’s common stock up to an aggregate value of $50.0 million over a defined 36-month period in distinct individual transactions (each a “Purchase”), subject to certain limitations and conditions set forth in the agreement governing the Committed Equity Facility, as further described below. Without prior stockholder approval, the total aggregate shares of common stock issued to B. Riley under the Committed Equity Facility cannot exceed 20,326,159 shares of common stock, representing 19.99% of the aggregate number of shares issued and outstanding immediately prior to the execution of the Committed Equity Facility.</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 total of 8,493,674 shares of its common stock to B. Riley under the Committed Equity Facility for net proceeds of $33.2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in Polar Private Placement</w:t>
      </w:r>
    </w:p>
    <w:p>
      <w:pPr>
        <w:spacing w:after="0" w:line="25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See “Trends and Recent Developments — </w:t>
      </w:r>
      <w:r>
        <w:rPr>
          <w:rFonts w:ascii="Times New Roman" w:cs="Times New Roman" w:eastAsia="Times New Roman" w:hAnsi="Times New Roman"/>
          <w:sz w:val="18"/>
          <w:szCs w:val="18"/>
          <w:i w:val="1"/>
          <w:iCs w:val="1"/>
          <w:color w:val="auto"/>
        </w:rPr>
        <w:t>Recent Developments in Our Business”</w:t>
      </w:r>
      <w:r>
        <w:rPr>
          <w:rFonts w:ascii="Times New Roman" w:cs="Times New Roman" w:eastAsia="Times New Roman" w:hAnsi="Times New Roman"/>
          <w:sz w:val="18"/>
          <w:szCs w:val="18"/>
          <w:color w:val="auto"/>
        </w:rPr>
        <w:t xml:space="preserve"> for a description of the shares of our common stock issued in the Polar Private Placement.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to Cantor Fitzgerald &amp; Co.</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engagement letter with Cantor Fitzgerald &amp; Co. (“Cantor”), which required a non-refundable advisory fee in the form of 769,231 shares of common stock. In July 2025, the Company issued the shares of common stock due to 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Commitments to Issue Shares of Our Common Stock</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80" w:type="dxa"/>
            <w:vAlign w:val="bottom"/>
          </w:tcPr>
          <w:p>
            <w:pPr>
              <w:spacing w:after="0"/>
              <w:rPr>
                <w:sz w:val="18"/>
                <w:szCs w:val="18"/>
                <w:color w:val="auto"/>
              </w:rPr>
            </w:pPr>
          </w:p>
        </w:tc>
        <w:tc>
          <w:tcPr>
            <w:tcW w:w="2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9"/>
        </w:trPr>
        <w:tc>
          <w:tcPr>
            <w:tcW w:w="888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88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Stock options </w:t>
            </w:r>
            <w:r>
              <w:rPr>
                <w:rFonts w:ascii="Times New Roman" w:cs="Times New Roman" w:eastAsia="Times New Roman" w:hAnsi="Times New Roman"/>
                <w:sz w:val="23"/>
                <w:szCs w:val="23"/>
                <w:color w:val="auto"/>
                <w:vertAlign w:val="superscript"/>
              </w:rPr>
              <w:t>(1)</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r>
      <w:tr>
        <w:trPr>
          <w:trHeight w:val="229"/>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Employee stock purchase plan shares available for future purchase </w:t>
            </w:r>
            <w:r>
              <w:rPr>
                <w:rFonts w:ascii="Times New Roman" w:cs="Times New Roman" w:eastAsia="Times New Roman" w:hAnsi="Times New Roman"/>
                <w:sz w:val="23"/>
                <w:szCs w:val="23"/>
                <w:color w:val="auto"/>
                <w:vertAlign w:val="superscript"/>
              </w:rPr>
              <w:t>(1)</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r>
      <w:tr>
        <w:trPr>
          <w:trHeight w:val="230"/>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Earnout shares </w:t>
            </w:r>
            <w:r>
              <w:rPr>
                <w:rFonts w:ascii="Times New Roman" w:cs="Times New Roman" w:eastAsia="Times New Roman" w:hAnsi="Times New Roman"/>
                <w:sz w:val="23"/>
                <w:szCs w:val="23"/>
                <w:color w:val="auto"/>
                <w:vertAlign w:val="superscript"/>
              </w:rPr>
              <w:t>(2)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BZAI warrants </w:t>
            </w:r>
            <w:r>
              <w:rPr>
                <w:rFonts w:ascii="Times New Roman" w:cs="Times New Roman" w:eastAsia="Times New Roman" w:hAnsi="Times New Roman"/>
                <w:sz w:val="23"/>
                <w:szCs w:val="23"/>
                <w:color w:val="auto"/>
                <w:vertAlign w:val="superscript"/>
              </w:rPr>
              <w:t>(3)</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29,648,250</w:t>
            </w:r>
          </w:p>
        </w:tc>
      </w:tr>
      <w:tr>
        <w:trPr>
          <w:trHeight w:val="230"/>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Warrants issued to an advisor </w:t>
            </w:r>
            <w:r>
              <w:rPr>
                <w:rFonts w:ascii="Times New Roman" w:cs="Times New Roman" w:eastAsia="Times New Roman" w:hAnsi="Times New Roman"/>
                <w:sz w:val="23"/>
                <w:szCs w:val="23"/>
                <w:color w:val="auto"/>
                <w:vertAlign w:val="superscript"/>
              </w:rPr>
              <w:t>(3)</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Polar warrants </w:t>
            </w:r>
            <w:r>
              <w:rPr>
                <w:rFonts w:ascii="Times New Roman" w:cs="Times New Roman" w:eastAsia="Times New Roman" w:hAnsi="Times New Roman"/>
                <w:sz w:val="23"/>
                <w:szCs w:val="23"/>
                <w:color w:val="auto"/>
                <w:vertAlign w:val="superscript"/>
              </w:rPr>
              <w:t>(3)</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29"/>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Issuable under Sales Partner Referral Agreement </w:t>
            </w:r>
            <w:r>
              <w:rPr>
                <w:rFonts w:ascii="Times New Roman" w:cs="Times New Roman" w:eastAsia="Times New Roman" w:hAnsi="Times New Roman"/>
                <w:sz w:val="23"/>
                <w:szCs w:val="23"/>
                <w:color w:val="auto"/>
                <w:vertAlign w:val="superscript"/>
              </w:rPr>
              <w:t>(4)</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Issuable under Committed Equity Facility </w:t>
            </w:r>
            <w:r>
              <w:rPr>
                <w:rFonts w:ascii="Times New Roman" w:cs="Times New Roman" w:eastAsia="Times New Roman" w:hAnsi="Times New Roman"/>
                <w:sz w:val="23"/>
                <w:szCs w:val="23"/>
                <w:color w:val="auto"/>
                <w:vertAlign w:val="superscript"/>
              </w:rPr>
              <w:t>(5)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 commitments to issue common stock</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97,826,696</w:t>
            </w:r>
          </w:p>
        </w:tc>
      </w:tr>
      <w:tr>
        <w:trPr>
          <w:trHeight w:val="21"/>
        </w:trPr>
        <w:tc>
          <w:tcPr>
            <w:tcW w:w="88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Variable number of shares not determinable as of December 31, 2025.</w:t>
      </w:r>
    </w:p>
    <w:p>
      <w:pPr>
        <w:spacing w:after="0" w:line="252" w:lineRule="exact"/>
        <w:rPr>
          <w:sz w:val="20"/>
          <w:szCs w:val="20"/>
          <w:color w:val="auto"/>
        </w:rPr>
      </w:pPr>
    </w:p>
    <w:p>
      <w:pPr>
        <w:jc w:val="both"/>
        <w:ind w:right="40" w:firstLine="8"/>
        <w:spacing w:after="0" w:line="251"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we had commitments to issue 28,746,278 shares of common stock to employees and others under stock option awards, and an additional 9,359,499 shares of our common stock under employee and other RSU awards. We have further reserved 3,047,669 shares of our common stock under an employee stock purchase plan, which has not yet commenced.</w:t>
      </w:r>
    </w:p>
    <w:p>
      <w:pPr>
        <w:spacing w:after="0" w:line="217" w:lineRule="exact"/>
        <w:rPr>
          <w:rFonts w:ascii="Times New Roman" w:cs="Times New Roman" w:eastAsia="Times New Roman" w:hAnsi="Times New Roman"/>
          <w:sz w:val="22"/>
          <w:szCs w:val="22"/>
          <w:color w:val="auto"/>
          <w:vertAlign w:val="superscript"/>
        </w:rPr>
      </w:pPr>
    </w:p>
    <w:p>
      <w:pPr>
        <w:ind w:right="140"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These Earnout Shares are dependent upon, among other things, changes in the closing share price of our common stock, the expected timing of settlement, and the probability of achieving certain triggering events.</w:t>
      </w:r>
    </w:p>
    <w:p>
      <w:pPr>
        <w:spacing w:after="0" w:line="215" w:lineRule="exact"/>
        <w:rPr>
          <w:rFonts w:ascii="Times New Roman" w:cs="Times New Roman" w:eastAsia="Times New Roman" w:hAnsi="Times New Roman"/>
          <w:sz w:val="22"/>
          <w:szCs w:val="22"/>
          <w:color w:val="auto"/>
          <w:vertAlign w:val="superscript"/>
        </w:rPr>
      </w:pPr>
    </w:p>
    <w:p>
      <w:pPr>
        <w:ind w:right="20"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outstanding, exercisable at $11.50 per share, which expire in the first quarter of 2030. See “Trends and Recent Developments — </w:t>
      </w:r>
      <w:r>
        <w:rPr>
          <w:rFonts w:ascii="Times New Roman" w:cs="Times New Roman" w:eastAsia="Times New Roman" w:hAnsi="Times New Roman"/>
          <w:sz w:val="17"/>
          <w:szCs w:val="17"/>
          <w:i w:val="1"/>
          <w:iCs w:val="1"/>
          <w:color w:val="auto"/>
        </w:rPr>
        <w:t>Recent Developments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Our Business” </w:t>
      </w:r>
      <w:r>
        <w:rPr>
          <w:rFonts w:ascii="Times New Roman" w:cs="Times New Roman" w:eastAsia="Times New Roman" w:hAnsi="Times New Roman"/>
          <w:sz w:val="17"/>
          <w:szCs w:val="17"/>
          <w:color w:val="auto"/>
        </w:rPr>
        <w:t>for a description of the warrants issued in the Polar Private Placement (the “Polar warrants”).</w:t>
      </w:r>
    </w:p>
    <w:p>
      <w:pPr>
        <w:spacing w:after="0" w:line="215" w:lineRule="exact"/>
        <w:rPr>
          <w:rFonts w:ascii="Times New Roman" w:cs="Times New Roman" w:eastAsia="Times New Roman" w:hAnsi="Times New Roman"/>
          <w:sz w:val="22"/>
          <w:szCs w:val="22"/>
          <w:color w:val="auto"/>
          <w:vertAlign w:val="superscript"/>
        </w:rPr>
      </w:pPr>
    </w:p>
    <w:p>
      <w:pPr>
        <w:ind w:right="160" w:firstLine="8"/>
        <w:spacing w:after="0" w:line="259"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a Sales Partner Referral Agreement with Burkhan LLC (the “Sales Partner”), an affiliate of the Sponsor,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During the year ended December 31, 2025, sales were made to an affiliate of the Sales Partner, but no payments were made on amounts due to us, and therefore, no cash or shares of stock relating to the sales commission were released during the year ended December 31, 2025. Subsequent to December 31, 2025, we received the payment from the Sales Partner and then paid the sales commission in cash, although future sales commissions may be partially payable in shares of our common stock at our discretion.</w:t>
      </w:r>
    </w:p>
    <w:p>
      <w:pPr>
        <w:spacing w:after="0" w:line="19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remaining number of shares that we may sell under the Committed Equity Facility varies in relation to our stock price.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Utilized Financing Facilities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Prior to the Merger, certain arrangements such as Legacy Blaize convertible notes, Legacy Blaize convertible preferred stock, and Legacy Blaize warrants provided us with funding. Upon the consummation of the Merger, these agreements all converted to equity (shares of our common stock or warrants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13" w:right="339" w:bottom="1440" w:gutter="0" w:footer="0" w:header="0"/>
        </w:sectPr>
      </w:pPr>
    </w:p>
    <w:bookmarkStart w:id="51" w:name="page52"/>
    <w:bookmarkEnd w:id="5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2025 and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$73.8 million for the year ended December 31, 2025, compared to $53.5 million for the year ended December 31, 2024. The increase in cash used in operating activities was primarily due to an increase of $145.7 million in net loss, partially offset by an increase in adjustments to reconcile net loss to net cash used in operating expenses of $126.4 million and an increase in changes in operating assets and liabilities of $0.9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we used $0.8 million and $0.9 million, respectively, of cash to purchase property and equipment.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$70.1 million, which primarily consisted of $33.2 million of net proceeds from the Committed Equity Facility, $27.9 million of net proceeds from the issuance of common stock to Polar, and $15.9 million of proceeds from the Merger and PIPE financing, partially offset by the $7.7 million payment of deferred offering costs. Net cash provided by financing activities for the year ended December 31, 2024 of $101.7 million primarily consisted of $110.7 million in proceeds from the issuance of secured convertible notes, partially offset by the payment of demand notes of $4.8 million and deferred offering costs of $4.4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Cash Collections, and Cash Availability</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Material cash requirements as of December 31, 2025 included trade accounts payable of $22.8 million for the purchase of finished goods hardware as described below, along with the near-term general corporate expenses of the business, such as employee payroll and consulting fees.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we sold certain hardware in the amount of $23.8 million, and at the same time, purchased hardware from a third-party vendor in order to fulfil that sales contract, recording the trade account payable referred to, above. During the first quarter of 2026, we received payments of $15.2 million from our customer, and paid our vendor $15.8 million. The remainder of $8.6 million is due from our customer on March 31, 2026.</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Subsequent to the year ended December 31, 2025, we collected cash from a related party in the amount of $6.4 million, which fully settled the related party’s outstanding accounts receivable balance as of December 31, 2025 of $3.4 million. The remaining $3.0 million was recorded as deferred revenue as of the date of receipt within the first quarter of 2026 and will be recognized as revenue in the first quarter of 2026 as we fulfilled our performance obligations to the related party at that time.</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on hand of $45.8 million, and we had approximately $16.6 million remaining available to draw on the Committed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60"/>
          </w:cols>
          <w:pgMar w:left="320" w:top="1440"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are (i)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remain an EGC under the JOBS Act until the earliest of (i) December 31, 2026, which is the last day of our first fiscal year following the fifth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of BurTech’s initial public offering, (ii) the last date of our fiscal year in which we have total annual gross revenue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(iii) the date on which we are deemed to be a “large accelerated filer” under the rules of the SEC with at least $700.0 million of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held by non-affiliates or (iv) the date on which we have issued more than $1.0 billion in non-convertible debt securities during the previous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at the date of the consolidated financial statements and the reported amounts of revenues and expenses during the reported periods. Actual results could differ from those estimates. We expect quarter-to-quarter GAAP earnings volatility from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3" w:right="339" w:bottom="1440" w:gutter="0" w:footer="0" w:header="0"/>
        </w:sectPr>
      </w:pPr>
    </w:p>
    <w:bookmarkStart w:id="53" w:name="page54"/>
    <w:bookmarkEnd w:id="53"/>
    <w:p>
      <w:pPr>
        <w:spacing w:after="0" w:line="255" w:lineRule="auto"/>
        <w:rPr>
          <w:sz w:val="20"/>
          <w:szCs w:val="20"/>
          <w:color w:val="auto"/>
        </w:rPr>
      </w:pPr>
      <w:r>
        <w:rPr>
          <w:rFonts w:ascii="Times New Roman" w:cs="Times New Roman" w:eastAsia="Times New Roman" w:hAnsi="Times New Roman"/>
          <w:sz w:val="18"/>
          <w:szCs w:val="18"/>
          <w:color w:val="auto"/>
        </w:rPr>
        <w:t>Our critical accounting estimates include estimates related to accounting for the Merger and reverse recapitalization, revenue recognition, valuation of accounts receivable, the net realizable value of inventories, and the liability or equity classification and/or valuation of financial instruments, which may be complex financial instruments. Our financial instruments subject to valuation other than a Level 1 valuation technique currently include the earnout shares, stock-based compensation awards such as stock options, and the valuation of the Polar warrants; and historically have included the pre-Merger convertible notes, pre-Merger warrants, and pre-Merger stock-based compensation awards. These estimates and assumptions are based on historical experience and on various other factors which we believe to be reasonable under the circumstances. We engage third-party valuation specialists to assist with estimates related to the valuation of derivative assets or liabilities arising from complex financial instruments.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discusses the ongoing development and selection of these critical accounting policies and estimates with the Audit Committee of our Board of Directors.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Refer to Note 3 — “Summary of Significant Accounting Policies,” in the Notes to the Consolidated Financial Statements in Part II, Item 8 of this Annual Report on Form 10-K for a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reflect the results of the Merger, which was accounted for as a reverse recapitalization in accordance with U.S. GAAP. The accounting for the Merger required management to make significant estimates and judgments, particularly in identifying the accounting acquirer, determining the fair value of financial instruments issued, and evaluating the classification of certain financial instruments.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guidance in ASC 805 — “Business Combinations,”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2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management evaluated the appropriate classification of certain financial instruments such as contingent earnout liabilities under ASC 480, “Distinguishing Liabilities from Equity,” and ASC 815, “Derivatives and Hedging”. This assessment required complex analysis of contractual terms and applicable accounting guidance to determine whether instruments should be recorded as equity or liability-classified. Liability-classified instruments are subsequently remeasured at fair value each reporting period end, with changes recognized in earnings, which may result in significant volatility in our results of operations.</w:t>
      </w:r>
    </w:p>
    <w:p>
      <w:pPr>
        <w:spacing w:after="0" w:line="21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make significant estimates and assumptions as we follow the revenue accounting model of ASC 606 — “Revenue from Contracts with Customers,” (“ASC 606”) to (i) identify the contract(s) with a customer; (ii) identify the performance obligations in the contract; (iii) determine the transaction price;</w:t>
      </w:r>
    </w:p>
    <w:p>
      <w:pPr>
        <w:ind w:right="760" w:firstLine="8"/>
        <w:spacing w:after="0" w:line="260"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we satisfy a performance obligation.</w:t>
      </w:r>
    </w:p>
    <w:p>
      <w:pPr>
        <w:spacing w:after="0" w:line="2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contracts may contain more than one performance obligation. Judgment is required in determining whether each performance obligation within a customer contract is distinct. Some of our products and services function on a standalone basis and do not require a significant amount of integration or interdependency. Therefore,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17" w:right="359" w:bottom="1440" w:gutter="0" w:footer="0" w:header="0"/>
        </w:sectPr>
      </w:pPr>
    </w:p>
    <w:bookmarkStart w:id="54" w:name="page55"/>
    <w:bookmarkEnd w:id="54"/>
    <w:p>
      <w:pPr>
        <w:ind w:right="80"/>
        <w:spacing w:after="0" w:line="258" w:lineRule="auto"/>
        <w:rPr>
          <w:sz w:val="20"/>
          <w:szCs w:val="20"/>
          <w:color w:val="auto"/>
        </w:rPr>
      </w:pPr>
      <w:r>
        <w:rPr>
          <w:rFonts w:ascii="Times New Roman" w:cs="Times New Roman" w:eastAsia="Times New Roman" w:hAnsi="Times New Roman"/>
          <w:sz w:val="18"/>
          <w:szCs w:val="18"/>
          <w:color w:val="auto"/>
        </w:rPr>
        <w:t>performance obligations contained within a customer contract are considered distinct and are not combined for revenue recognition purposes. We allocate the total transaction price to each distinct performance obligation in an arrangement with multiple performance obligations on a relative standalone selling price basis. In certain cases, we can establish standalone selling price based on directly observable prices of products or services sold separately in comparable circumstances to similar customers. If standalone selling price is not directly observable, such as when we do not sell a product or service separately, we determine standalone selling price based on market data and other observable inputs.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concept of “probability of collection” of revenue is a significant estimate in the step of “identifying a valid contract,” in ASC 606, as collection need be assessed as “probable,” which is generally considered to be over 75% likely to occur, before revenue can be recognized. Probability estimates hinge upon the management’s assessment of a customer’s financial ability to pay, credit history or past history of payments, and intent to pay. If there is uncertainty regarding the ability of collecting potential revenue in accordance with the terms of a credit agreement at the time of a sale, it may be appropriate to defer revenue recognition or apply a constraint against revenue recognition until payment is received from the customer. Since we have a concentration in our customer base, management carefully assesses the probability of collection from each customer at the time of 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Accounts Receivable</w:t>
      </w:r>
    </w:p>
    <w:p>
      <w:pPr>
        <w:spacing w:after="0" w:line="25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“current expected credit loss” accounting standard, or “CECL” is the accounting model that is used to measure the valuation of trade accounts receivable. Estimates of expected credit losses on trade receivables are required to be recorded at inception, based on historical information, current conditions, and reasonable and supportable forecasts.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makes complex judgments about future economic conditions, borrower creditworthiness, and historical loss experience. Our customer base is highly concentrated, and many of our customers have limited or no established credit history. As a result, the estimation of expected credit losses involves significant judgment and is subject to a high degree of uncertainty.</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particularly sensitive to changes in the financial condition or payment behavior of individual customers. A default by a single significant customer could have a material impact on our results of operations and financial position. We regularly review and update our estimates as new information becomes available and as economic conditions evolve.</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Given the inherent limitations in the available data and the significant judgment required, actual credit losses may differ materially from our estimates. We believe our approach is reasonable and appropriate given the unique characteristics of our customer base, and we continue to refine our methodology as more information becomes available.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Realizable Value of Inventories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determination of the net realizable value (“NRV”) of inventory is a critical accounting estimate that requires management judgment. Inventories are stated at the lower of cost or NRV. Cost is determined using the first-in, first-out method. NRV represents the estimated selling price in the ordinary course of business, less reasonably predictable costs of completion, disposal, and transportation.</w:t>
      </w:r>
    </w:p>
    <w:p>
      <w:pPr>
        <w:spacing w:after="0" w:line="20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Management regularly reviews inventory quantities on hand and compares these amounts to forecasted demand, historical usage, and market conditions to identify excess, slow-moving, obsolete, or otherwise impaired items. When indicators are present that the cost of the inventory exceeds its NRV, we record a write-down. These estimates inherently involve significant judgment, particularly in assessing future demand and technological changes.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Changes in assumptions or market conditions could materially affect the carrying value of our inventory. Once recorded, write-downs to NRV establish a new cost basis and are not subsequently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00"/>
          </w:cols>
          <w:pgMar w:left="320" w:top="1417" w:right="379" w:bottom="1440" w:gutter="0" w:footer="0" w:header="0"/>
        </w:sectPr>
      </w:pPr>
    </w:p>
    <w:bookmarkStart w:id="55" w:name="page56"/>
    <w:bookmarkEnd w:id="55"/>
    <w:p>
      <w:pPr>
        <w:ind w:right="280"/>
        <w:spacing w:after="0" w:line="282" w:lineRule="auto"/>
        <w:rPr>
          <w:sz w:val="20"/>
          <w:szCs w:val="20"/>
          <w:color w:val="auto"/>
        </w:rPr>
      </w:pPr>
      <w:r>
        <w:rPr>
          <w:rFonts w:ascii="Times New Roman" w:cs="Times New Roman" w:eastAsia="Times New Roman" w:hAnsi="Times New Roman"/>
          <w:sz w:val="18"/>
          <w:szCs w:val="18"/>
          <w:color w:val="auto"/>
        </w:rPr>
        <w:t>Management believes the assumptions and methodologies used in estimating NRV are reasonable and consistent with industry practice; however, actual results may differ materially from these estimates, which could have a significant impact on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Complex Financial Instruments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financial statements include various instruments with characteristics of both debt and equity, currently including the Committed Equity Facility, earnout shares, warrants trading under the ticker symbol “BZAIW”, and the Polar warrants, and historically have included convertible notes, redeemable preferred stock, and legacy warrants. The determination of whether these instruments should be classified as liabilities or equity requires significant judgment and the application of complex accounting guidance under ASC 480 — “Distinguishing Liabilities from Equity,” and ASC 815 — “Derivatives and Hedging”.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evaluates the specific terms and features of each instrument, including redemption provisions, conversion features, participation rights, and contingencies that could require cash settlement. Instruments that contain certain cash settlement features are generally classified as liabilities and recorded at fair value, with changes in fair value recognized through earnings. Instruments that are not mandatorily redeemable for cash and that meet the criteria for equity classification are recorded in equity.</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Determining the appropriate classification requires assessing the likelihood and timing of redemption or conversion events, evaluating embedded derivative features where an instrument embedded in a contract is issued for nominal or no apparent consideration, along with the essential characteristics inherent in a derivative instrument of a notional amount, an underlying security, and a mechanism for net settlement, and estimating fair values where bifurcation is required. These assessments rely on market-based assumptions, volatility estimates, discount rates, and, in certain cases, management’s expectations regarding future financing and settlement outcomes. Because these judgments involve estimates that are inherently uncertain, subsequent changes in facts or circumstances could materially impact the classification and measurement of these instruments.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Valuation of any financial instrument depends on the underlying characteristics of the instrument, which generally dictate the valuation model to be used. Currently outstanding instruments subject to valuation include the earnout shares, stock options, and the Polar warrants. Previously outstanding instruments subject to valuation have included the Committed Equity Facility, convertible notes and previously outstanding warrants.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earnout shares are valued on a quarterly basis using a Monte Carlo simulation model. This methodology captures the probabilistic nature of mechanisms for our future exercise of the instrument, share price volatility, and contractual constraints, providing a reasonable estimate of the put option’s expected economic benefit over its remaining term. Monte Carlo simulation is a numerical method used to estimate the value of uncertain outcomes by repeatedly generating random variables to mimic the behavior of a stochastic (i.e., random) process.</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granted is determined using the Black-Scholes-Merton (“Black-Scholes”) option pricing model using various inputs, including management’s estimates of expected share price volatility, term, risk-free rate and future dividends. We have elected the simplified method to determine the expected term of the option grants.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Polar warrants is determined using the Black-Scholes option pricing model as described above.</w:t>
      </w:r>
    </w:p>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 of the put option embedded in the Committed Equity Facility at its inception was determined using a Monte Carlo simulation model, as described above. As of December 31, 2025, the fair value of this put option was deemed to be de minimis and was therefore written down to zero.</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fair value of the forward contract embedded in the Committed Equity Facility at each point of issuance of our common stock to B. Riley is the difference between a volume-weighted average purchase price and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417" w:right="35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date closing share price of our common stock. The embedded derivative of the forward contract does not involve a complex valuation model. The fair value of this forward contract as of December 31, 2025 was de minimis.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previous issuance of legacy warrants was recorded at estimated fair value calculated using the Black-Scholes option pricing model as described above; wherein, depending on the terms of the legacy warrants, certain parameters within the Black-Scholes option pricing model were required to be determined using a Monte Carlo simulation model, as described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previous issuance of convertible notes was valued at an assumed market price, and did not involve a complex valuation model.</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value of our pre-Merger stock-based compensation awards was determined based on the estimated fair value of shares of common stock at the date of grant, as determined by the Board of Directors, and did not involve a complex valuation model.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17"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2"/>
        </w:trPr>
        <w:tc>
          <w:tcPr>
            <w:tcW w:w="20" w:type="dxa"/>
            <w:vAlign w:val="bottom"/>
          </w:tcPr>
          <w:p>
            <w:pPr>
              <w:spacing w:after="0"/>
              <w:rPr>
                <w:sz w:val="15"/>
                <w:szCs w:val="15"/>
                <w:color w:val="auto"/>
              </w:rPr>
            </w:pPr>
          </w:p>
        </w:tc>
        <w:tc>
          <w:tcPr>
            <w:tcW w:w="4320" w:type="dxa"/>
            <w:vAlign w:val="bottom"/>
            <w:tcBorders>
              <w:bottom w:val="single" w:sz="8" w:color="0000FF"/>
            </w:tcBorders>
            <w:gridSpan w:val="12"/>
          </w:tcPr>
          <w:p>
            <w:pPr>
              <w:spacing w:after="0" w:line="163"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6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(PCAOB ID 1195)</w:t>
            </w:r>
          </w:p>
        </w:tc>
        <w:tc>
          <w:tcPr>
            <w:tcW w:w="122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792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2"/>
          </w:tcPr>
          <w:p>
            <w:pPr>
              <w:jc w:val="center"/>
              <w:ind w:right="520"/>
              <w:spacing w:after="0" w:line="196" w:lineRule="exact"/>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180" w:type="dxa"/>
            <w:vAlign w:val="bottom"/>
            <w:gridSpan w:val="15"/>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120" w:type="dxa"/>
            <w:vAlign w:val="bottom"/>
            <w:gridSpan w:val="1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60" w:type="dxa"/>
            <w:vAlign w:val="bottom"/>
            <w:tcBorders>
              <w:top w:val="single" w:sz="8" w:color="0000FF"/>
            </w:tcBorders>
            <w:gridSpan w:val="8"/>
          </w:tcPr>
          <w:p>
            <w:pPr>
              <w:spacing w:after="0"/>
              <w:rPr>
                <w:sz w:val="18"/>
                <w:szCs w:val="18"/>
                <w:color w:val="auto"/>
              </w:rPr>
            </w:pPr>
          </w:p>
        </w:tc>
        <w:tc>
          <w:tcPr>
            <w:tcW w:w="494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 — Organization and Description of Business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Note 2 — Liquidity and Going Concern</w:t>
            </w:r>
          </w:p>
        </w:tc>
        <w:tc>
          <w:tcPr>
            <w:tcW w:w="5920" w:type="dxa"/>
            <w:vAlign w:val="bottom"/>
            <w:gridSpan w:val="8"/>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Note 3 — Summary of Significant Accounting Policies</w:t>
            </w:r>
          </w:p>
        </w:tc>
        <w:tc>
          <w:tcPr>
            <w:tcW w:w="56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Note 4 — Revenue and Accounts Receivable</w:t>
            </w:r>
          </w:p>
        </w:tc>
        <w:tc>
          <w:tcPr>
            <w:tcW w:w="740" w:type="dxa"/>
            <w:vAlign w:val="bottom"/>
            <w:gridSpan w:val="3"/>
          </w:tcPr>
          <w:p>
            <w:pPr>
              <w:spacing w:after="0"/>
              <w:rPr>
                <w:sz w:val="18"/>
                <w:szCs w:val="18"/>
                <w:color w:val="auto"/>
              </w:rPr>
            </w:pPr>
          </w:p>
        </w:tc>
        <w:tc>
          <w:tcPr>
            <w:tcW w:w="56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5 — Fair Value Measurements and Derivative Instruments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9"/>
              </w:rPr>
              <w:t>Note 6 — Financial Statement Details</w:t>
            </w:r>
          </w:p>
        </w:tc>
        <w:tc>
          <w:tcPr>
            <w:tcW w:w="1840" w:type="dxa"/>
            <w:vAlign w:val="bottom"/>
            <w:gridSpan w:val="9"/>
          </w:tcPr>
          <w:p>
            <w:pPr>
              <w:spacing w:after="0"/>
              <w:rPr>
                <w:sz w:val="18"/>
                <w:szCs w:val="18"/>
                <w:color w:val="auto"/>
              </w:rPr>
            </w:pPr>
          </w:p>
        </w:tc>
        <w:tc>
          <w:tcPr>
            <w:tcW w:w="508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Note 7 — Income Taxes</w:t>
            </w:r>
          </w:p>
        </w:tc>
        <w:tc>
          <w:tcPr>
            <w:tcW w:w="692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8 — Leases and Geographic Location of ROU Assets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Note 9 — Property and Equipment Details and Geographic Location</w:t>
            </w:r>
          </w:p>
        </w:tc>
        <w:tc>
          <w:tcPr>
            <w:tcW w:w="47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Note 10 — Financial Instruments Existing Prior to the Merger</w:t>
            </w:r>
          </w:p>
        </w:tc>
        <w:tc>
          <w:tcPr>
            <w:tcW w:w="47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11 — Common Stock, Currently Outstanding Warrants to Purchase Common Stock, and Earnout Shares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9"/>
              </w:rPr>
              <w:t>Note 12 — Stock Based Compensation</w:t>
            </w:r>
          </w:p>
        </w:tc>
        <w:tc>
          <w:tcPr>
            <w:tcW w:w="5060" w:type="dxa"/>
            <w:vAlign w:val="bottom"/>
            <w:gridSpan w:val="11"/>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Note 13 — Net Loss per Share of Common Stock</w:t>
            </w:r>
          </w:p>
        </w:tc>
        <w:tc>
          <w:tcPr>
            <w:tcW w:w="60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Note 14 — Segment Reporting</w:t>
            </w:r>
          </w:p>
        </w:tc>
        <w:tc>
          <w:tcPr>
            <w:tcW w:w="60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15 — Related Party Transactions and Balances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Note 16 — Commitments and Contingencies</w:t>
            </w:r>
          </w:p>
        </w:tc>
        <w:tc>
          <w:tcPr>
            <w:tcW w:w="500" w:type="dxa"/>
            <w:vAlign w:val="bottom"/>
            <w:gridSpan w:val="2"/>
          </w:tcPr>
          <w:p>
            <w:pPr>
              <w:spacing w:after="0"/>
              <w:rPr>
                <w:sz w:val="18"/>
                <w:szCs w:val="18"/>
                <w:color w:val="auto"/>
              </w:rPr>
            </w:pPr>
          </w:p>
        </w:tc>
        <w:tc>
          <w:tcPr>
            <w:tcW w:w="5920" w:type="dxa"/>
            <w:vAlign w:val="bottom"/>
            <w:gridSpan w:val="8"/>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Note 17 — Subsequent Events</w:t>
            </w:r>
          </w:p>
        </w:tc>
        <w:tc>
          <w:tcPr>
            <w:tcW w:w="1040" w:type="dxa"/>
            <w:vAlign w:val="bottom"/>
            <w:gridSpan w:val="6"/>
          </w:tcPr>
          <w:p>
            <w:pPr>
              <w:spacing w:after="0"/>
              <w:rPr>
                <w:sz w:val="18"/>
                <w:szCs w:val="18"/>
                <w:color w:val="auto"/>
              </w:rPr>
            </w:pPr>
          </w:p>
        </w:tc>
        <w:tc>
          <w:tcPr>
            <w:tcW w:w="642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3" w:right="339" w:bottom="1440" w:gutter="0" w:footer="0" w:header="0"/>
        </w:sectPr>
      </w:pPr>
    </w:p>
    <w:bookmarkStart w:id="58" w:name="page59"/>
    <w:bookmarkEnd w:id="5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Holdings, Inc. (the “Company”) as of December 31, 2025 and 2024, and the related consolidated statements of operations, changes in stockholders’ equity (deficit), and cash flows for each of the years in the two-year period ended December 31, 2025, and the related notes thereto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to the consolidated financial statements, the Company has incurred recurring operating losses and negative cash flows from operations, has an accumulated deficit, and has historically relied on cash flows from financing activities to fund its operations. These conditions raise substantial doubt about its ability to continue as a going concern. Management’s plans regarding these matters are also described in Note 2. The consolidated financial statements do not include any adjustments that might result from the outcome of this uncertainty.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UHY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413" w:right="37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21590</wp:posOffset>
            </wp:positionV>
            <wp:extent cx="261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6" w:lineRule="exact"/>
        <w:rPr>
          <w:sz w:val="20"/>
          <w:szCs w:val="20"/>
          <w:color w:val="auto"/>
        </w:rPr>
      </w:pPr>
    </w:p>
    <w:p>
      <w:pPr>
        <w:jc w:val="both"/>
        <w:ind w:left="7960"/>
        <w:spacing w:after="0"/>
        <w:tabs>
          <w:tab w:leader="none" w:pos="1006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21590</wp:posOffset>
            </wp:positionV>
            <wp:extent cx="2614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1" w:lineRule="exact"/>
        <w:rPr>
          <w:sz w:val="20"/>
          <w:szCs w:val="20"/>
          <w:color w:val="auto"/>
        </w:rPr>
      </w:pPr>
    </w:p>
    <w:tbl>
      <w:tblPr>
        <w:tblLayout w:type="fixed"/>
        <w:tblInd w:w="140" w:type="dxa"/>
        <w:tblCellMar>
          <w:top w:w="0" w:type="dxa"/>
          <w:left w:w="0" w:type="dxa"/>
          <w:bottom w:w="0" w:type="dxa"/>
          <w:right w:w="0" w:type="dxa"/>
        </w:tblCellMar>
      </w:tblPr>
      <w:tr>
        <w:trPr>
          <w:trHeight w:val="261"/>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45,781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$523 and $420, respectively</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33,363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9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Accounts receivable - related party, net of allowance for credit losses of $34 and $—,</w:t>
            </w:r>
          </w:p>
        </w:tc>
        <w:tc>
          <w:tcPr>
            <w:tcW w:w="740" w:type="dxa"/>
            <w:vAlign w:val="bottom"/>
          </w:tcPr>
          <w:p>
            <w:pPr>
              <w:spacing w:after="0"/>
              <w:rPr>
                <w:sz w:val="15"/>
                <w:szCs w:val="15"/>
                <w:color w:val="auto"/>
              </w:rPr>
            </w:pP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3,330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respectively</w:t>
            </w:r>
          </w:p>
        </w:tc>
        <w:tc>
          <w:tcPr>
            <w:tcW w:w="7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7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 - related parties</w:t>
            </w:r>
          </w:p>
        </w:tc>
        <w:tc>
          <w:tcPr>
            <w:tcW w:w="7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40" w:type="dxa"/>
            <w:vAlign w:val="bottom"/>
          </w:tcPr>
          <w:p>
            <w:pPr>
              <w:spacing w:after="0"/>
              <w:rPr>
                <w:sz w:val="22"/>
                <w:szCs w:val="22"/>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96,607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-1208405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50,237</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8,561</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12,621</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250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71,669</w:t>
      </w:r>
    </w:p>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2,081</w:t>
      </w:r>
    </w:p>
    <w:p>
      <w:pPr>
        <w:spacing w:after="0" w:line="75"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2,157</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1,773</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17145</wp:posOffset>
            </wp:positionV>
            <wp:extent cx="1276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9860" w:space="720"/>
            <w:col w:w="660"/>
          </w:cols>
          <w:pgMar w:left="320" w:top="117" w:right="33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payable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trade payables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 related party</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Working capital loan - related party</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Advances from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Legacy Blaize convertible notes and warrants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earnout shares - related party</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Polar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77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 w:lineRule="exact"/>
        <w:rPr>
          <w:sz w:val="20"/>
          <w:szCs w:val="20"/>
          <w:color w:val="auto"/>
        </w:rPr>
      </w:pPr>
    </w:p>
    <w:p>
      <w:pPr>
        <w:ind w:left="240"/>
        <w:spacing w:after="0" w:line="233" w:lineRule="auto"/>
        <w:rPr>
          <w:sz w:val="20"/>
          <w:szCs w:val="20"/>
          <w:color w:val="auto"/>
        </w:rPr>
      </w:pPr>
      <w:r>
        <w:rPr>
          <w:rFonts w:ascii="Times New Roman" w:cs="Times New Roman" w:eastAsia="Times New Roman" w:hAnsi="Times New Roman"/>
          <w:sz w:val="17"/>
          <w:szCs w:val="17"/>
          <w:color w:val="auto"/>
        </w:rPr>
        <w:t>Common stock - $0.0001 par value; 600,000,000 and 136,562,809 shares authorized as of December 31, 2025 and 2024, respectively, and 122,043,966 and 48,376,052 shares issued</w:t>
      </w:r>
    </w:p>
    <w:p>
      <w:pPr>
        <w:ind w:left="240"/>
        <w:spacing w:after="0"/>
        <w:rPr>
          <w:sz w:val="20"/>
          <w:szCs w:val="20"/>
          <w:color w:val="auto"/>
        </w:rPr>
      </w:pPr>
      <w:r>
        <w:rPr>
          <w:rFonts w:ascii="Times New Roman" w:cs="Times New Roman" w:eastAsia="Times New Roman" w:hAnsi="Times New Roman"/>
          <w:sz w:val="18"/>
          <w:szCs w:val="18"/>
          <w:color w:val="auto"/>
        </w:rPr>
        <w:t>and outstanding as of December 31, 2025 and 2024, respectively</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723"/>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180</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22,838</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6,700</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331</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644</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1,500</w:t>
      </w:r>
    </w:p>
    <w:p>
      <w:pPr>
        <w:spacing w:after="0" w:line="50"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2,857</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2769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43,389</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804</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6,745</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2,184</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8,813</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2769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63,211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675,143</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(636,155)</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Times New Roman" w:cs="Times New Roman" w:eastAsia="Times New Roman" w:hAnsi="Times New Roman"/>
          <w:sz w:val="18"/>
          <w:szCs w:val="18"/>
          <w:b w:val="1"/>
          <w:bCs w:val="1"/>
          <w:color w:val="auto"/>
        </w:rPr>
        <w:t>78,495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36830</wp:posOffset>
            </wp:positionV>
            <wp:extent cx="12769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7,904</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14,300</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578</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163,340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14605</wp:posOffset>
            </wp:positionV>
            <wp:extent cx="12769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186,122</w:t>
      </w:r>
    </w:p>
    <w:p>
      <w:pPr>
        <w:spacing w:after="0" w:line="2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1,166</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14605</wp:posOffset>
            </wp:positionV>
            <wp:extent cx="12769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188,958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318,783</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(429,251)</w:t>
      </w:r>
    </w:p>
    <w:p>
      <w:pPr>
        <w:spacing w:after="0" w:line="34" w:lineRule="exact"/>
        <w:rPr>
          <w:sz w:val="20"/>
          <w:szCs w:val="20"/>
          <w:color w:val="auto"/>
        </w:rPr>
      </w:pPr>
    </w:p>
    <w:p>
      <w:pPr>
        <w:sectPr>
          <w:pgSz w:w="11900" w:h="16838" w:orient="portrait"/>
          <w:cols w:equalWidth="0" w:num="3">
            <w:col w:w="6760" w:space="360"/>
            <w:col w:w="2540" w:space="720"/>
            <w:col w:w="8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7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39,000</w:t>
            </w:r>
          </w:p>
        </w:tc>
        <w:tc>
          <w:tcPr>
            <w:tcW w:w="8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(110,463)</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78,495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type w:val="continuous"/>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7"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33"/>
        </w:trPr>
        <w:tc>
          <w:tcPr>
            <w:tcW w:w="7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 revenue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revenue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Strategic consulting services revenue - related party</w:t>
            </w:r>
          </w:p>
        </w:tc>
        <w:tc>
          <w:tcPr>
            <w:tcW w:w="4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29"/>
        </w:trPr>
        <w:tc>
          <w:tcPr>
            <w:tcW w:w="7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48,610</w:t>
            </w:r>
          </w:p>
        </w:tc>
      </w:tr>
      <w:tr>
        <w:trPr>
          <w:trHeight w:val="26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(103,841)</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(47,635)</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64"/>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expense, net</w:t>
            </w:r>
          </w:p>
        </w:tc>
        <w:tc>
          <w:tcPr>
            <w:tcW w:w="4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r>
      <w:tr>
        <w:trPr>
          <w:trHeight w:val="26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(206,687)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(62,147)</w:t>
            </w: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6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(206,904)</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(61,195)</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8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104,275,265</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17,476,105</w:t>
            </w:r>
          </w:p>
        </w:tc>
      </w:tr>
      <w:tr>
        <w:trPr>
          <w:trHeight w:val="20"/>
        </w:trPr>
        <w:tc>
          <w:tcPr>
            <w:tcW w:w="7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360" w:right="3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thousands, except shares)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100" w:type="dxa"/>
        <w:tblCellMar>
          <w:top w:w="0" w:type="dxa"/>
          <w:left w:w="0" w:type="dxa"/>
          <w:bottom w:w="0" w:type="dxa"/>
          <w:right w:w="0" w:type="dxa"/>
        </w:tblCellMar>
      </w:tblPr>
      <w:tr>
        <w:trPr>
          <w:trHeight w:val="186"/>
        </w:trPr>
        <w:tc>
          <w:tcPr>
            <w:tcW w:w="1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Common Stock Subject</w:t>
            </w:r>
          </w:p>
        </w:tc>
        <w:tc>
          <w:tcPr>
            <w:tcW w:w="8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660" w:type="dxa"/>
            <w:vAlign w:val="bottom"/>
            <w:gridSpan w:val="2"/>
            <w:vMerge w:val="continue"/>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16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4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35"/>
        </w:trPr>
        <w:tc>
          <w:tcPr>
            <w:tcW w:w="1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5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to Possible Redemption</w:t>
            </w:r>
          </w:p>
        </w:tc>
        <w:tc>
          <w:tcPr>
            <w:tcW w:w="1620" w:type="dxa"/>
            <w:vAlign w:val="bottom"/>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09803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ectPr>
          <w:pgSz w:w="11900" w:h="16838" w:orient="portrait"/>
          <w:cols w:equalWidth="0" w:num="1">
            <w:col w:w="11160"/>
          </w:cols>
          <w:pgMar w:left="340" w:top="360" w:right="399" w:bottom="1440" w:gutter="0" w:footer="0" w:header="0"/>
        </w:sectPr>
      </w:pPr>
    </w:p>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$173,347</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Retroactive application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(173,347)</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recapitalization</w:t>
            </w: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Adjusted balance - January 1,</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120"/>
              <w:spacing w:after="0" w:line="166" w:lineRule="exact"/>
              <w:rPr>
                <w:sz w:val="20"/>
                <w:szCs w:val="20"/>
                <w:color w:val="auto"/>
              </w:rPr>
            </w:pPr>
            <w:r>
              <w:rPr>
                <w:rFonts w:ascii="Times New Roman" w:cs="Times New Roman" w:eastAsia="Times New Roman" w:hAnsi="Times New Roman"/>
                <w:sz w:val="16"/>
                <w:szCs w:val="16"/>
                <w:color w:val="auto"/>
              </w:rPr>
              <w:t>Conversion of Legacy Blaize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convertible notes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Net exercise of Legacy Blaize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Merger and PIPE financing</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2,854,242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33,061</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Payment on shareholder note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advisors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 to advisor</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in redemption value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Redemption of common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(2,800,489)</w:t>
            </w: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(33,157)</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subject to possible redemption</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Lapse of redemption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Exercises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Releases of restricted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Common stock issued under</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committed equity facility</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Committed equity facility fee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settled in common stock</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Polar</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Excise tax reversal</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13,613,269</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96,887</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141,496</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(368,056)</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(226,560)</w:t>
            </w:r>
          </w:p>
        </w:tc>
      </w:tr>
      <w:tr>
        <w:trPr>
          <w:trHeight w:val="381"/>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173,342</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173,347</w:t>
            </w:r>
          </w:p>
        </w:tc>
      </w:tr>
      <w:tr>
        <w:trPr>
          <w:trHeight w:val="35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48,325,794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314,838</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(53,213)</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r>
      <w:tr>
        <w:trPr>
          <w:trHeight w:val="219"/>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r>
      <w:tr>
        <w:trPr>
          <w:trHeight w:val="35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48,376,052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318,783</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(429,251)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(110,463)</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31,433,259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314,331</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314,334</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75,057</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11,408,957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(126,165)</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(126,164)</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873,486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3,961,729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8,410,321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32,832</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-4247515</wp:posOffset>
            </wp:positionV>
            <wp:extent cx="709803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-3870325</wp:posOffset>
            </wp:positionV>
            <wp:extent cx="70980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-3596005</wp:posOffset>
            </wp:positionV>
            <wp:extent cx="709803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-3115945</wp:posOffset>
            </wp:positionV>
            <wp:extent cx="709803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-2738755</wp:posOffset>
            </wp:positionV>
            <wp:extent cx="709803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-2258695</wp:posOffset>
            </wp:positionV>
            <wp:extent cx="709803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-1881505</wp:posOffset>
            </wp:positionV>
            <wp:extent cx="709803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-1504315</wp:posOffset>
            </wp:positionV>
            <wp:extent cx="709803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-1127125</wp:posOffset>
            </wp:positionV>
            <wp:extent cx="709803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-647065</wp:posOffset>
            </wp:positionV>
            <wp:extent cx="709803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-269875</wp:posOffset>
            </wp:positionV>
            <wp:extent cx="70980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60" w:space="80"/>
            <w:col w:w="5820"/>
          </w:cols>
          <w:pgMar w:left="340" w:top="360" w:right="39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36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  $</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  $</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122,043,966</w:t>
            </w:r>
          </w:p>
        </w:tc>
        <w:tc>
          <w:tcPr>
            <w:tcW w:w="2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  $</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  675,143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(636,155)</w:t>
            </w:r>
          </w:p>
        </w:tc>
        <w:tc>
          <w:tcPr>
            <w:tcW w:w="3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39,000</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098030"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60"/>
          </w:cols>
          <w:pgMar w:left="340" w:top="360" w:right="39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336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Pr>
          <w:p>
            <w:pPr>
              <w:spacing w:after="0"/>
              <w:rPr>
                <w:sz w:val="16"/>
                <w:szCs w:val="16"/>
                <w:color w:val="auto"/>
              </w:rPr>
            </w:pPr>
          </w:p>
        </w:tc>
      </w:tr>
      <w:tr>
        <w:trPr>
          <w:trHeight w:val="37"/>
        </w:trPr>
        <w:tc>
          <w:tcPr>
            <w:tcW w:w="7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0"/>
        </w:trPr>
        <w:tc>
          <w:tcPr>
            <w:tcW w:w="7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20"/>
                <w:szCs w:val="20"/>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financing charge on Legacy Blaize convertible notes</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financing expense related to issuance of common stock</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expense related to issuance of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(21,615)</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 - related party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 - related party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trade payables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(73,751)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(53,532)</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in escrow</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common stock to Polar, net of offering expenses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advances from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Proceeds from issuance of common stock, net of financing charge on the committed equity</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1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short-term demand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Legacy Blaize convertible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70,101</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101,709</w:t>
            </w: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36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342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6"/>
                <w:szCs w:val="16"/>
                <w:color w:val="auto"/>
              </w:rPr>
            </w:pPr>
          </w:p>
        </w:tc>
      </w:tr>
      <w:tr>
        <w:trPr>
          <w:trHeight w:val="37"/>
        </w:trPr>
        <w:tc>
          <w:tcPr>
            <w:tcW w:w="71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30"/>
        </w:trPr>
        <w:tc>
          <w:tcPr>
            <w:tcW w:w="7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0"/>
                <w:szCs w:val="20"/>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47,275</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26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46,050</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50,488</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7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50,237</w:t>
            </w:r>
          </w:p>
        </w:tc>
      </w:tr>
      <w:tr>
        <w:trPr>
          <w:trHeight w:val="230"/>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46,050</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50,488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taxes - State</w:t>
            </w:r>
          </w:p>
        </w:tc>
        <w:tc>
          <w:tcPr>
            <w:tcW w:w="1260" w:type="dxa"/>
            <w:vAlign w:val="bottom"/>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taxes - Foreign (India)</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refund received for taxes - Foreign (United Kingdom)</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paid for taxes, net of refunds</w:t>
            </w:r>
          </w:p>
        </w:tc>
        <w:tc>
          <w:tcPr>
            <w:tcW w:w="126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0"/>
        </w:trPr>
        <w:tc>
          <w:tcPr>
            <w:tcW w:w="7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Legacy Blaize convertible notes to common stock</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exercise of Legacy Blaize warrants for common stock</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common shares with cash held in escrow</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Capitalized deferred offering costs included in accounts payable and accrued expenses and</w:t>
            </w:r>
          </w:p>
        </w:tc>
        <w:tc>
          <w:tcPr>
            <w:tcW w:w="1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Legacy Blaize warrants with Legacy Blaize convertible notes</w:t>
            </w:r>
          </w:p>
        </w:tc>
        <w:tc>
          <w:tcPr>
            <w:tcW w:w="1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Reversal of excise tax accrual to additional paid-in-capital</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acquired in accounts payable and accrued expenses</w:t>
            </w:r>
          </w:p>
        </w:tc>
        <w:tc>
          <w:tcPr>
            <w:tcW w:w="1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committed equity facility</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1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360" w:right="339" w:bottom="1440" w:gutter="0" w:footer="0" w:header="0"/>
        </w:sectPr>
      </w:pPr>
    </w:p>
    <w:bookmarkStart w:id="64" w:name="page65"/>
    <w:bookmarkEnd w:id="6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Blaize Holdings, Inc. (together with its subsidiaries, “Blaize,” or the “Company”) is headquartered in El Dorado Hills, California. The consolidated financial statements of the Company, after the Merger (as defined below), include the accounts of the Company and its wholly owned subsidiaries. Prior to the Merger, the Company’s consolidated financial statements included that of Legacy Blaize, as defined below, and included the accounts of Legacy Blaize and its wholly owned subsidiaries.</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provides purpose-built, transformative artificial intelligence (“AI”)-enabled edge computing solutions comprised of both its proprietary hardware and software, and complementary third-party hardware solutions, as further described below.</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w:t>
      </w:r>
    </w:p>
    <w:p>
      <w:pPr>
        <w:spacing w:after="0" w:line="20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 The Company’s principal market for its products is currently 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January 13, 2025 (the “Closing Date”), Merger Sub merged with and into Legacy Blaize, with Legacy Blaize surviving the Merger as a wholly owned subsidiary of the Company.</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Merger, BurTech LP, LLC (“BurTech LP” or the “Sponsor”) was the sponsor of BurTech, and after the consummation of the Merger, the Sponsor and its affiliated entities remained significant shareholders in the Company and are therefore considered related parties. Concurrent with the Merger, BurTech was renamed “Blaize Holdings, Inc.” Beginning on January 14, 2025, Blaize’s common stock and warrants began trading on The Nasdaq Stock Market LLC (“Nasdaq”) under the ticker symbols “BZAI” and “BZAIW,”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with BurTech treated as the acquired company and Legacy Blaize treated as the acquirer for financial reporting purposes. This accounting treatment was equivalent to Legacy Blaize issuing stock for the net assets of BurTech, accompanied by a recapitalization whereby no goodwill or other intangible assets were recorded. Operations prior to the Merger are those of Legacy Blaize. Upon the consummation of the Merger, each share of Legacy Blaize common stock issued and outstanding was canceled and converted into the right to receive approximately 0.78 shares (the “Exchange Ratio”) of common stock of BurTech. For periods prior to the Merger, the reported share and per share amounts have been retroactively converted by applying the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80"/>
          </w:cols>
          <w:pgMar w:left="320" w:top="117" w:right="39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net cash proceeds received and the net non-cash liabilities assumed by the Company as a result of the Merger:</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BurTech trust and cash, net of redemption</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37,259</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(33,061)</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PIPE</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transaction and advisory costs paid by BurTech</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23"/>
        </w:trPr>
        <w:tc>
          <w:tcPr>
            <w:tcW w:w="9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proceeds from the Merger</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7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Merger and PIPE financing</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(126,164)</w:t>
            </w:r>
          </w:p>
        </w:tc>
      </w:tr>
      <w:tr>
        <w:trPr>
          <w:trHeight w:val="20"/>
        </w:trPr>
        <w:tc>
          <w:tcPr>
            <w:tcW w:w="9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 and Going Concern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on hand of $45.8 million and accounts receivable less allowance for credit losses of $33.4 million, while accounts payable along with and accrued expenses and other current liabilities (excluding amounts due to related parties) and accrued trade payables totaled $37.9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17" w:right="33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and for the year ended December 31, 2025, the Company funded its operations by using cash generated from financing activities and at the same time, has incurred negative cash flows from operations. Cash provided by financing activities was $70.1 million and $101.7 million for the years ended December 31, 2025 and 2024, respectively, and cash used in operations was $73.8 million and $53.5 million for the years ended December 31, 2025 and 2024, respectively.</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historically incurred recurring operating losses, including a loss from operations of $103.8 million and $47.6 million for the years ended December 31, 2025 and 2024, respectively.</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In order to continue its operations, the Company, as currently structured, will need to raise additional financing, if such financing is available at all.</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the above, in connection with its assessment of going concern considerations in accordance with Financial Accounting Standards Board’s (“FASB”) Accounting Standards Codification (“ASC”) 205-40-50 — “Going Concern — Disclosure,” management has determined that the Company’s liquidity condition raises substantial doubt about its ability to continue as a going concern through one year from the date that these consolidated financial statements have been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(“GAAP”) and reflect all adjustments, including normal recurring adjustments, which, in the opinion of management, are necessary to present fairly the financial position, results of operations, and cash flows for the periods presented in accordance with GAAP. The consolidated financial statements include the financial statements of the Company and its wholly-owned subsidiaries. All intercompany balances and transactions have been eliminated upon consolidation. The Company has no other comprehensive income or loss, therefore net loss was equal to other comprehensive loss for all periods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required to make estimates and assumptions when preparing our consolidated financial statements in accordance with GAAP. These estimates and assumptions affect the amounts reported in our consolidated financial statements and the accompanying notes. Actual results could differ materially from those estimates. As future events and their effects cannot be determined with precision, actual results could differ significantly from these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The Company’s cash equivalents are currently primarily comprised of money market funds, and, as of December 31, 2024, also included U.S. Government treasury securities. The Company has cash deposits in a financial institution that, at times, may be in excess of Federal Deposit Insurance Corporation (“FDIC”) insurance limits.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 “Fair Value Measurements and Derivative Instruments” for details regarding the composition of the Company’s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17"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December 31, 2025 and 2024, restricted cash of $0.3 million was included as a long-term asset within “other assets”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Company recognizes an allowance for current expected credit losses (“CECL”) in accordance with ASC 326 — “Financial Instruments - Credit Losses” on accounts receivable at the time the receivable is initially recorded (“Day One”), and subsequently according to an aging schedule. The Day One provision is set at 1% of the gross accounts receivable balance, reflecting management’s judgment of the current estimate of expected losses on Day One of the establishment of the receivable.</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to the Day One provision, the Company utilizes an aging schedule to monitor and assess the collectability of outstanding receivables. Receivables are categorized into aging buckets (e.g., current, 1–30 days past due, 31–60 days past due, 61–90 days past due, and over 90 days past due). The Company reviews the aging schedule at each reporting period and adjusts the allowance for credit losses as necessary, considering factors such as customer-specific risks, historical loss trends, and macroeconomic conditions. The allowance for credit losses is reviewed and updated quarterly, or more frequently if circumstances warrant.</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Due to the limited number of customers and the Company’s relatively short operating history, there is insufficient data to establish a robust historical loss rate for the implementation of the receivables aging model. As a result, the Company is not applying a traditional aging of receivables approach to estimate credit losses. Instead, management currently evaluates the collectability of accounts receivable on a customer-by-customer basis, considering all available information relevant to each customer’s credit risk and payment history. This individualized assessment allows the Company to gather data to make reasonable and supportable estimates of expected credit losses, even in the absence of significant historical loss experience. The Company continues to refine its CECL process as more data becomes available and will adjust its methodology accordingly to reflect the evolving risk profile of its receivables portfolio.</w:t>
      </w:r>
    </w:p>
    <w:p>
      <w:pPr>
        <w:spacing w:after="0" w:line="21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Account balances are charged off against the allowance (“written off”) after all means of attempted collection indicate that the potential for recovery is considered remote.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Inventories, net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raw materials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The liability balances of the Company’s accrued losses on purchase commitments as of December 31, 2025 and 2024 are set forth in Note 6 — “Financial Statement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17" w:right="359" w:bottom="1440"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and equipment is substantially comprised of server and network equipment, laptop computers, and software. Property and equipment are stated at cost less accumulated depreciation. Depreciation is computed using the straight-line method over the useful life of the asset. All of the Company’s depreciation expense for the years ended December 31, 2025 and 2024 as presented on the consolidated statements of operations related to the depreciation of property and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Impairment of long-lived assets is performed at the lowest level of an “asset group,” as further described below, and generally involves assessing if a triggering event of impairment has occurred (a “triggering event”) and if a triggering event has occurred, comparing the sum of the asset group’s expected undiscounted future cash flows to the carrying value of assets (a “recoverability test”).</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as a whole is considered the lowest level of the asset group. As the Company is in the position of substantial doubt regarding its ability to continue as a going concern, the sum of undiscounted future cash flows would be considered negative and both the carrying amount of the assets and the fair value of the assets would therefore exceed the sum of the undiscounted future cash flows if a triggering event were deemed to have occurred and a recoverability test were to be performed. An impairment would thus generally only be recognized on a triggering event that would require the Company to consider the carrying values compared to the fair values of its assets using the liquidation basis of accounting. No such triggering events occurred during the year ended December 31, 2025.</w:t>
      </w:r>
    </w:p>
    <w:p>
      <w:pPr>
        <w:spacing w:after="0" w:line="21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also assesses the remaining useful lives of long-lived assets, and records a prospective acceleration of depreciation should the estimated useful lives of its long-lived assets be evaluated as shorter than their original estimated useful lives. No significant accelerations of depreciation were recorded for the years ended December 31, 2025 and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2025 and 2024, the Company had no finance leases.</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an element of variable payments for taxes, parking, and common area maintenance. Variable lease payments are expensed as incurred and not included in the operating lease ROU assets and lease liabilities.</w:t>
      </w:r>
    </w:p>
    <w:p>
      <w:pPr>
        <w:spacing w:after="0" w:line="21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117" w:right="37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vs. equity classification of complex financial instruments</w:t>
      </w:r>
    </w:p>
    <w:p>
      <w:pPr>
        <w:spacing w:after="0" w:line="25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accounts for complex financial instruments as either equity-classified or liability-classified instruments based on an assessment of the instrument’s specific terms and applicable authoritative guidance in ASC 480 — “Distinguishing Liabilities from Equity” (“ASC 480”) and ASC 815 — “Derivatives and Hedging” (“ASC 815”). The assessment considers whether the instruments are freestanding financial instruments pursuant to ASC 480, meet the definition of a liability pursuant to ASC 480, and, if not classified as a liability, if the accounting meets the requirements for derivative classification under ASC 815, which is precluded if the instruments are indexed to the Company’s own common stock, or meet the other conditions for equity classification. This assessment, which requires the use of management’s judgment, is conducted at the time of the instrument’s issuance, as well as each subsequent reporting period-end date while any given complex financial instrument is outstanding.</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at their initial fair value on the date of issuance, and each balance sheet date thereafter, until the instrument is either reclassified into equity by modification or expires by its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derives all its revenue from contracts with customers, including sales of hardware and software products and strategic consulting services, all as further described below. The Company recognizes revenue under ASC 606, Revenue from Contracts with Customers (“ASC 606”), in which it determines revenue recognition through the following steps: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 If there is uncertainty regarding the ability of collecting potential revenue at the time of a sale, the Company may determine that it may be appropriate to defer revenue recognition or apply a constraint against revenue recognition until payment is received from the customer.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At contract inception, the Company will evaluate whether two or more contracts should be combined and accounted for as a single contract and whether the combined or single contract includes more than one performance obligation.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2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17" w:right="339" w:bottom="1440" w:gutter="0" w:footer="0" w:header="0"/>
        </w:sectPr>
      </w:pPr>
    </w:p>
    <w:bookmarkStart w:id="70" w:name="page71"/>
    <w:bookmarkEnd w:id="7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5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which is generally at a point in time, unless a revenue recognition deferral or constraint is deemed applicable. The Company offers unspecified upgrades and support on certain products, however, the related revenue has historically not been material.</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Revenue from services is recognized at the time the related performance obligation is satisfied by transferring the control of the promised service to a customer. Revenue in respect of services, including strategic consulting services or marketing services, is recognized over the contractual terms during which the Company provides services over a period of time.</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w:t>
      </w: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 which warranties are not material for accrual.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hardware products and materials and associated freight expense, and direct labor costs when applicable as well as indirect costs such as inventory carrying costs and inventory valuation reserves. There is no depreciation allocable to cost of revenue; however, if such depreciation expense were to be incurred, it would be allocated to cost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60"/>
          </w:cols>
          <w:pgMar w:left="320" w:top="117" w:right="419" w:bottom="1440" w:gutter="0" w:footer="0" w:header="0"/>
        </w:sectPr>
      </w:pPr>
    </w:p>
    <w:bookmarkStart w:id="71" w:name="page72"/>
    <w:bookmarkEnd w:id="7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stock options granted to employees, consultants, and directors based on the fair value of those awards at the date of grant over the requisite service period. The fair value of stock options granted is determined using the Black-Scholes option pricing model using various inputs, including Company estimates of expected share price volatility, term, risk-free rate and future dividends. The Company has elected the simplified method to determine the expected term of the option grants.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grants restricted stock units (“RSUs”) to employees, consultants, and directors which vest upon the satisfaction of a service-based condition. The fair value of RSUs is determined based on the fair value of common stock at the date of grant. Due to the Merger that occurred during the year ended December 31,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Forfeitures are recognized as they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cost of revenues, and operating expenses are remeasured at the average exchange rates in effect during each reporting period. The resulting transaction gains or losses are recognized in other, net, in the consolidated statements of operations. During the years ended December 31, 2025 and 2024, foreign currency transaction gains and losses were immaterial.</w:t>
      </w:r>
    </w:p>
    <w:p>
      <w:pPr>
        <w:spacing w:after="0" w:line="21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the Company’s reporting and functional currency is the USD, there is no cumulative translation adjustment; thus, the Company does not have accumulated other comprehensive income or loss on its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each an “ASU”) issued by the Financial Accounting Standards Board (“FASB”). The following ASUs were adopted by the Company during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 (“ASU 2023-09”)</w:t>
      </w:r>
    </w:p>
    <w:p>
      <w:pPr>
        <w:spacing w:after="0" w:line="2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requiring greater disaggregation of income statement disclosures related to the income tax rate reconciliation, income taxes paid, and other disclosures.</w:t>
      </w:r>
    </w:p>
    <w:p>
      <w:pPr>
        <w:spacing w:after="0" w:line="189" w:lineRule="exact"/>
        <w:rPr>
          <w:sz w:val="20"/>
          <w:szCs w:val="20"/>
          <w:color w:val="auto"/>
        </w:rPr>
      </w:pPr>
    </w:p>
    <w:p>
      <w:pPr>
        <w:jc w:val="both"/>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rate reconciliation – ASU 2023-09 requires disclosing additional information in specified categories to reconcile the effective tax rate to the statutory rate (the rate reconciliation) for federal, state, and foreign income taxes. It also requires greater detail about individual reconciling items in the rate reconciliation to the extent the impact of those items exceeds a specified threshold.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117" w:right="4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4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 ASU 2023-09 requires disclosing information about taxes paid (net of refunds received) to be disaggregated for federal, state, and foreign taxes and further disaggregated for specific jurisdictions to the extent the related amounts exceed a quantitative threshold.</w:t>
      </w:r>
    </w:p>
    <w:p>
      <w:pPr>
        <w:ind w:left="660" w:right="80" w:hanging="328"/>
        <w:spacing w:after="0" w:line="255"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disclosures – ASU 2023-09 requires disclosing income (or loss) from continuing operations before income tax expense (or benefit) disaggregated between domestic and foreign, and income tax expense (or benefit) from continuing operations disaggregated by federal (national), state, and foreign.</w:t>
      </w:r>
    </w:p>
    <w:p>
      <w:pPr>
        <w:spacing w:after="0" w:line="21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amendments in ASU 2023-09 eliminated the requirement for all entities to (1) disclose the nature and estimate of the range of the reasonably possible change in the unrecognized tax benefits balance in the next 12 months or (2) make a statement that an estimate of the range cannot be made. The amendments in this update also removed the requirement to disclose the cumulative amount of each type of temporary difference when a deferred tax liability is not recognized because of the exceptions to comprehensive recognition of deferred taxes related to subsidiaries and corporate joint ventures.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amendments in ASU 2023-09 became effective for annual periods beginning after December 15, 2024. The Company adopted ASU 2023-09 prospectively for the year ended December 31, 2025. See Note 7 — “Income Taxes”. Since this new ASU addresses only disclosures, its adoption did not have any effect on the Company’s financial position, results of operations, or cash flows.</w:t>
      </w:r>
    </w:p>
    <w:p>
      <w:pPr>
        <w:spacing w:after="0" w:line="201"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ASU 2025-05, Financial Instruments—Credit Losses (Topic 326): Measurement of Credit Losses for Accounts Receivable and Contract Assets (“ASU 2025-05”)</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This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ASC 606. This guidance is effective for the Company beginning on January 1, 2026, and early adoption is permitted. The amendments in this ASU should be applied prospectively. The Company has elected to early adopt the provisions of this practical expedient, and the adoption of this practical expedient did not have a material effect on the Company’s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ASUs not listed below were assessed and determined to be either not applicable or are not expected to have a material effect on the Company’s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Income—Expense Disaggregation Disclosures (“ASU 2024-03”)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4, 2024, the FASB issued ASU 2024-03 requiring additional income tax disclosures related to certain costs and expenses as listed below:</w:t>
      </w:r>
    </w:p>
    <w:p>
      <w:pPr>
        <w:spacing w:after="0" w:line="252" w:lineRule="exact"/>
        <w:rPr>
          <w:sz w:val="20"/>
          <w:szCs w:val="20"/>
          <w:color w:val="auto"/>
        </w:rPr>
      </w:pPr>
    </w:p>
    <w:p>
      <w:pPr>
        <w:ind w:left="66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amounts of (a) purchases of inventory, (b) employee compensation, (c) depreciation, (d) intangible asset amortization, and (e) depreciation, depletion, and amortization recognized as part of oil and gas producing activities (or other amounts of depletion expense) included in each relevant expense caption.</w:t>
      </w:r>
    </w:p>
    <w:p>
      <w:pPr>
        <w:spacing w:after="0" w:line="1"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certain amounts that are already required to be disclosed under current U.S. GAAP in the same disclosure as the other disaggregation requirements.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a qualitative description of the amounts remaining in relevant expense captions that are not separately disaggregated quantitatively.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total amount of selling expenses and, in annual reporting periods, an entity’s definition of selling expenses.</w:t>
      </w:r>
    </w:p>
    <w:p>
      <w:pPr>
        <w:spacing w:after="0" w:line="2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amendments in ASU 2024-03 are effective for annual reporting periods beginning after December 15, 2026, and interim reporting periods beginning after December 15, 2027. Early adoption is permitted. They should be applied either prospectively to financial statements issued for reporting periods after the effective date or retrospectively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117"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or all prior periods presented in the consolidated financial statements. The Company is currently evaluating the effect of this new guidance on the consolidated financial statement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2025-11, Interim Reporting (Topic 270): Narrow Scope Improvements (“ASU 2025-11”)</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8, 2025, the FASB issued ASU 2025-11 to clarify the current interim disclosure requirements and the applicability of ASC 270 — “Interim Reporting” (“ASC 270”). The ASU creates a comprehensive list of interim disclosures in ASC 270 that are required in interim financial statements and the accompanying notes under GAAP. It also incorporates a disclosure principle requiring entities to disclose in interim periods events and changes that occur after the end of the most recent annual reporting period that have a material impact on the entity. ASU 2025-11 also clarifies that SEC registrants are required to refer to existing SEC guidance, such as Rule 10-01 of Regulation S-X, since those rules provide form and content requirements for condensed financial statements. ASU 2025-11 will be effective for interim and annual reporting periods beginning after 2027, which will be first quarter of fiscal 2028 for the Company. Early adoption is permitted, and the guidance can be applied prospectively or retrospectively. Since ASU 2025-11 is disclosure-related only, its adoption is not expected to have an effect on the Company’s financial position, results of operations, or cash flows. The Company is currently evaluating the disclosure guidance in ASU 2025-11 to determine if any new or amended disclosures will be required upon adoption.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by geographical location, determined by reference to the customer’s shipping location for the years ended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4"/>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91.00%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78.19 %</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21.36 %</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based on the method of revenue recognition for the years ended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concentrations in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Company’s revenue concentration by customer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76.77%</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B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61.48%</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(2) (3)</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Customers A and B are related parties to the Company.</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 the customers within “Others” comprised less than 10% of revenue each.</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December 31, 2025, “Others” included $3.4 million in revenue from a related party.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Constrained revenue and variable consideration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years ended December 31, 2025 and 2024, the Company had no revenue that was subject to constraint or variable consideration.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revenue-related matters</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were no contract assets (unbilled receivables) and no material contract liabilities (deferred revenue) as of December 31, 2025 and 2024. The Company did not have any outstanding or unsatisfied performance obligations as of December 31, 2025 and 2024. The Company did not have material costs related to obtaining a contract, or fulfilling a contract that are not addressed by other accounting standards, with amortization periods greater than one year as of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Normal credit terms for the Company’s accounts receivable are generally up to net 30 days, although credit terms for a customer sale that occurred in the fourth quarter of 2025 included credit terms up to 90 days. As of December 31, 2025, the Company’s accounts receivable, excluding accounts receivable due from a related party, were 69% current, 26% over 60 days past due, and 5% over 90 days past due.</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that were due from a related party were substantially all 90 days past due as of December 31, 2025, but were collected in full subsequent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balances and activity within the Company’s provision for credit losses as of and for the years ended December 31, 2025 and 2024 are set forth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2024</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 - related party</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
        </w:trPr>
        <w:tc>
          <w:tcPr>
            <w:tcW w:w="9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recoveries of the provision for credit losses during the years ended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 of accounts receivable</w:t>
      </w:r>
    </w:p>
    <w:p>
      <w:pPr>
        <w:spacing w:after="0" w:line="2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summary of the Company’s concentration of accounts receivable, including accounts receivable due from a related party, by customer, as of the year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4"/>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C </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D </w:t>
            </w:r>
            <w:r>
              <w:rPr>
                <w:rFonts w:ascii="Times New Roman" w:cs="Times New Roman" w:eastAsia="Times New Roman" w:hAnsi="Times New Roman"/>
                <w:sz w:val="23"/>
                <w:szCs w:val="23"/>
                <w:color w:val="auto"/>
                <w:vertAlign w:val="superscript"/>
              </w:rPr>
              <w:t>(1) (2)</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(3) (4)</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including due from related party</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118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18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including due from related party</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180" w:type="dxa"/>
            <w:vAlign w:val="bottom"/>
          </w:tcPr>
          <w:p>
            <w:pPr>
              <w:spacing w:after="0"/>
              <w:rPr>
                <w:sz w:val="19"/>
                <w:szCs w:val="19"/>
                <w:color w:val="auto"/>
              </w:rPr>
            </w:pPr>
          </w:p>
        </w:tc>
      </w:tr>
      <w:tr>
        <w:trPr>
          <w:trHeight w:val="21"/>
        </w:trPr>
        <w:tc>
          <w:tcPr>
            <w:tcW w:w="7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geographic concentration of these accounts receivable is from customers located in China.</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Subsequent to December 31, 2025, the Company received payments of $15.2 million from this customer.</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individually comprised less than 10% each of the Company’s accounts receivable balance.</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receivable due from a related party of $3.4 million, which was paid in full subsequent to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 and 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w:t>
      </w:r>
    </w:p>
    <w:p>
      <w:pPr>
        <w:ind w:right="80" w:firstLine="8"/>
        <w:spacing w:after="0" w:line="265" w:lineRule="auto"/>
        <w:tabs>
          <w:tab w:leader="none" w:pos="2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“Fair Value Measurements,” requires fair value measurements be classified and disclosed in one of the following pricing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Carrying amounts that approximate fair value</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(including from related parties), prepaid expenses and other current assets, deferred tax assets, operating lease ROU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Company’s financial instruments measured at fair value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financial assets and liabilities measured at fair value as of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r>
      <w:tr>
        <w:trPr>
          <w:trHeight w:val="230"/>
        </w:trPr>
        <w:tc>
          <w:tcPr>
            <w:tcW w:w="4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earnout shares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r>
      <w:tr>
        <w:trPr>
          <w:trHeight w:val="24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$2.2 million in earnout shares -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18"/>
                <w:szCs w:val="18"/>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0" w:type="dxa"/>
            <w:vAlign w:val="bottom"/>
          </w:tcPr>
          <w:p>
            <w:pPr>
              <w:spacing w:after="0"/>
              <w:rPr>
                <w:sz w:val="18"/>
                <w:szCs w:val="18"/>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Blaize convertible notes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1"/>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2025 and 2024.</w:t>
      </w:r>
    </w:p>
    <w:p>
      <w:pPr>
        <w:spacing w:after="0" w:line="25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information for the years ended December 31, 2025 and December 31, 2024 about the Company’s Level 3 liabilities measured at fair value on a recurring basis: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issuance of Legacy Blaize convertible notes and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111,182</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165,703</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60,345</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 and exercise of Legacy Blaize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(389,387)</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other earnout shares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126,042</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other earnout shares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Polar warrants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 Polar warrants</w:t>
            </w: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significant Level 3 inputs as of December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 valued using Level 3</w:t>
            </w: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gridSpan w:val="2"/>
            <w:vMerge w:val="continue"/>
          </w:tcPr>
          <w:p>
            <w:pPr>
              <w:spacing w:after="0"/>
              <w:rPr>
                <w:sz w:val="2"/>
                <w:szCs w:val="2"/>
                <w:color w:val="auto"/>
              </w:rPr>
            </w:pP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Valuation Method</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methods</w:t>
            </w:r>
          </w:p>
        </w:tc>
        <w:tc>
          <w:tcPr>
            <w:tcW w:w="254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16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Black-Scholes</w:t>
            </w:r>
          </w:p>
        </w:tc>
        <w:tc>
          <w:tcPr>
            <w:tcW w:w="14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6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60" w:type="dxa"/>
            <w:vAlign w:val="bottom"/>
          </w:tcPr>
          <w:p>
            <w:pPr>
              <w:spacing w:after="0"/>
              <w:rPr>
                <w:sz w:val="19"/>
                <w:szCs w:val="19"/>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4.87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earnout shares</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 Carlo Simulation</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(continuous)</w:t>
            </w:r>
          </w:p>
        </w:tc>
        <w:tc>
          <w:tcPr>
            <w:tcW w:w="46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(interpolated)</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(continuous)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60" w:type="dxa"/>
            <w:vAlign w:val="bottom"/>
          </w:tcPr>
          <w:p>
            <w:pPr>
              <w:spacing w:after="0"/>
              <w:rPr>
                <w:sz w:val="19"/>
                <w:szCs w:val="19"/>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4.04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Legacy Blaize convertible</w:t>
            </w: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Assumed market price</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22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40" w:type="dxa"/>
            <w:vAlign w:val="bottom"/>
            <w:gridSpan w:val="2"/>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60" w:type="dxa"/>
            <w:vAlign w:val="bottom"/>
            <w:gridSpan w:val="2"/>
            <w:vMerge w:val="continue"/>
          </w:tcPr>
          <w:p>
            <w:pPr>
              <w:spacing w:after="0"/>
              <w:rPr>
                <w:sz w:val="7"/>
                <w:szCs w:val="7"/>
                <w:color w:val="auto"/>
              </w:rPr>
            </w:pPr>
          </w:p>
        </w:tc>
        <w:tc>
          <w:tcPr>
            <w:tcW w:w="2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200" w:firstLine="8"/>
        <w:spacing w:after="0" w:line="258" w:lineRule="auto"/>
        <w:tabs>
          <w:tab w:leader="none" w:pos="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Blaize convertible notes were issued in a number of different tranches. The assumptions for recording these instruments at fair value involved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each tranche of Legacy Blaize convertible notes under each event scenario was discounted back to the valuation date using a discount rate aligned with the Company’s assumed credit rating and the weighted average present value of each scenario as assumed by management.</w:t>
      </w:r>
    </w:p>
    <w:p>
      <w:pPr>
        <w:spacing w:after="0" w:line="210" w:lineRule="exact"/>
        <w:rPr>
          <w:sz w:val="20"/>
          <w:szCs w:val="20"/>
          <w:color w:val="auto"/>
        </w:rPr>
      </w:pPr>
    </w:p>
    <w:p>
      <w:pPr>
        <w:ind w:right="60" w:firstLine="8"/>
        <w:spacing w:after="0" w:line="254" w:lineRule="auto"/>
        <w:tabs>
          <w:tab w:leader="none" w:pos="2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Blaize warrants were issued in a number of different tranches. Certain of the Legacy Blaize warrants were issued along with convertible notes, and others were issued separately. All were considered freestanding financial instruments. The 2023 issuance-date tranches of the Legacy Blaize warrants were valued using the Black-Scholes option pricing model probability-weighted for the same future event scenarios as used in the Legacy Blaize convertible notes, wherein the warrant strike price and the fair value of the respective conversion shares was calculated for each of participation group with different percentages. The fair value of other Legacy Blaize warrants issued in 2024 was valued using the Black-Scholes option pricing model, as probability-weighted for future event scenarios as defined in the associated convertible note agreement. The exercise price for that warrant tranche was a floating exercise price and thus was estimated using a Monte Carlo simulation model. The fair value of other Legacy Blaize warrants issued in 2024 separately from a convertible note issuance was estimated based on a probability-weighted approach of scenarios, including the scenarios that the Merger would and would not be consummated.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Merger and during the year ended December 31, 2025, the Company’s derivatives were comprised of:</w:t>
      </w:r>
    </w:p>
    <w:p>
      <w:pPr>
        <w:spacing w:after="0" w:line="25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Earnout Shares, representing a freestanding structured forward contract;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Polar warrants, representing a freestanding liability-classified derivative instrument; and</w:t>
      </w:r>
    </w:p>
    <w:p>
      <w:pPr>
        <w:spacing w:after="0" w:line="9"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Committed Equity Facility, which upon execution on July 14, 2025, was considered a freestanding purchased put right, with each draw on the Committed Equity Facility considered an embedded forward contract.</w:t>
      </w:r>
    </w:p>
    <w:p>
      <w:pPr>
        <w:spacing w:after="0" w:line="2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2025, the remaining value of the freestanding purchased put right of the Committed Equity Facility was considered nominal, and was marked to zero. No draws on the Committed Equity Facility were outstanding as of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Merger, and as of December 31, 2024, certain of the Legacy warrants were considered derivative financial instruments.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Financial Statement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net” as of December 31, 2025 and 2024 and significant activity within the balances of inventories during the years ended December 31, 2025 and 2024 are set forth on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70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154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 in progress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 - manufactured</w:t>
            </w: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manufactured inventories</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1"/>
        </w:trPr>
        <w:tc>
          <w:tcPr>
            <w:tcW w:w="6360" w:type="dxa"/>
            <w:vAlign w:val="bottom"/>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95"/>
        </w:trPr>
        <w:tc>
          <w:tcPr>
            <w:tcW w:w="6360" w:type="dxa"/>
            <w:vAlign w:val="bottom"/>
          </w:tcPr>
          <w:p>
            <w:pPr>
              <w:spacing w:after="0"/>
              <w:rPr>
                <w:sz w:val="24"/>
                <w:szCs w:val="24"/>
                <w:color w:val="auto"/>
              </w:rPr>
            </w:pPr>
          </w:p>
        </w:tc>
        <w:tc>
          <w:tcPr>
            <w:tcW w:w="418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As of and for the years ended December 31,</w:t>
            </w:r>
          </w:p>
        </w:tc>
        <w:tc>
          <w:tcPr>
            <w:tcW w:w="700" w:type="dxa"/>
            <w:vAlign w:val="bottom"/>
            <w:tcBorders>
              <w:bottom w:val="single" w:sz="8" w:color="auto"/>
            </w:tcBorders>
          </w:tcPr>
          <w:p>
            <w:pPr>
              <w:spacing w:after="0"/>
              <w:rPr>
                <w:sz w:val="24"/>
                <w:szCs w:val="24"/>
                <w:color w:val="auto"/>
              </w:rPr>
            </w:pPr>
          </w:p>
        </w:tc>
      </w:tr>
      <w:tr>
        <w:trPr>
          <w:trHeight w:val="211"/>
        </w:trPr>
        <w:tc>
          <w:tcPr>
            <w:tcW w:w="63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Beginning balance - finished goods - resale </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 of finished goods - resale </w:t>
            </w:r>
            <w:r>
              <w:rPr>
                <w:rFonts w:ascii="Times New Roman" w:cs="Times New Roman" w:eastAsia="Times New Roman" w:hAnsi="Times New Roman"/>
                <w:sz w:val="23"/>
                <w:szCs w:val="23"/>
                <w:color w:val="auto"/>
                <w:vertAlign w:val="superscript"/>
              </w:rPr>
              <w:t>(2)</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finished goods - resale</w:t>
            </w: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 - finished goods - resale</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540" w:type="dxa"/>
            <w:vAlign w:val="bottom"/>
            <w:tcBorders>
              <w:bottom w:val="single" w:sz="8" w:color="auto"/>
            </w:tcBorders>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Finished goods - resale is comprised of purchased hardware, primarily servers.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Supplier concentration for “Purchase of finished goods - resale” is concentrated between two suppliers located in China.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“accrued trade payables” of $22.8 million on the Company’s consolidated balance sheet was payable for the Company’s purchase of finished goods - resale, which had been sold to a customer and thus was included in “cost of revenue” on the Company’s consolidated statements of operations for the year ended December 31, 2025. Subsequent to December 31, 2025, the Company paid $15.8 million on this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December 31, 2025 and 2024 are set forth on the table,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60" w:type="dxa"/>
            <w:vAlign w:val="bottom"/>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Prepaid expenses: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software licenses and maintenance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compensation</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prepaid expenses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offering costs</w:t>
            </w:r>
          </w:p>
        </w:tc>
        <w:tc>
          <w:tcPr>
            <w:tcW w:w="580" w:type="dxa"/>
            <w:vAlign w:val="bottom"/>
          </w:tcPr>
          <w:p>
            <w:pPr>
              <w:spacing w:after="0"/>
              <w:rPr>
                <w:sz w:val="23"/>
                <w:szCs w:val="23"/>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Vendor deposits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assets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6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4,003</w:t>
            </w:r>
          </w:p>
        </w:tc>
        <w:tc>
          <w:tcPr>
            <w:tcW w:w="160" w:type="dxa"/>
            <w:vAlign w:val="bottom"/>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12,621</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 of accrued expenses and other current liabilities is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2,787</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1,685</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6,124</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purchase commitments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3,289</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technology fees</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2,104</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603</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6,700</w:t>
            </w:r>
          </w:p>
        </w:tc>
        <w:tc>
          <w:tcPr>
            <w:tcW w:w="160" w:type="dxa"/>
            <w:vAlign w:val="bottom"/>
          </w:tcPr>
          <w:p>
            <w:pPr>
              <w:spacing w:after="0"/>
              <w:rPr>
                <w:sz w:val="22"/>
                <w:szCs w:val="22"/>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14,300</w:t>
            </w:r>
          </w:p>
        </w:tc>
      </w:tr>
      <w:tr>
        <w:trPr>
          <w:trHeight w:val="20"/>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8"/>
        <w:spacing w:after="0" w:line="222" w:lineRule="auto"/>
        <w:tabs>
          <w:tab w:leader="none" w:pos="187"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Tax assets includes corporate income tax receivables, sale taxes receivable and withholding taxes related to compensation as of December 31, 2025 and sale taxes receivable and withholding taxes related to compensation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domestic and foreign components of the Company’s loss before income taxes: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(209,230)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(64,690)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2,543</w:t>
            </w: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(206,687)</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(62,147)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17"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provision for (benefit from) income taxes are set forth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States</w:t>
            </w:r>
          </w:p>
        </w:tc>
        <w:tc>
          <w:tcPr>
            <w:tcW w:w="58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w:t>
            </w:r>
          </w:p>
        </w:tc>
        <w:tc>
          <w:tcPr>
            <w:tcW w:w="58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(benefit from) for income taxes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Deferred income taxes were comprised solely of foreign taxes as of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tax provision at the U.S. federal statutory rate to the Company’s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is set forth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3"/>
          </w:tcPr>
          <w:p>
            <w:pPr>
              <w:jc w:val="right"/>
              <w:ind w:right="991"/>
              <w:spacing w:after="0"/>
              <w:rPr>
                <w:sz w:val="20"/>
                <w:szCs w:val="20"/>
                <w:color w:val="auto"/>
              </w:rPr>
            </w:pPr>
            <w:r>
              <w:rPr>
                <w:rFonts w:ascii="Times New Roman" w:cs="Times New Roman" w:eastAsia="Times New Roman" w:hAnsi="Times New Roman"/>
                <w:sz w:val="16"/>
                <w:szCs w:val="16"/>
                <w:b w:val="1"/>
                <w:bCs w:val="1"/>
                <w:color w:val="auto"/>
              </w:rPr>
              <w:t>For the Year Ended December 31, 2025</w:t>
            </w:r>
          </w:p>
        </w:tc>
      </w:tr>
      <w:tr>
        <w:trPr>
          <w:trHeight w:val="21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00" w:type="dxa"/>
            <w:vAlign w:val="bottom"/>
          </w:tcPr>
          <w:p>
            <w:pPr>
              <w:spacing w:after="0"/>
              <w:rPr>
                <w:sz w:val="18"/>
                <w:szCs w:val="18"/>
                <w:color w:val="auto"/>
              </w:rPr>
            </w:pPr>
          </w:p>
        </w:tc>
        <w:tc>
          <w:tcPr>
            <w:tcW w:w="20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36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book loss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(206,687)</w:t>
            </w:r>
          </w:p>
        </w:tc>
        <w:tc>
          <w:tcPr>
            <w:tcW w:w="16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(43,404)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17,842</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Transaction costs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2,529</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r>
      <w:tr>
        <w:trPr>
          <w:trHeight w:val="175"/>
        </w:trPr>
        <w:tc>
          <w:tcPr>
            <w:tcW w:w="63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Change in fair value of Legacy Blaize convertible notes and warrants and Polar</w:t>
            </w:r>
          </w:p>
        </w:tc>
        <w:tc>
          <w:tcPr>
            <w:tcW w:w="5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243"/>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46,604</w:t>
            </w:r>
          </w:p>
        </w:tc>
        <w:tc>
          <w:tcPr>
            <w:tcW w:w="16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(24,594)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5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2025, California state taxes made up more than 50% of the tax effect in this category.</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80"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tax provision at the U.S. federal statutory rate to the Company’s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set forth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3"/>
          </w:tcPr>
          <w:p>
            <w:pPr>
              <w:jc w:val="right"/>
              <w:ind w:right="991"/>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r>
      <w:tr>
        <w:trPr>
          <w:trHeight w:val="21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00" w:type="dxa"/>
            <w:vAlign w:val="bottom"/>
          </w:tcPr>
          <w:p>
            <w:pPr>
              <w:spacing w:after="0"/>
              <w:rPr>
                <w:sz w:val="18"/>
                <w:szCs w:val="18"/>
                <w:color w:val="auto"/>
              </w:rPr>
            </w:pPr>
          </w:p>
        </w:tc>
        <w:tc>
          <w:tcPr>
            <w:tcW w:w="20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36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book loss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(62,147)</w:t>
            </w:r>
          </w:p>
        </w:tc>
        <w:tc>
          <w:tcPr>
            <w:tcW w:w="16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(13,049)</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remeasurement of warranty liability</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3,302</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Uncertain tax position</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only adjustment to beginning deferred balances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10,290</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as of December 31, 2025 and 2024 are set forth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68,847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55,739</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5,678</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1,519</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(Section 174)</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17,767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13,423</w:t>
            </w:r>
          </w:p>
        </w:tc>
      </w:tr>
      <w:tr>
        <w:trPr>
          <w:trHeight w:val="230"/>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649</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asset</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102,662</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78,060</w:t>
            </w:r>
          </w:p>
        </w:tc>
      </w:tr>
      <w:tr>
        <w:trPr>
          <w:trHeight w:val="229"/>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(100,506)</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(75,826)</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2,123</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its deferred tax assets are recoverable. In assessing the ultimate realizability of its net deferred tax assets, the Company considers all available evidence, including cumulative losses and expected future losses and, as such, management does not believe it is more likely than not that the deferred tax assets will be realized. Accordingly, a full valuation allowance has been established in the U.S. and the Philippines. The valuation allowance as of December 31, 2025 and 2024 was $100.5 million and $75.8 million, respectively. The increase of</w:t>
      </w:r>
    </w:p>
    <w:p>
      <w:pPr>
        <w:spacing w:after="0" w:line="3"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$24.7 million in the Company’s valuation allowance as of December 31, 2025 compared to December 31, 2024 was due to increases in deferred taxes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U.S. federal and U.S. state net operating loss carryforwards of $256.6 million and $213.8 million, respectively. The U.S. federal and U.S. state net operating loss carryforwards will begin to expire in 2030. As of December 31, 2025, the Company had U.S. federal research and development tax credit carryforwards of $6.8 million and U.S. state research and development tax credit carryforwards of $5.1 million. The U.S. federal research and development tax credit carryforwards will begin to expire in the year 2035 and the U.S. state research and development tax credit carryforwards, all of which are in the state of California, do not expire. As of December 31, 2025, the Company had foreign tax credit carryforwards of $1.1 million available to offset future income taxes payable in India.</w:t>
      </w:r>
    </w:p>
    <w:p>
      <w:pPr>
        <w:spacing w:after="0" w:line="21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its belief that its tax return positions are fully supportable. The Company adjusts these reserves in light of changing facts and circumstances, such as the outcome of tax examinations.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total amounts of unrecognized tax benefits, excluded from the Company’s consolidated balance sheets, as the Company’s ability to realize these potential benefits is restricted: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4,283</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20" w:type="dxa"/>
            <w:vAlign w:val="bottom"/>
          </w:tcPr>
          <w:p>
            <w:pPr>
              <w:spacing w:after="0"/>
              <w:rPr>
                <w:sz w:val="19"/>
                <w:szCs w:val="19"/>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related to prior year</w:t>
            </w:r>
          </w:p>
        </w:tc>
        <w:tc>
          <w:tcPr>
            <w:tcW w:w="5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6,230</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amount of unrecognized tax benefits is not expected to significantly change over the next twelve months. No amounts, outside of the valuation allowance, would impact the Company’s effective tax rate on continuing operations. It is the Company’s policy to include penalties and interest expense related to income taxes as a component of the provision for income taxes, as necessary. Management determined that no accrual for penalties and interest expense related to income taxes was required as of December 31, 2025.</w:t>
      </w:r>
    </w:p>
    <w:p>
      <w:pPr>
        <w:spacing w:after="0" w:line="207"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The Company’s primary tax jurisdictions are the U.S., California, United Kingdom and India. All tax years since inception remain open to examination by the U.S. authority as a result of the net operating losses and credit carryforwards. Foreign and U.S. state jurisdictions have statutes of limitations generally ranging from three to four years. The Company is not currently under income tax examinations in any federal, state, local or foreign jurisdiction.</w:t>
      </w:r>
    </w:p>
    <w:p>
      <w:pPr>
        <w:spacing w:after="0" w:line="18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July 4, 2025, the law formally titled “An Act to Provide for the Reconciliation Pursuant to Title II of H. Con. Res. 14” (commonly referred to as “OBBBA”) was signed into law. Per the OBBBA, 100% bonus depreciation has been reinstated for all fixed assets placed in service after January 19, 2025. As such, 100% depreciation for tax purposes was taken on all current year additions, in the amount of $0.2 million. The OBBBA did not have a material effect on the Company’s effective income tax rates for the year ended December 31, 2025 and is not expected to have a material effect in future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 and Geographic Location of ROU Assets</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operating leases for office facilities, with lease periods expiring between fiscal years 2026 and 2029, some of which include options to extend up to 12 months. Payments under these lease arrangements are primarily fixed, however, certain lease agreements contain variable payments for maintenance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services, utilities, and other expenses, which are expensed as incurred and not included in the operating lease ROU assets and liabilities. The Company does not have any leases that include residual value guarantees.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lease costs reflected in the Company’s consolidated statements of operations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operating leases had a weighted average remaining lease term of 2.3 years and 3.2 years as of December 31, 2025 and 2024, respectively, and a weighted average discount rate related to the Company’s ROU assets and lease liabilities of 10.0% and 9.9% as of December 31,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8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geographic location of the Company’s ROU assets as of December 31, 2025, and 2024:</w:t>
            </w: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880" w:type="dxa"/>
            <w:vAlign w:val="bottom"/>
            <w:gridSpan w:val="4"/>
            <w:vMerge w:val="continue"/>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3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thousands)</w:t>
            </w: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ROU assets</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Details and Geographic Location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property and equipment included on the consolidated balance sheets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geographic location of the Company’s long-lived assets, by major asset category, as of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0"/>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Instruments Existing Prior to the Merger</w:t>
      </w:r>
    </w:p>
    <w:p>
      <w:pPr>
        <w:spacing w:after="0" w:line="25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Upon the consummation of the Merger,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(See Note 11 — “Common Stock, Currently Outstanding Warrants to Purchase Common Stock, and Earnout Shares” for a description of the earnout shares). Additionally, each Legacy Blaize RSU was converted into an RSU of the Company, upon substantially the same terms and conditions as in effect with respect to the corresponding Legacy Blaize RSU, and the right to receive a number of earnout shares. See Note 12 — “Stock Based Compensation” regarding previous options and RSUs issued under the historical 2011 Equity Incentive Plan (“2011 Amended Stock Plan”).</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other outstanding financial instruments were automatically converted into shares of common stock in the Company, as further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Convertible Notes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Legacy Blaize had elected to account for its convertible notes at fair value at each period end pursuant to ASC 825 — “Financial Instruments,” wherein changes in the fair value were recorded at each reporting period in the consolidated statements of operations. As of December 31, 2024, the fair value of the Legacy Blaize Convertible Notes was $148.6 million, and the change in fair value recognized in the Company’s consolidated statements of operations for the year ended December 31, 2024 was a loss of $10.0 million. The convertible notes were remeasured just prior to the date of the Merger, and upon the closing of the Merger, the convertible notes were fully converted into shares of common stock in the Company, with a loss due to the change in fair value upon conversion of $165.7 million recognized in the Company’s consolidated statements of operations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17" w:right="3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Warrants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Legacy Blaize had issued freestanding warrants in connection with certain of its convertible debt agreements and preferred stock issuances which were recorded as liabilities on the consolidated balance sheets at their estimated fair value, calculated using the Black-Scholes option pricing model. As of December 31, 2024, the fair value of the Legacy Blaize warrants was $14.7 million, and the change in fair value recognized in the Company’s consolidated statements of operations for the year ended December 31, 2024 was a loss of $5.7 million. The warrants were remeasured just prior to the date of the Merger and, upon the consummation of the Merger, the warrants were fully converted into shares of common stock in the Company, with a loss due to the change in fair value upon conversion of $60.3 million recognized in the Company’s consolidated statements of operations for the year ended December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Redeemable Convertible Preferred Stock</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the consummation of the Merger, Legacy Blaize had issued and outstanding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together referred to as the “Legacy Blaize Redeemable Convertible Preferred Stock”. The Legacy Blaize Redeemable Convertible Preferred Stock had been classified as mezzanine equity due to the redemption option of the preferred stock shareholders. The Legacy Blaize Redeemable Convertible Preferred Stock was recorded at fair value on the dates of issuance, net of issuance costs. Legacy Blaize adjusted the carrying values of the redeemable convertible preferred stock, subsequent to the initial issuance date, to the redemption value of such shares because it was probable that the convertible preferred stock would become redeemable. Upon the consummation of the Merger, all shares of Legacy Blaize Redeemable Convertible Preferred Stock outstanding were converted into shares of common stock in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the Closing Date of the Merger, the Company and certain subscribers (collectively, the “Subscribers”) entered into subscription agreements under which the Company agreed to issue and sell to the Subscribers, immediately before the Closing Date, collectively, 1,529,500 shares of Class A Stock (the “PIPE Shares”) at a price per share equal to $10.00 per share. Upon the consummation of the Merger, all PIPE Shares that were outstanding were converted into shares of common stock in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Common Stock, Currently Outstanding Warrants to Purchase Common Stock, and Earnout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Company’s common stock outstanding immediately following the consummation of the Merger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00"/>
          </w:cols>
          <w:pgMar w:left="320" w:top="117" w:right="37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prior to the Merger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10,816,995</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Sponsor forfeiture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subject to redemption, outstanding prior to the Merger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4,104,543</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 of Class A common stock</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(937,844)</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Class A Shares in non-redemption escrow</w:t>
            </w: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(2,791,230)</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9,942,464</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PIPE shares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1,529,500</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B common stock, outstanding prior to the Merger</w:t>
            </w:r>
          </w:p>
        </w:tc>
        <w:tc>
          <w:tcPr>
            <w:tcW w:w="20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11,471,969</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Legacy Blaize shares (see table below)</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29"/>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94,949</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0"/>
        </w:trPr>
        <w:tc>
          <w:tcPr>
            <w:tcW w:w="88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8"/>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number of Legacy Blaize shares of common stock immediately prior to the Merger and after the Merger is set forth in the table below:</w:t>
            </w:r>
          </w:p>
        </w:tc>
      </w:tr>
      <w:tr>
        <w:trPr>
          <w:trHeight w:val="483"/>
        </w:trPr>
        <w:tc>
          <w:tcPr>
            <w:tcW w:w="6820" w:type="dxa"/>
            <w:vAlign w:val="bottom"/>
          </w:tcPr>
          <w:p>
            <w:pPr>
              <w:spacing w:after="0"/>
              <w:rPr>
                <w:sz w:val="24"/>
                <w:szCs w:val="24"/>
                <w:color w:val="auto"/>
              </w:rPr>
            </w:pPr>
          </w:p>
        </w:tc>
        <w:tc>
          <w:tcPr>
            <w:tcW w:w="22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Pre-Conversion</w:t>
            </w:r>
          </w:p>
        </w:tc>
        <w:tc>
          <w:tcPr>
            <w:tcW w:w="2160" w:type="dxa"/>
            <w:vAlign w:val="bottom"/>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Post-Conversion</w:t>
            </w:r>
          </w:p>
        </w:tc>
      </w:tr>
      <w:tr>
        <w:trPr>
          <w:trHeight w:val="226"/>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shares of common stock immediately prior to the Merger</w:t>
            </w:r>
          </w:p>
        </w:tc>
        <w:tc>
          <w:tcPr>
            <w:tcW w:w="2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17,518,791</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13,663,527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redeemable convertible preferred stock</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44,506,781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34,712,525</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w:t>
            </w:r>
          </w:p>
        </w:tc>
        <w:tc>
          <w:tcPr>
            <w:tcW w:w="2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40,302,382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31,433,259</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exercise of Legacy Blaize warrants</w:t>
            </w:r>
          </w:p>
        </w:tc>
        <w:tc>
          <w:tcPr>
            <w:tcW w:w="2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9,623,432</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shares of common stock immediately after the Merger</w:t>
            </w:r>
          </w:p>
        </w:tc>
        <w:tc>
          <w:tcPr>
            <w:tcW w:w="2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111,951,386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changes in shares of the Company’s common stock from the Closing Date of the Merger through December 31, 2025: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562,446</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Committed Equity Facility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8,493,674</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in Polar Private Placement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29"/>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Cantor Fitzgerald &amp; Co.</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769,231</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under Committed Equity Facility</w:t>
      </w:r>
    </w:p>
    <w:p>
      <w:pPr>
        <w:spacing w:after="0" w:line="2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On July 14, 2025, the Company entered into the Committed Equity Facility with B. Riley Principal Capital II, LLC (“B. Riley”). Pursuant to the agreement governing the Committed Equity Facility, the Company has the right, but not the obligation, to direct B. Riley to purchase newly issued shares of the Company’s common stock up to an aggregate value of $50.0 million over a defined 36-month period in distinct individual transactions (each, a “Purchase”) subject to certain limitations and conditions set forth in the Committed Equity Facility agreement, as further described below. Without prior stockholder approval, the total aggregate shares of common stock issued to B. Riley under the Committed Equity Facility cannot exceed 20,326,159 shares of common stock, representing 19.99% of the aggregate number of shares issued and outstanding immediately prior to the execution of the Committed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7"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under the Committed Equity Facility are subject to the following conditions:</w:t>
      </w:r>
    </w:p>
    <w:p>
      <w:pPr>
        <w:spacing w:after="0" w:line="252" w:lineRule="exact"/>
        <w:rPr>
          <w:sz w:val="20"/>
          <w:szCs w:val="20"/>
          <w:color w:val="auto"/>
        </w:rPr>
      </w:pPr>
    </w:p>
    <w:p>
      <w:pPr>
        <w:ind w:left="660" w:right="14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of the Company’s common stock on the trading day immediately prior to each Purchase is required to be greater than $1.00 per share.</w:t>
      </w:r>
    </w:p>
    <w:p>
      <w:pPr>
        <w:ind w:left="660" w:right="28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to be issued per Purchase may not exceed 1.0 million shares and is further limited by a calculated percentage, not to exceed 25%, of the total aggregate trading volume during a defined period of time applicable to each Purchase.</w:t>
      </w: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purchase price per share of common stock is defined by the Committed Equity Facility as 97% of the volume-weighted average price (“VWAP”) of the common stock for the defined period applicable to each Purchase, with 3% of the VWAP as commission to B. Riley, excluding specific transactions outlined in the Committed Equity Facility agreement. All such calculations are subject to adjustments for any stock dividend, stock split, stock combination, recapitalization or other similar transactions. The Committed Equity Facility will automatically terminate on the earlier of (i) one day after the 36-month anniversary of the Commencement Date, (ii) the date on which B. Riley shall have purchased the shares of common stock for an aggregate purchase price of $50.0 million or (iii) various other dates associated with events as set forth in the agreement.</w:t>
      </w:r>
    </w:p>
    <w:p>
      <w:pPr>
        <w:spacing w:after="0" w:line="21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inception, the Company evaluated the Committed Equity Facility agreement and determined that it was considered to be a derivative instrument. See Note 5 — “Fair Value Measurements and Derivative Instruments”.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 total of 8,493,674 shares of its common stock to B. Riley under the Committed Equity Facility agreement for net proceeds of $33.2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in Polar Private Placement</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10, 2025, the Company and affiliates of Polar Asset Management Partners Inc. (“Polar”) entered into a Securities Purchase Agreement (the “Polar Private Placement”). Pursuant to the Polar Private Placement, the Company agreed to the direct sale of 9,375,000 shares of the Company’s common stock at a purchase price of $3.20 per share and the issuance of certain warrants to purchase additional shares of the Company’s common stock, as further described below, resulting in aggregate gross proceeds of approximately $30.0 million, before deducting offering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to Cantor Fitzgerald &amp; Co.</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engagement letter with Cantor Fitzgerald &amp; Co. (“Cantor”), which required a non-refundable advisory fee in the form of 769,231 shares of the Company’s common stock. In July 2025, the Company issued the shares of common stock due to the Cantor.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Outstanding Warrants to Purchase 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BZAI warrants</w:t>
      </w:r>
    </w:p>
    <w:p>
      <w:pPr>
        <w:spacing w:after="0" w:line="2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the total of 29,648,250 warrants outstanding immediately prior to the Merger became warrants to purchase the Company’s common stock (the “BZAI warrants”). The Company determined that the BZAI warrants were considered to be freestanding instruments, did not exhibit any of the characteristics in ASC 480 that would require liability classification, were not classified as derivatives or precluded from equity classification under ASC 815, and were therefore classified equity and recognized as an increase in additional paid-in-capital.</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BZAI warrant entitles the holder to purchase one share of common stock at a price of $11.50 per share, subject to adjustments for stock splits, stock dividends, reorganizations, recapitalizations and similar corporate actions. The warrants expire on January 13, 2030, unless earlier redeemed by the Company. If the Company calls the warrants for redemption, management will have the option to require all holders that wish to exercise warrants to do so on a cashless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17" w:right="3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Polar warrants</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10, 2025, the Company issued 9,375,000 freestanding warrants (the “Polar warrants”), each Polar warrant exchangeable for one whole share of the Company’s common stock, in connection with its issuance of common stock to Polar. The Company determined that the Polar warrants were considered to be freestanding instruments, did not exhibit any of the characteristics in ASC 480 that would require liability classification, however, were precluded from equity classification under ASC 815, because these warrants met the definition of a derivative instrument in that they were issued for no initial investment, have the derivative characteristics of an underlying (the value and settlement based on the Company’s common stock), notional (the number of shares deliverable), and mechanism for net settlement (cashless exercise) while at the same time did not qualify for a derivative scope exception of both being indexed to the Company’s own stock and not permitting or requiring net cash settlement in a manner outside the Company’s control. In this case, the Polar warrants permit the counterparty to require net cash settlement in specified circumstances.</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initial recognition, the warrants were recorded at their estimated fair value calculated using the Black-Scholes-Merton (“Black-Scholes”) option pricing model. The liability associated with these warrants is subject to fair value remeasurement at each balance sheet date using the Black-Scholes option pricing model, with changes in fair value recorded as a change in the fair value of warrant liabilities in the consolidated statements of operations. The warrants will continue to be remeasured until the earlier of the exercise during the warrant term or the automatic exercise on a cashless basis at the end of the warrant term of five years, or November 10, 2030.</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Polar warrants are considered long-term liabilities, due to the warrants being out-of-the-money with a $5.00 exercise price, although they are immediately exercisable. At the earlier of the date of the warrants being unexercised but in-the-money, or one year from the date of termination with automatic cashless exercise, the Company will reclassify the liability to a short-term liability until the warrants are exercised, whether by Polar or by means of cashless exercise, at which point they will become reclassified to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to an advisor</w:t>
      </w:r>
    </w:p>
    <w:p>
      <w:pPr>
        <w:spacing w:after="0" w:line="25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connection with the Merger, the Company issued, to an advisor, warrants to purchase 50,000 shares of common stock at $11.50 per share (the “advisor warrants”), which expire after a term of five years, on February 10, 2030. The Company determined that the advisor warrants were considered to be freestanding instruments, did not exhibit any of the characteristics in ASC 480 that would require liability classification, were not classified as derivatives or precluded from equity classification under ASC 815, and were therefore classified equity and recognized as an increase in additional paid-in-capital.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employee equity award holders (including holders of stock options and RSUs) are entitled to receive up to 15,000,000 shares of common stock and Burkhan has the right to receive up to 2,600,000 shares of common stock (collectively, the “Earnout Shares”).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will not be remeasured, unless an employee departs from the Company, as further described below.</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Earnout Shares issued to Burkhan and Legacy Blaize shareholders that are not within the scope of ASC 718 (the “Other Earnout Shares”), were evaluated by management under ASC 480 — “Distinguishing Liabilities from Equity” (“ASC 480”), and ASC 815. The Company determined that the Other Earnout Shares are freestanding contracts and not liability-classified under ASC 480 but represented a structured forward contract pursuant to ASC 815, which resulted in liability classification. Therefore, the Company considers the Other Earnout Shares a derivative liability and will remeasure the Other Earnout Shares at each reporting date, with changes in the fair value recorded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20"/>
          </w:cols>
          <w:pgMar w:left="320" w:top="117" w:right="3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Legacy Blaize shareholders,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Events are driven by whether the Company’s closing share price on 20 trading days out of 30 consecutive trading days equals or exceeds defined per-share thresholds in each tranche as follows:</w:t>
      </w:r>
    </w:p>
    <w:p>
      <w:pPr>
        <w:spacing w:after="0" w:line="207" w:lineRule="exact"/>
        <w:rPr>
          <w:sz w:val="20"/>
          <w:szCs w:val="20"/>
          <w:color w:val="auto"/>
        </w:rPr>
      </w:pPr>
    </w:p>
    <w:p>
      <w:pPr>
        <w:ind w:left="660" w:right="10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$12.50 per share, 3,750,000 Earnout Shares to Legacy Blaize shareholders and Legacy Blaize employee equity award holders and 650,000 Earnout Shares to Burkhan will be issued; and</w:t>
      </w:r>
    </w:p>
    <w:p>
      <w:pPr>
        <w:ind w:left="660" w:right="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$15.00 per share, an additional 3,750,000 Earnout Shares to Legacy Blaize shareholders and Legacy Blaize employee equity award holders and an additional 650,000 Earnout Shares to Burkhan will be issued; and</w:t>
      </w:r>
    </w:p>
    <w:p>
      <w:pPr>
        <w:ind w:left="660" w:right="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$17.50 per share, an additional 3,750,000 Earnout Shares to Legacy Blaize shareholders and Legacy Blaize employee equity award holders and an additional 650,000 Earnout Shares to Burkhan will be issued; and</w:t>
      </w:r>
    </w:p>
    <w:p>
      <w:pPr>
        <w:ind w:left="660" w:right="6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$20.00 per share, an additional 3,750,000 Earnout Shares to Legacy Blaize shareholders and Legacy Blaize employee equity award holders and an additional 650,000 Earnout Shares to Burkhan will be issued.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Earnout Shares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Employee Earnout Shares are required to provide service through the date the target is achieved and if an employee departs, the forfeited Employee Earnout Shares are reallocated to Legacy Blaize shareholders and the remaining pool of equity award holders who received the right to the Earnout Shares on the Merger date. The reallocated shares are considered a forfeiture of the original award and grant of a new award.</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Employee Earnout shares were measured at fair value at the issuance date using a Monte Carlo simulation model and expense is recognized over the derived service period of five years from the Merger date through January 13, 2030. If shares are forfeited and reallocated, as described above, the expense to date for the reallocated shares is reversed, and new expense is calculated for those shares using a Monte Carlo simulation model over the remaining period through January 13, 2030.</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$15.9 million in stock-based compensation expense related to the Employee Earnout Shares. During the year ended December 31, 2025, 212,568 Employee Earnout Shares were forfeited due to employee terminations. As of December 31, 2025, there was $66.7 million of total unrecognized compensation cost related to the Employee Earnout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Other Earnout Shares is described in Note 5 — “Fair Value Measurements and Derivative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set forth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approved, and the Company adopted the 2025 Incentive Award Plan (the “2025 Incentive Plan”), replacing the 2011 Amended Stock Plan. The 2025 Incentive Plan provides for the grant of stock or cash-based awards to employees and consultants of the Company and its subsidiaries and members of the Board of Directors of the Company. Authorized shares of common stock available under the 2025 Incentive Plan at inception was 30,500,000 shares of common stock. As of December 31, 2025, 19,189,633 shares of common stock were reserved for issuance under the 2025 Incentive Plan.</w:t>
      </w:r>
    </w:p>
    <w:p>
      <w:pPr>
        <w:spacing w:after="0" w:line="21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Following the effectiveness of the 2025 Incentive Plan, the Company ceased making grants under the 2011 Amended Stock Plan and all remaining unissued shares were retired. However, the 2011 Amended Stock Plan continues to govern the terms and conditions of the outstanding awards granted under it. Awards granted under the 2011 Amended Stock Plan that have subsequently been forfeited are cancelled and are no longer available for issuance.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grants of stock compensation awards on a straight-line basis over the requisite service period of the award’s vesting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set forth in the following table: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(Value in thousands, life in years)</w:t>
            </w: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90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12,820,261</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16,635,601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(1,039,737)</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1,618,456</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(562,446)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(670,367)</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as of December 31, 2025</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17,279,846</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17,848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accelerated the vesting associated with 388,988 outstanding options resulting in $1.1 million of incremental stock-based compensation expense.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$14.2 million of total unrecognized compensation cost related to unvested stock options, which is expected to be recognized over a weighted average period of 1.6 years.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2025 and 2024 was $1.0 million and immaterial, respectively. The intrinsic value is the difference between the estimated fair value of the Company’s common stock at the date of exercise and the exercise price for in-the-money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grant date fair value of the stock options granted was $1.93 and $0.88 per share, respectively. The fair value of the options issued was determined using the Black-Scholes option pricing model, using the following inputs: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34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share)</w:t>
            </w: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c>
          <w:tcPr>
            <w:tcW w:w="140" w:type="dxa"/>
            <w:vAlign w:val="bottom"/>
            <w:shd w:val="clear" w:color="auto" w:fill="CCEEFF"/>
          </w:tcPr>
          <w:p>
            <w:pPr>
              <w:spacing w:after="0"/>
              <w:rPr>
                <w:sz w:val="19"/>
                <w:szCs w:val="19"/>
                <w:color w:val="auto"/>
              </w:rPr>
            </w:pP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years</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years</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6.2 years</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252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stock options that vested during the years ended December 31, 2025 and 2024 was $9.5 million and $2.8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4"/>
        </w:trPr>
        <w:tc>
          <w:tcPr>
            <w:tcW w:w="6360" w:type="dxa"/>
            <w:vAlign w:val="bottom"/>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3,834,443</w:t>
            </w:r>
          </w:p>
        </w:tc>
        <w:tc>
          <w:tcPr>
            <w:tcW w:w="1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10,164,477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(473,696)</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grant date fair value of RSUs granted under the 2011 Amended Stock Plan was determined by the Board of Directors at each grant date. Immediately prior to the consummation of the Merger, the RSUs existing at that time, which had been granted under the 2011 Amended Stock Plan, had both a service-based condition and a liquidity event condition. The liquidity event condition was satisfied on the consummation of the Merger, and on the date of the Merger, the Company recognized $3.9 million in stock-based compensation expense associated with the vesting of the outstanding RSUs.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$20.6 million of total unrecognized compensation cost related to unvested RSUs, which is expected to be recognized over a weighted average period of 2.5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of the Employee Earnout Shares are subject to ASC 718. See Note 11 — “Common Stock, Currently Outstanding Warrants to Purchase Common Stock, and Earnout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January 2025, the Board of Directors adopted the 2025 Employee Stock Purchase Plan (the “2025 ESPP”) in order to enable eligible employees to purchase shares of common stock with accumulated payroll deductions. As of December 31, 2025, 3,047,669 shares of common stock were reserved for issuance pursuant to the 2025 ESPP, and no shares of stock had been purchased by employees as the Company had not commenced the 2025 ESPP.</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17" w:right="33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 of Common Stock</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the Merger,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that was outstanding prior to the Merger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redeemable convertible preferred stock.</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After the Merger,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years ended December 31, 2025 and 2024, as the effect of any potentially dilutive security is anti-dilutive due to the net losses in those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dilutive net loss per share: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share and per share amounts)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104,275,265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17,476,105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00" w:type="dxa"/>
            <w:vAlign w:val="bottom"/>
            <w:tcBorders>
              <w:bottom w:val="single" w:sz="8" w:color="auto"/>
            </w:tcBorders>
          </w:tcPr>
          <w:p>
            <w:pPr>
              <w:spacing w:after="0"/>
              <w:rPr>
                <w:sz w:val="18"/>
                <w:szCs w:val="18"/>
                <w:color w:val="auto"/>
              </w:rPr>
            </w:pPr>
          </w:p>
        </w:tc>
      </w:tr>
      <w:tr>
        <w:trPr>
          <w:trHeight w:val="213"/>
        </w:trPr>
        <w:tc>
          <w:tcPr>
            <w:tcW w:w="63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51"/>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b w:val="1"/>
                <w:bCs w:val="1"/>
                <w:color w:val="auto"/>
                <w:vertAlign w:val="superscript"/>
              </w:rPr>
              <w:t>(1)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12,736,621</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3,743,578</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issued to an advisor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BZAI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29,648,250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redeemable convertible preferred stock</w:t>
            </w:r>
          </w:p>
        </w:tc>
        <w:tc>
          <w:tcPr>
            <w:tcW w:w="18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34,702,999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1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4,695,604</w:t>
            </w:r>
          </w:p>
        </w:tc>
      </w:tr>
      <w:tr>
        <w:trPr>
          <w:trHeight w:val="24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94,779,027</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55,878,802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8"/>
        <w:spacing w:after="0" w:line="242" w:lineRule="auto"/>
        <w:tabs>
          <w:tab w:leader="none" w:pos="181"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the date of the Merger, the Legacy Blaize redeemable convertible preferred stock and Legacy Blaize warrants were converted into common stock of the Company. Upon the consummation of the Merger, each outstanding stock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 Certain Legacy Blaize RSUs were converted to shares of the Company’s common stock on the date of the Merger, as these RSUs included a liquidity condition which was satisfied upon the event of the Merger.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evaluation of ongoing operating performance from period to period (“Adjusted EBITDA”), to make decisions regarding the Company’s strategy, including the allocation of resources, as well as the Company’s assessment of operating performance.</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the Company operates as a single operating segment, the measures of total available cash and cash equivalents, total revenue and net loss, as reviewed by the CODM, are set forth on the consolidated financial statements, as well as in certain notes to the consolidated financial statements. See Note 5 — “Fair Value Measurements and Derivative Instruments” for details regarding the Company’s cash equivalents. See Note 4 — “Revenue and Accounts Receivable” for details regarding the Company’s total revenue disaggregated by customer geographical location and the major customer concentrations of the Company’s total revenue and accounts receivable balances.</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Similarly, as the Company operates in a single segment, the consolidated statements of operations provide one view of the Company’s significant expenses. Additional to the consolidated statements of operations, the CODM regularly reviews the significant expense categories in the calculation of net loss, set forth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costs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(31,981)</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costs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30"/>
        </w:trPr>
        <w:tc>
          <w:tcPr>
            <w:tcW w:w="63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8"/>
        <w:spacing w:after="0" w:line="242" w:lineRule="auto"/>
        <w:tabs>
          <w:tab w:leader="none" w:pos="181"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items” includes marketing expenses, professional fees, facilities costs, foreign exchange gains and losses, credit loss estimates, income taxes, and other overhead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reconciliation of net loss to EBITDA and Adjusted EBITDA: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68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firstLine="8"/>
        <w:spacing w:after="0" w:line="404" w:lineRule="auto"/>
        <w:tabs>
          <w:tab w:leader="none" w:pos="165"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spacing w:after="0" w:line="10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the Company operates as a single operating segment and the CODM reviews the assets on a consolidated basis. As such, no asset reconciliation adjustments are required. See Note 8 — “Leases and Geographic Location of ROU Assets” and Note 9 — “Property and Equipment Details and Geographic Location” for details regarding the geographic location of the Company’s long-lived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Sponsor and its affiliates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Partner Referral Agreement</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 of the Sponsor.</w:t>
      </w:r>
    </w:p>
    <w:p>
      <w:pPr>
        <w:spacing w:after="0" w:line="18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the Sales Partner. Under the agreement, BST will purchase, subject to the issuance of purchase orders, up to $56.5 million of the Company’s products on behalf of a certain unaffiliated end user. The Sales Partner will receive a commission from the Company of up to 10%, depending on the Company’s gross margins under the purchase order. The sales commission is payable in cash, or, partially, at the Company’s discretion, in shares of the Company’s common stock. The commission is payable to BST once the Company receives cash from these sales.</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$3.0 million in revenue from the Referral Agreement, inclusive of sales commissions of $0.3 million, which was reported as a reduction of revenue.</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recorded $3.4 million, gross, in accounts receivable - related party due from BST in relation to these sales. The sales commission payable of $0.3 million was recorded as “accrued expenses - related party” on the Company’s consolidated balance sheet as of December 31, 2025. Subsequent to December 31, 2025, BST paid the Company in full, and the Company released the sales commission payable, electing full cash payment for the sales commission.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17" w:right="339" w:bottom="1440" w:gutter="0" w:footer="0" w:header="0"/>
          <w:type w:val="continuous"/>
        </w:sectPr>
      </w:pPr>
    </w:p>
    <w:bookmarkStart w:id="96" w:name="page97"/>
    <w:bookmarkEnd w:id="9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 - related party</w:t>
      </w:r>
    </w:p>
    <w:p>
      <w:pPr>
        <w:spacing w:after="0" w:line="2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 portion of the “other earnout shares” were issued to an affiliate of the Sponsor at the time of the Merger. See Note 11 — “Common Stock, Currently Outstanding Warrants to Purchase Common Stock, and Earnout Shares”. The fair value of these other earnout shares as of December 31, 2025 was $2.2 million as set forth on the Company’s consolidated balance sheets as of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loan - related party</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issued an unsecured promissory note to the Sponsor, pursuant to which it borrowed $1.5 million for general corporate purposes. On the date of the Merger, this loan was recorded on the Company’s consolidated balance sheet, and was outstanding as of December 31, 2025.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from related party</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provided the Company with certain working capital advances, which are non-interest bearing and payable on demand, in the amount of $2.9 million. These amounts are reflected on the consolidated balance sheet as of December 31, 2025 as “advances from related party”.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party</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owed management fees in the amount of $0.2 million to the Sponsor. These amounts are reflected on the consolidated balance sheets as of December 31, 2025 as “accounts payable - related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December 31, 2025, the outstanding principal of the shareholder note receivable was $8.6 million, the amount of which has been deducted from additional paid-in capital on the Company’s consolidated balance sheet as of that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31, 2024 and through January 13, 2025, the Company, its Sponsor, and Legacy Blaize entered into non-redemption agreements with several unaffiliated stockholders (each, an “Investor”) who agreed not to redeem (or, alternately, to validly rescind any redemption requests on) their shares of common stock (“Non-Redeemed Shares”) through up to 180 days after the Closing Date. These Non-Redeemed Shares were exchanged for shares of the Company’s common stock and were held in a separate escrow account. In exchange for the foregoing commitments not to redeem the Non-Redeemed Shares, the Sponsor agreed to guarantee that each Investor receive a return of $1.50 per Non-Redeemed Share held in a related cash escrow account, subject to certain conditions. The Sponsor, and not the Company, was contractually obligated for the $1.50 per share premium related to these non-redemption agreements. Accordingly, the Company did not recognize a non-redemption liability for the Sponsor’s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117" w:right="4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other related parties for advisory and marketing services, and a related party employed by the Company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2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other related parties:</w:t>
            </w:r>
          </w:p>
        </w:tc>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0"/>
        </w:trPr>
        <w:tc>
          <w:tcPr>
            <w:tcW w:w="68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Advisory services </w:t>
            </w:r>
            <w:r>
              <w:rPr>
                <w:rFonts w:ascii="Times New Roman" w:cs="Times New Roman" w:eastAsia="Times New Roman" w:hAnsi="Times New Roman"/>
                <w:sz w:val="23"/>
                <w:szCs w:val="23"/>
                <w:color w:val="auto"/>
                <w:vertAlign w:val="superscript"/>
              </w:rPr>
              <w:t>(1)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Marketing services </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68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Cash compensation paid to related party employee </w:t>
            </w:r>
            <w:r>
              <w:rPr>
                <w:rFonts w:ascii="Times New Roman" w:cs="Times New Roman" w:eastAsia="Times New Roman" w:hAnsi="Times New Roman"/>
                <w:sz w:val="23"/>
                <w:szCs w:val="23"/>
                <w:color w:val="auto"/>
                <w:vertAlign w:val="superscript"/>
              </w:rPr>
              <w:t>(3)</w:t>
            </w: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to other related parties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5"/>
        </w:trPr>
        <w:tc>
          <w:tcPr>
            <w:tcW w:w="6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in “prepaid expenses and other current assets - related parties” on the Company’s</w:t>
            </w:r>
          </w:p>
        </w:tc>
        <w:tc>
          <w:tcPr>
            <w:tcW w:w="4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in “selling, general and administrative - related party” on the Company’s</w:t>
            </w: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12"/>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consolidated statements of operations </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bl>
    <w:p>
      <w:pPr>
        <w:spacing w:after="0" w:line="232"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Advisory fees were incurred with a family member of a key employee of the Company.</w:t>
      </w:r>
    </w:p>
    <w:p>
      <w:pPr>
        <w:spacing w:after="0" w:line="1" w:lineRule="exact"/>
        <w:rPr>
          <w:rFonts w:ascii="Times New Roman" w:cs="Times New Roman" w:eastAsia="Times New Roman" w:hAnsi="Times New Roman"/>
          <w:sz w:val="22"/>
          <w:szCs w:val="22"/>
          <w:color w:val="auto"/>
          <w:vertAlign w:val="superscript"/>
        </w:rPr>
      </w:pPr>
    </w:p>
    <w:p>
      <w:pPr>
        <w:ind w:right="80" w:firstLine="8"/>
        <w:spacing w:after="0" w:line="230" w:lineRule="auto"/>
        <w:tabs>
          <w:tab w:leader="none" w:pos="181"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Marketing expenses were incurred with a company owned by a direct family member of a minority stockholder and member of the Company’s Board of Directors.</w:t>
      </w:r>
    </w:p>
    <w:p>
      <w:pPr>
        <w:ind w:right="220" w:firstLine="8"/>
        <w:spacing w:after="0" w:line="242" w:lineRule="auto"/>
        <w:tabs>
          <w:tab w:leader="none" w:pos="181"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 relative of one of the Company’s named executive officers is employed by the Company, with a total compensation of $0.2 million and $0.1 million during the years ended December 31, 2025 and 2024, respectively. Total compensation as presented in “included in selling, general and administrative - related party” includes an immaterial expense for RSUs, with the fair value of the RSUs as determined on the date of grant.</w:t>
      </w:r>
    </w:p>
    <w:p>
      <w:pPr>
        <w:spacing w:after="0" w:line="22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of strategic consulting services to two minority stockholders.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repaid a demand note due to a minority stockholder and member of the Company’s Board of Directors in the amount of $4.8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Employees — 401(k) Plan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401(k) plan is provided to employees in the United States that covers substantially all employees meeting certain age and service requirements. The Company makes discretionary matching contributions to the 401(k) plan, with the exception that “highly compensated employees” as defined by U.S. Internal Revenue Service regulations do not receive a matching contribution. Employees who receive matching contributions are immediately fully vested in the employer matching contribution. The Company recorded $0.4 million and $0.2 million in matching contributions for the years ended December 31, 2025 and 2024,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 Employees — Defined Contribution Pension Plan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voluntary defined contribution pension plan is provided to employees in the United Kingdom that covers substantially all employees meeting certain age, income, and service requirements. The Company makes matching contributions to the pension plan in the amount of up to 8% of employees’ annual salary. Employees are immediately fully vested in the employer matching contribution. The Company recorded $0.3 million and $0.3 million in matching contributions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17" w:right="3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India Employees — Long-term Employee Benefits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long-term defined benefit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this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2025 and 2024, respectively, the related net liability of $1.0 million and $1.1 million is included within “accrued expenses and other current liabilities” on the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Purchase commitments outstanding for manufactured inventories as of December 31, 2025 were not material, and manufactured inventory components purchased during the year ended December 31, 2025 under purchase commitments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Merger involving Legacy Blaize (the “Jefferies Engagement Letter”), pursuant to which Jefferies would be eligible for a fee of $4.5 million contingent upon the closing of the Merger and for reimbursement of expenses up to $0.5 million.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as successor to BurTech, in the Supreme Court of the State of New York, County of New York, asserting that, pursuant to the Jefferies Engagement Letter, it is entitled to payment of the amounts described above, along with pre- and post-judgment interest and legal costs and seeking summary judgment in lieu of complaint. On September 4, 2025, the court denied Jefferies’s motion for summary judgment, and on September 19, 2025, Jefferies filed a complaint.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2025, Jefferies and the Company settled the matter, and no amounts were outstanding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00"/>
          </w:cols>
          <w:pgMar w:left="320" w:top="117"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(principal executive officer) and Chief Financial Officer (principal financial officer), has evaluated the effectiveness of the Company’s disclosure controls and procedures (as such term is defined in Rules 13a-15(e) and 15d-15(e) under the Exchange Act) as of December 31, 2025, the end of the period covered by this Annual Report on Form 10-K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the period covered by this Annual Report on Form 10-K,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25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for the Company. Internal control over financial reporting is defined in Rules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10"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27" w:lineRule="exact"/>
        <w:rPr>
          <w:rFonts w:ascii="Times New Roman" w:cs="Times New Roman" w:eastAsia="Times New Roman" w:hAnsi="Times New Roman"/>
          <w:sz w:val="18"/>
          <w:szCs w:val="18"/>
          <w:color w:val="auto"/>
        </w:rPr>
      </w:pPr>
    </w:p>
    <w:p>
      <w:pPr>
        <w:ind w:right="100" w:firstLine="8"/>
        <w:spacing w:after="0" w:line="250" w:lineRule="auto"/>
        <w:tabs>
          <w:tab w:leader="none" w:pos="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ind w:right="140" w:firstLine="8"/>
        <w:spacing w:after="0" w:line="260" w:lineRule="auto"/>
        <w:tabs>
          <w:tab w:leader="none" w:pos="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2025. In making this assessment, the Company’s management used criteria set forth by the Committee of Sponsoring Organizations of the Treadway Commission (COSO) in Internal Control-Integrated Framework (2013).</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its assessment, the Company’s management believes that, as of December 31, 2025, the Company’s internal control over financial reporting was effective based on those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OF THE INDEPENDENT REGISTERED PUBLIC ACCOUNTING FIRM</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our non-accelerated filer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reports information regarding the adoption of “Rule 10b5-1 trading arrangements” or “non-Rule 10b5-1 trading arrangements,” each as defined in Item 408(a) of Regulation S-K, during the three months ended December 31, 2025 for the Company’s directors and “officers,” as defined in Rule 16a-1(f) under the Exchange Act. There were no modifications or terminations of such trading arrangements during the three months ended December 31, 2025.</w:t>
      </w:r>
    </w:p>
    <w:p>
      <w:pPr>
        <w:spacing w:after="0" w:line="207" w:lineRule="exact"/>
        <w:rPr>
          <w:sz w:val="20"/>
          <w:szCs w:val="20"/>
          <w:color w:val="auto"/>
        </w:rPr>
      </w:pPr>
    </w:p>
    <w:p>
      <w:pPr>
        <w:ind w:left="660" w:right="80" w:hanging="328"/>
        <w:spacing w:after="0" w:line="255"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Mr. Anthony Cannestra, a director of Blaize Holdings, Inc. (the “Company”), adopted a Rule 10b5-1 trading arrangement in accordance with guidelines specified by Rule 10b5-1 under the Securities Exchange Act of 1934, and the Company’s policies regarding transactions in its securities by insiders (a “Rule 10b5-1 Plan”). Mr. Cannestra’s Rule 10b5-1 Plan will commence on April 6, 2026. Such plan provides for the potential sale of up to (i) 75,258 shares of the Company’s common stock issued to him upon the vesting of an equal number of previously granted restricted stock units and (ii) 200,000 shares of the Company’s common stock underlying vested stock options to be exercised and sold pursuant to the plan. The plan will terminate automatically on December 31, 2026, and any shares remaining unsold as of that date will not be sold pursuant to the plan.</w:t>
      </w:r>
    </w:p>
    <w:p>
      <w:pPr>
        <w:spacing w:after="0" w:line="215"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Mr. Dinakar Munagala, the Chief Executive Officer of the Company, adopted a Rule 10b5-1 Plan. Mr. Munagala’s Rule 10b5-1 Plan will commence on April 6, 2026. Such plan provides for the potential sale of up to (i) 125,000 shares of the Company’s common stock issued to him previously and (ii) 807,325 shares of the Company’s common stock underlying vested stock options to be exercised and sold pursuant to the plan. The plan will terminate automatically on March 15, 2027, and any shares remaining unsold as of that date will not be sold pursuant to the plan.</w:t>
      </w:r>
    </w:p>
    <w:p>
      <w:pPr>
        <w:spacing w:after="0" w:line="21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Mr. Harminder Sehmi, the Chief Financial Officer of the Company, adopted a Rule 10b5-1 Plan. Mr. Sehmi’s Rule 10b5-1 Plan will commence on April 19, 2026. Such plan provides for the potential sale of up to 505,060 shares of the Company’s common stock underlying vested stock options to be exercised and sold pursuant to the plan. The plan will terminate automatically on December 31, 2026, and any shares remaining unsold as of that date will not be sold pursuant to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13" w:right="339" w:bottom="1440" w:gutter="0" w:footer="0" w:header="0"/>
        </w:sectPr>
      </w:pPr>
    </w:p>
    <w:bookmarkStart w:id="101" w:name="page102"/>
    <w:bookmarkEnd w:id="10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60"/>
          </w:cols>
          <w:pgMar w:left="320" w:top="1413" w:right="4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60"/>
          </w:cols>
          <w:pgMar w:left="320" w:top="1413" w:right="419" w:bottom="1440" w:gutter="0" w:footer="0" w:header="0"/>
        </w:sectPr>
      </w:pPr>
    </w:p>
    <w:bookmarkStart w:id="103" w:name="page104"/>
    <w:bookmarkEnd w:id="10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Annual Report on Form 10-K: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Index to financial statements and supplementary data filed as part of this Annual Report on Form 10-K.</w:t>
      </w:r>
    </w:p>
    <w:p>
      <w:pPr>
        <w:spacing w:after="0" w:line="25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5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the required information is included in Part II, Item 8 of this Annual Report on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 Exhibits: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0"/>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7"/>
          </w:tcPr>
          <w:p>
            <w:pPr>
              <w:spacing w:after="0" w:line="182"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Agreement and Plan of Merger Agreement, dated as of December 22, 2023, by and among BurTech Acquisition Corp., BurTech Merger</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Sub Inc., Blaize, Inc. and Burkhan Capital LLC (for the limited purposes set forth therein) (incorporated by reference to Exhibit 2.1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the Company’s Registration Statement on Form S-4 filed July 19, 2024)</w:t>
              </w:r>
            </w:hyperlink>
          </w:p>
        </w:tc>
        <w:tc>
          <w:tcPr>
            <w:tcW w:w="44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Amendment to Agreement and Plan of Merger Agreement, dated as of April 22, 2024, by and among BurTech Acquisition Corp.,</w:t>
              </w:r>
            </w:hyperlink>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27"/>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BurTech Merger Sub Inc., Blaize, Inc. and Burkhan Capital LLC (for the limited purposes set forth therein) (incorporated by reference</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to Exhibit 2.2 to the Company’s Registration Statement on Form S-4 filed July 19, 2024)</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Amendment No. 2 to Agreement and Plan of Merger, dated as of October 24, 2024, by and among BurTech Acquisition Corp., BurTech</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Merger Sub Inc., Blaize, Inc. and Burkhan Capital LLC (for the limited purposes set forth therein) (incorporated by reference to Exhibit</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gridSpan w:val="24"/>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Company’s Registration Statement on Form S-4 filed October 30,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Amendment No. 3 to Agreement and Plan of Merger, dated as of November 21, 2024, by and among BurTech Acquisition Corp.,</w:t>
              </w:r>
            </w:hyperlink>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27"/>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BurTech Merger Sub Inc., Blaize, Inc. and Burkhan Capital LLC (for the limited purposes set forth therein) (incorporated by reference</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to Exhibit 2.4 to the Company’s Registration Statement on Form S-4 filed November 26, 2024)</w:t>
              </w:r>
            </w:hyperlink>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Third Amended and Restated Certificate of Incorporation of Blaize Holdings, Inc. (incorporated by reference to Exhibit 3.1 to the</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Company’s Current Report on Form 8-K filed January 17, 2025)</w:t>
              </w:r>
            </w:hyperlink>
          </w:p>
        </w:tc>
        <w:tc>
          <w:tcPr>
            <w:tcW w:w="468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Bylaws of Blaize Holdings, Inc. (incorporated by reference to Exhibit 3.2 to the Company’s Current Report on</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Form 8-K filed January 17, 2025)</w:t>
              </w:r>
            </w:hyperlink>
          </w:p>
        </w:tc>
        <w:tc>
          <w:tcPr>
            <w:tcW w:w="7260" w:type="dxa"/>
            <w:vAlign w:val="bottom"/>
            <w:tcBorders>
              <w:top w:val="single" w:sz="8" w:color="0000FF"/>
            </w:tcBorders>
            <w:gridSpan w:val="16"/>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71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Description of Securities Registered Pursuant to Section 12 of the Securities Exchange Act of 1934</w:t>
              </w:r>
            </w:hyperlink>
          </w:p>
        </w:tc>
        <w:tc>
          <w:tcPr>
            <w:tcW w:w="2700" w:type="dxa"/>
            <w:vAlign w:val="bottom"/>
            <w:gridSpan w:val="16"/>
          </w:tcPr>
          <w:p>
            <w:pPr>
              <w:spacing w:after="0"/>
              <w:rPr>
                <w:sz w:val="19"/>
                <w:szCs w:val="19"/>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Warrant Agreement, dated as of December 10, 2021, by and between BurTech Acquisition Corp. and Continental Stock Transfer &amp;</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Trust Company, as warrant agent (incorporated by reference to Exhibit 4.1 to the Company’s Current Report on Form 8-K filed</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December 16, 2021)</w:t>
              </w:r>
            </w:hyperlink>
          </w:p>
        </w:tc>
        <w:tc>
          <w:tcPr>
            <w:tcW w:w="3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Specimen Common Stock Certificate (incorporated by reference to Exhibit 4.2 to the Company’s Registration Statement on Form S-1/A</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filed November 19, 2021)</w:t>
              </w:r>
            </w:hyperlink>
          </w:p>
        </w:tc>
        <w:tc>
          <w:tcPr>
            <w:tcW w:w="79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Specimen Warrant Certificate (incorporated by reference to Exhibit 4.3 to the Company’s Registration Statement on Form S-1/A filed</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November 19, 2021)</w:t>
              </w:r>
            </w:hyperlink>
          </w:p>
        </w:tc>
        <w:tc>
          <w:tcPr>
            <w:tcW w:w="220" w:type="dxa"/>
            <w:vAlign w:val="bottom"/>
            <w:gridSpan w:val="8"/>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Warrant (incorporated by reference to Exhibit 10.5 to the Company’s Quarterly Report on Form 10-Q filed on November 13,</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69">
              <w:r>
                <w:rPr>
                  <w:rFonts w:ascii="Times New Roman" w:cs="Times New Roman" w:eastAsia="Times New Roman" w:hAnsi="Times New Roman"/>
                  <w:sz w:val="18"/>
                  <w:szCs w:val="18"/>
                  <w:color w:val="0000FF"/>
                  <w:w w:val="90"/>
                </w:rPr>
                <w:t>2025)</w:t>
              </w:r>
            </w:hyperlink>
          </w:p>
        </w:tc>
        <w:tc>
          <w:tcPr>
            <w:tcW w:w="1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Registration Rights Agreement, dated as of January 13, 2025, by and among the Company and certain stockholders of Legacy Blaize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named therein (incorporated by reference to Exhibit 10.11 to the Company’s Current Report on Form 8-K filed on January 17, 2025)</w:t>
              </w:r>
            </w:hyperlink>
          </w:p>
        </w:tc>
        <w:tc>
          <w:tcPr>
            <w:tcW w:w="20" w:type="dxa"/>
            <w:vAlign w:val="bottom"/>
            <w:tcBorders>
              <w:top w:val="single" w:sz="8" w:color="0000FF"/>
            </w:tcBorders>
          </w:tcPr>
          <w:p>
            <w:pPr>
              <w:spacing w:after="0"/>
              <w:rPr>
                <w:sz w:val="13"/>
                <w:szCs w:val="13"/>
                <w:color w:val="auto"/>
              </w:rPr>
            </w:pPr>
          </w:p>
        </w:tc>
        <w:tc>
          <w:tcPr>
            <w:tcW w:w="280" w:type="dxa"/>
            <w:vAlign w:val="bottom"/>
            <w:gridSpan w:val="10"/>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13" w:right="339" w:bottom="1440" w:gutter="0" w:footer="0" w:header="0"/>
        </w:sectPr>
      </w:pPr>
    </w:p>
    <w:bookmarkStart w:id="104" w:name="page105"/>
    <w:bookmarkEnd w:id="10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gridSpan w:val="3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37"/>
          </w:tcPr>
          <w:p>
            <w:pPr>
              <w:spacing w:after="0" w:line="18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Amended and Restated Registration Rights Agreement, dated as of January 13, 2025, by and among the Company, certain stockholders</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of BurTech named therein and certain stockholders of Legacy Blaize named therein (incorporated by reference to Exhibit 10.1 to the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Company’s Current Report on Form 8-K filed on January 17,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Form of Indenture (incorporated by reference to Exhibit 4.3 to the Company’s Registration Statement on Form S-3 filed on January 27,</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72">
              <w:r>
                <w:rPr>
                  <w:rFonts w:ascii="Times New Roman" w:cs="Times New Roman" w:eastAsia="Times New Roman" w:hAnsi="Times New Roman"/>
                  <w:sz w:val="18"/>
                  <w:szCs w:val="18"/>
                  <w:color w:val="0000FF"/>
                  <w:w w:val="90"/>
                </w:rPr>
                <w:t>2026)</w:t>
              </w:r>
            </w:hyperlink>
          </w:p>
        </w:tc>
        <w:tc>
          <w:tcPr>
            <w:tcW w:w="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Letter Agreement, dated December 10, 2021, by and among the Company, its officers and directors, the Sponsor and certain other</w:t>
              </w:r>
            </w:hyperlink>
          </w:p>
        </w:tc>
        <w:tc>
          <w:tcPr>
            <w:tcW w:w="500" w:type="dxa"/>
            <w:vAlign w:val="bottom"/>
            <w:gridSpan w:val="17"/>
          </w:tcPr>
          <w:p>
            <w:pPr>
              <w:spacing w:after="0"/>
              <w:rPr>
                <w:sz w:val="19"/>
                <w:szCs w:val="19"/>
                <w:color w:val="auto"/>
              </w:rPr>
            </w:pPr>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7"/>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stockholders party thereto (incorporated by reference to Exhibit 10.2 to the Company’s Current Report on Form 8-K filed on December</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73">
              <w:r>
                <w:rPr>
                  <w:rFonts w:ascii="Times New Roman" w:cs="Times New Roman" w:eastAsia="Times New Roman" w:hAnsi="Times New Roman"/>
                  <w:sz w:val="18"/>
                  <w:szCs w:val="18"/>
                  <w:color w:val="0000FF"/>
                  <w:w w:val="95"/>
                </w:rPr>
                <w:t>16, 2021)</w:t>
              </w:r>
            </w:hyperlink>
          </w:p>
        </w:tc>
        <w:tc>
          <w:tcPr>
            <w:tcW w:w="6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Form of Indemnification Agreement (incorporated by reference to Exhibit 10.3 to the Company’s Current Report on Form 8-K filed on</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Blaize, Inc. Amended and Restated 2011 Stock Plan (incorporated by reference to Exhibit 10.4 to the Company’s Current Report on</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8-K filed on 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Form of Stock Option Grant Agreement (Installment Exercise) and Grant Notice under the Blaize, Inc. Amended and Restated 2011</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Stock Plan (incorporated by reference to Exhibit 10.7 to the Company’s Current Report on Form 8-K filed on January 17,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Form of Stock Option Grant Agreement (Contingent Exercise) and Grant Notice under the Blaize, Inc. Amended and Restated 2011</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Stock Plan (incorporated by reference to Exhibit 10.22 to the Company’s Current Report on Form 8-K filed on January 17, 2025)</w:t>
              </w:r>
            </w:hyperlink>
          </w:p>
        </w:tc>
        <w:tc>
          <w:tcPr>
            <w:tcW w:w="20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of Restricted Stock Unit Grant Agreement and Grant Notice under the Blaize, Inc. Amended and Restated 2011 Stock Plan</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(incorporated by reference to Exhibit 10.8 to the Company’s Current Report on Form 8-K filed on January 17, 2025)</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Blaize Holdings, Inc. 2025 Incentive Award Plan (incorporated by reference to Exhibit 10.5 to the Company’s Current Report on Form</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8-K filed on January 17,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Form of Global Restricted Stock Unit Grant Notice and Global Restricted Stock Unit Agreement under the Blaize Holdings, Inc. 2025</w:t>
              </w:r>
            </w:hyperlink>
          </w:p>
        </w:tc>
        <w:tc>
          <w:tcPr>
            <w:tcW w:w="180" w:type="dxa"/>
            <w:vAlign w:val="bottom"/>
            <w:gridSpan w:val="6"/>
          </w:tcPr>
          <w:p>
            <w:pPr>
              <w:spacing w:after="0"/>
              <w:rPr>
                <w:sz w:val="19"/>
                <w:szCs w:val="19"/>
                <w:color w:val="auto"/>
              </w:rPr>
            </w:pPr>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7"/>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Incentive Award Plan (incorporated by reference to Exhibit 99.3 to the Company’s registration Statement on Form S-8 filed on May 12,</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0"/>
              </w:rPr>
            </w:pPr>
            <w:hyperlink r:id="rId80">
              <w:r>
                <w:rPr>
                  <w:rFonts w:ascii="Times New Roman" w:cs="Times New Roman" w:eastAsia="Times New Roman" w:hAnsi="Times New Roman"/>
                  <w:sz w:val="18"/>
                  <w:szCs w:val="18"/>
                  <w:color w:val="0000FF"/>
                  <w:w w:val="90"/>
                </w:rPr>
                <w:t>2025)</w:t>
              </w:r>
            </w:hyperlink>
          </w:p>
        </w:tc>
        <w:tc>
          <w:tcPr>
            <w:tcW w:w="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Blaize Holdings, Inc. Form of Stock Option Agreement under the Blaize Holdings, Inc. 2025 Incentive Award Plan (incorporated by</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reference to Exhibit 10.1 to the Company’s Current Report on Form 8-K filed on September 2,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Blaize Holdings, Inc. 2025 Employee Stock Purchase Plan (incorporated by reference to Exhibit 10.6 to the Company’s Current Report</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on Form 8-K filed on January 17, 2025)</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Amended and Restated Blaize Holdings, Inc. Non-Employee Director Compensation Program (incorporated by reference to Exhibit</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w:t>
              </w:r>
              <w:r>
                <w:rPr>
                  <w:rFonts w:ascii="Times New Roman" w:cs="Times New Roman" w:eastAsia="Times New Roman" w:hAnsi="Times New Roman"/>
                  <w:sz w:val="18"/>
                  <w:szCs w:val="18"/>
                  <w:color w:val="0000FF"/>
                  <w:w w:val="99"/>
                </w:rPr>
                <w:t xml:space="preserve"> to the Company’s Quarterly Report on Form 10-Q filed on May 14, 2025)</w:t>
              </w:r>
            </w:hyperlink>
          </w:p>
        </w:tc>
        <w:tc>
          <w:tcPr>
            <w:tcW w:w="3800" w:type="dxa"/>
            <w:vAlign w:val="bottom"/>
            <w:tcBorders>
              <w:top w:val="single" w:sz="8" w:color="0000FF"/>
            </w:tcBorders>
            <w:gridSpan w:val="11"/>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Blaize Holdings, Inc. Change in Control and Severance Agreement (incorporated by reference to Exhibit 10.1 to the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Company’s Current Report on Form 8-K filed on January 5, 2026)</w:t>
              </w:r>
            </w:hyperlink>
          </w:p>
        </w:tc>
        <w:tc>
          <w:tcPr>
            <w:tcW w:w="4200" w:type="dxa"/>
            <w:vAlign w:val="bottom"/>
            <w:tcBorders>
              <w:top w:val="single" w:sz="8" w:color="0000FF"/>
            </w:tcBorders>
            <w:gridSpan w:val="7"/>
          </w:tcPr>
          <w:p>
            <w:pPr>
              <w:spacing w:after="0"/>
              <w:rPr>
                <w:sz w:val="13"/>
                <w:szCs w:val="13"/>
                <w:color w:val="auto"/>
              </w:rPr>
            </w:pPr>
          </w:p>
        </w:tc>
        <w:tc>
          <w:tcPr>
            <w:tcW w:w="34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Offer Letter, dated as of June 18, 2018, by and between ThinCI, Inc. and Dinakar Munagala (incorporated by reference to Exhibit 10.16</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to the Company’s Current Report on Form 8-K filed on January 17, 2025)</w:t>
              </w:r>
            </w:hyperlink>
          </w:p>
        </w:tc>
        <w:tc>
          <w:tcPr>
            <w:tcW w:w="4460" w:type="dxa"/>
            <w:vAlign w:val="bottom"/>
            <w:tcBorders>
              <w:top w:val="single" w:sz="8" w:color="0000FF"/>
            </w:tcBorders>
            <w:gridSpan w:val="26"/>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Offer Letter, dated as of June 20, 2018, by and between ThinCI, Inc. and Val Cook (incorporated by reference to Exhibit 10.17 to the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Company’s Current Report on Form 8-K filed on 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Offer Letter, dated as of November 15, 2018, by and between ThinCI, Inc. and Dmitry Zakharchenko (incorporated by reference to</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Exhibit 10.18 to the Company’s Current Report on Form 8-K filed on January 17, 2025)</w:t>
              </w:r>
            </w:hyperlink>
          </w:p>
        </w:tc>
        <w:tc>
          <w:tcPr>
            <w:tcW w:w="3080" w:type="dxa"/>
            <w:vAlign w:val="bottom"/>
            <w:tcBorders>
              <w:top w:val="single" w:sz="8" w:color="0000FF"/>
            </w:tcBorders>
            <w:gridSpan w:val="9"/>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Amendment to Offer Letter, dated as of February 22, 2022, by and between ThinCI, Inc. and Dmitry Zakharchenko (incorporated by</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reference to Exhibit 10.19 to the Company’s Current Report on Form 8-K filed on January 17, 2025)</w:t>
              </w:r>
            </w:hyperlink>
          </w:p>
        </w:tc>
        <w:tc>
          <w:tcPr>
            <w:tcW w:w="23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Offer Letter, dated as of July 4, 2018, by and between ThinCI, Inc. and Santiago Fernandez-Gomez. (incorporated by reference to</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Exhibit 10.20 to the Company’s Current Report on Form 8-K filed on January 17, 2025)</w:t>
              </w:r>
            </w:hyperlink>
          </w:p>
        </w:tc>
        <w:tc>
          <w:tcPr>
            <w:tcW w:w="2980" w:type="dxa"/>
            <w:vAlign w:val="bottom"/>
            <w:tcBorders>
              <w:top w:val="single" w:sz="8" w:color="0000FF"/>
            </w:tcBorders>
            <w:gridSpan w:val="7"/>
          </w:tcPr>
          <w:p>
            <w:pPr>
              <w:spacing w:after="0"/>
              <w:rPr>
                <w:sz w:val="13"/>
                <w:szCs w:val="13"/>
                <w:color w:val="auto"/>
              </w:rPr>
            </w:pPr>
          </w:p>
        </w:tc>
        <w:tc>
          <w:tcPr>
            <w:tcW w:w="3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Non-Redemption Agreement (incorporated by reference to Exhibit 10.1 to the Company’s Current Report on Form 8-K filed</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December 31, 2024)</w:t>
              </w:r>
            </w:hyperlink>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8200" w:type="dxa"/>
            <w:vAlign w:val="bottom"/>
            <w:gridSpan w:val="2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PIPE Subscription Agreement (incorporated by reference to Exhibit 10.1 to the Company’s Current Report on Form 8-K filed</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on January 8, 2025)</w:t>
              </w:r>
            </w:hyperlink>
          </w:p>
        </w:tc>
        <w:tc>
          <w:tcPr>
            <w:tcW w:w="8200" w:type="dxa"/>
            <w:vAlign w:val="bottom"/>
            <w:tcBorders>
              <w:top w:val="single" w:sz="8" w:color="0000FF"/>
            </w:tcBorders>
            <w:gridSpan w:val="27"/>
          </w:tcPr>
          <w:p>
            <w:pPr>
              <w:spacing w:after="0"/>
              <w:rPr>
                <w:sz w:val="13"/>
                <w:szCs w:val="13"/>
                <w:color w:val="auto"/>
              </w:rPr>
            </w:pPr>
          </w:p>
        </w:tc>
        <w:tc>
          <w:tcPr>
            <w:tcW w:w="180" w:type="dxa"/>
            <w:vAlign w:val="bottom"/>
            <w:gridSpan w:val="6"/>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gridSpan w:val="3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10.20</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4"/>
          </w:tcPr>
          <w:p>
            <w:pPr>
              <w:spacing w:after="0" w:line="18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Letter Agreement, dated as of January 13, 2025, by and among BurTech, Merger Sub, Blaize and Burkhan BurTech LP LLC and Blaize</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(incorporated by reference to Exhibit 10.15 to the Company’s Current Report on Form 8-K filed on January 17, 2025)</w:t>
              </w:r>
            </w:hyperlink>
          </w:p>
        </w:tc>
        <w:tc>
          <w:tcPr>
            <w:tcW w:w="13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Registration Rights Agreement, dated as of November 10, 2025, by and among the Company, Polar Long/Short Master Fund and Polar</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Multi-Strategy Master Fund (incorporated by reference to Exhibit 10.6 to the Company’s Quarterly Report on Form 10-Q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November 13, 2025)</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Registration Rights Agreement, dated July 14, 2025, by and between the Company and B. Riley Principal Capital II, LLC (incorporated</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by reference to Exhibit 10.2 to the Company’s Current Report on Form 8-K filed on July 15, 2025)</w:t>
              </w:r>
            </w:hyperlink>
          </w:p>
        </w:tc>
        <w:tc>
          <w:tcPr>
            <w:tcW w:w="27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Secured Promissory Note and Pledge Agreement, dated as of January 13, 2025, by and among BurTech LP LLC and BurTech</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(incorporated by reference to Exhibit 10.14 to the Company’s Current Report on Form 8-K filed on January 17, 2025)</w:t>
              </w:r>
            </w:hyperlink>
          </w:p>
        </w:tc>
        <w:tc>
          <w:tcPr>
            <w:tcW w:w="56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Common Stock Purchase Agreement, dated July 14, 2025, by and between the Company and B. Riley Principal Capital II, LLC</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(incorporated by reference to Exhibit 10.1 to the Company’s Current Report on Form 8-K filed on July 15, 2025)</w:t>
              </w:r>
            </w:hyperlink>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Securities Purchase Agreement, dated as of November 10, 2025, by and among the Company, Polar Long/Short Master Fund and Polar</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Multi-Strategy Master Fund (incorporated by reference to Exhibit 10.4 to the Company’s Quarterly Report on Form 10-Q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November 13, 2025)</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Stockholder Lock-Up Agreement, dated as of January 13, 2025, by and among the Company and certain stockholders of Legacy Blaize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named therein (incorporated by reference to Exhibit 10.12 to the Company’s Current Report on Form 8-K filed on January 17,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4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Noteholder Lock-Up Agreement, dated as of January 13, 2025, by and among the Company and certain securityholders of Legacy</w:t>
              </w:r>
            </w:hyperlink>
          </w:p>
        </w:tc>
        <w:tc>
          <w:tcPr>
            <w:tcW w:w="380" w:type="dxa"/>
            <w:vAlign w:val="bottom"/>
            <w:gridSpan w:val="13"/>
          </w:tcPr>
          <w:p>
            <w:pPr>
              <w:spacing w:after="0"/>
              <w:rPr>
                <w:sz w:val="19"/>
                <w:szCs w:val="19"/>
                <w:color w:val="auto"/>
              </w:rPr>
            </w:pPr>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Blaize named therein (incorporated by reference to Exhibit 10.13 to the Company’s Current Report on Form 8-K filed on January</w:t>
              </w:r>
            </w:hyperlink>
          </w:p>
        </w:tc>
        <w:tc>
          <w:tcPr>
            <w:tcW w:w="340" w:type="dxa"/>
            <w:vAlign w:val="bottom"/>
            <w:gridSpan w:val="6"/>
          </w:tcPr>
          <w:p>
            <w:pPr>
              <w:jc w:val="right"/>
              <w:ind w:right="120"/>
              <w:spacing w:after="0" w:line="156" w:lineRule="exact"/>
              <w:rPr>
                <w:rFonts w:ascii="Times New Roman" w:cs="Times New Roman" w:eastAsia="Times New Roman" w:hAnsi="Times New Roman"/>
                <w:sz w:val="18"/>
                <w:szCs w:val="18"/>
                <w:color w:val="0000FF"/>
                <w:w w:val="88"/>
              </w:rPr>
            </w:pPr>
            <w:hyperlink r:id="rId99">
              <w:r>
                <w:rPr>
                  <w:rFonts w:ascii="Times New Roman" w:cs="Times New Roman" w:eastAsia="Times New Roman" w:hAnsi="Times New Roman"/>
                  <w:sz w:val="18"/>
                  <w:szCs w:val="18"/>
                  <w:color w:val="0000FF"/>
                  <w:w w:val="88"/>
                </w:rPr>
                <w:t>17,</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2025)</w:t>
              </w:r>
            </w:hyperlink>
          </w:p>
        </w:tc>
        <w:tc>
          <w:tcPr>
            <w:tcW w:w="3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Sales Partner Referral Agreement, dated as of June 30, 2025, by and between the Company and Burkhan LLC (incorporated by</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reference to Exhibit 10.1 to the Company’s Current Report on Form 8-K filed on June 30, 2025)</w:t>
              </w:r>
            </w:hyperlink>
          </w:p>
        </w:tc>
        <w:tc>
          <w:tcPr>
            <w:tcW w:w="2240" w:type="dxa"/>
            <w:vAlign w:val="bottom"/>
            <w:tcBorders>
              <w:top w:val="single" w:sz="8" w:color="0000FF"/>
            </w:tcBorders>
            <w:gridSpan w:val="6"/>
          </w:tcPr>
          <w:p>
            <w:pPr>
              <w:spacing w:after="0"/>
              <w:rPr>
                <w:sz w:val="13"/>
                <w:szCs w:val="13"/>
                <w:color w:val="auto"/>
              </w:rPr>
            </w:pPr>
          </w:p>
        </w:tc>
        <w:tc>
          <w:tcPr>
            <w:tcW w:w="2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Code of Business Ethics and Conduct of Blaize Holdings, Inc. (incorporated by reference to Exhibit 14.1 to the Company’s Annual</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Report on Form 10-K filed on March 24, 2026)</w:t>
              </w:r>
            </w:hyperlink>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Blaize Holdings Inc. Insider Trading Policy (incorporated by reference to Exhibit 19.1 to the Company’s Annual Report on Form 10-K</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filed on March 24, 2026)</w:t>
              </w:r>
            </w:hyperlink>
          </w:p>
        </w:tc>
        <w:tc>
          <w:tcPr>
            <w:tcW w:w="792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List of Subsidiaries of Blaize Holdings, Inc. (incorporated by reference to Exhibit 21.1 to the Company’s Annual Report on Form 10-K</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filed on March 24, 2026)</w:t>
              </w:r>
            </w:hyperlink>
          </w:p>
        </w:tc>
        <w:tc>
          <w:tcPr>
            <w:tcW w:w="798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Consent of UHY LLP, Independent Registered Public Accounting Firm (incorporated by reference to Exhibit 23.1 to the Company’s</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Annual Report on Form 10-K filed on March 24, 2026)</w:t>
              </w:r>
            </w:hyperlink>
          </w:p>
        </w:tc>
        <w:tc>
          <w:tcPr>
            <w:tcW w:w="5540" w:type="dxa"/>
            <w:vAlign w:val="bottom"/>
            <w:tcBorders>
              <w:top w:val="single" w:sz="8" w:color="0000FF"/>
            </w:tcBorders>
            <w:gridSpan w:val="15"/>
          </w:tcPr>
          <w:p>
            <w:pPr>
              <w:spacing w:after="0"/>
              <w:rPr>
                <w:sz w:val="13"/>
                <w:szCs w:val="13"/>
                <w:color w:val="auto"/>
              </w:rPr>
            </w:pPr>
          </w:p>
        </w:tc>
        <w:tc>
          <w:tcPr>
            <w:tcW w:w="18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Chief Executive Officer Certifications pursuant to Section 302 of the Sarbanes Oxley Act of 2002 (incorporated by reference to Exhibit</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Annual Report on Form 10-K filed on March 24, 2026)</w:t>
              </w:r>
            </w:hyperlink>
          </w:p>
        </w:tc>
        <w:tc>
          <w:tcPr>
            <w:tcW w:w="41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Chief Financial Officer Certifications pursuant to Section 302 of the Sarbanes Oxley Act of 2002 (incorporated by reference to Exhibit</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Annual Report on Form 10-K filed on March 24, 2026)</w:t>
              </w:r>
            </w:hyperlink>
          </w:p>
        </w:tc>
        <w:tc>
          <w:tcPr>
            <w:tcW w:w="4040" w:type="dxa"/>
            <w:vAlign w:val="bottom"/>
            <w:tcBorders>
              <w:top w:val="single" w:sz="8" w:color="0000FF"/>
            </w:tcBorders>
            <w:gridSpan w:val="16"/>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Chief Executive Officer Certification pursuant to 18 U.S.C. Section 1350, as adopted pursuant to Section 906 of the Sarbanes Oxley Act</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of 2002 (incorporated by reference to Exhibit 32.1 to the Company’s Annual Report on Form 10-K filed on March 24, 2026)</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6"/>
            <w:shd w:val="clear" w:color="auto" w:fill="0000FF"/>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Chief Financial Officer Certification pursuant to 18 U.S.C. Section 1350, as adopted pursuant to Section 906 of the Sarbanes Oxley Act</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of 2002 (incorporated by reference to Exhibit 32.2 to the Company’s Annual Report on Form 10-K filed on March 24, 2026)</w:t>
              </w:r>
            </w:hyperlink>
          </w:p>
        </w:tc>
        <w:tc>
          <w:tcPr>
            <w:tcW w:w="60" w:type="dxa"/>
            <w:vAlign w:val="bottom"/>
            <w:gridSpan w:val="3"/>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6"/>
            <w:shd w:val="clear" w:color="auto" w:fill="0000FF"/>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Blaize Holdings. Inc. Policy for Recovery of Erroneously Awarded Compensation (incorporated by reference to Exhibit 97.1 to the</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Company’s Annual Report on Form 10-K filed on March 24, 2026)</w:t>
              </w:r>
            </w:hyperlink>
          </w:p>
        </w:tc>
        <w:tc>
          <w:tcPr>
            <w:tcW w:w="500" w:type="dxa"/>
            <w:vAlign w:val="bottom"/>
            <w:gridSpan w:val="16"/>
          </w:tcPr>
          <w:p>
            <w:pPr>
              <w:spacing w:after="0"/>
              <w:rPr>
                <w:sz w:val="13"/>
                <w:szCs w:val="13"/>
                <w:color w:val="auto"/>
              </w:rPr>
            </w:pPr>
          </w:p>
        </w:tc>
      </w:tr>
      <w:tr>
        <w:trPr>
          <w:trHeight w:val="25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5080" w:type="dxa"/>
            <w:vAlign w:val="bottom"/>
            <w:gridSpan w:val="28"/>
          </w:tcPr>
          <w:p>
            <w:pPr>
              <w:spacing w:after="0"/>
              <w:rPr>
                <w:sz w:val="22"/>
                <w:szCs w:val="22"/>
                <w:color w:val="auto"/>
              </w:rPr>
            </w:pPr>
          </w:p>
        </w:tc>
      </w:tr>
      <w:tr>
        <w:trPr>
          <w:trHeight w:val="23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23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Labels Linkbase Document</w:t>
            </w:r>
          </w:p>
        </w:tc>
      </w:tr>
      <w:tr>
        <w:trPr>
          <w:trHeight w:val="23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8"/>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18"/>
                <w:szCs w:val="18"/>
                <w:color w:val="auto"/>
              </w:rPr>
            </w:pPr>
          </w:p>
        </w:tc>
        <w:tc>
          <w:tcPr>
            <w:tcW w:w="9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180"/>
        </w:trPr>
        <w:tc>
          <w:tcPr>
            <w:tcW w:w="1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98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its XBRL tags are embedded within the</w:t>
            </w: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3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in Inline XBRL and contained in Exhibit 101)</w:t>
            </w:r>
          </w:p>
        </w:tc>
      </w:tr>
    </w:tbl>
    <w:p>
      <w:pPr>
        <w:spacing w:after="0" w:line="117" w:lineRule="exact"/>
        <w:rPr>
          <w:sz w:val="20"/>
          <w:szCs w:val="20"/>
          <w:color w:val="auto"/>
        </w:rPr>
      </w:pPr>
    </w:p>
    <w:p>
      <w:pPr>
        <w:ind w:left="20" w:right="1760"/>
        <w:spacing w:after="0" w:line="237"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Code of Business Ethics and Conduct of Blaize Holdings, Inc. (incorporated by reference to Exhibit 14.1 to the Company’s Annual</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Report on Form 10-K filed on March 24, 2026)</w:t>
        </w:r>
      </w:hyperlink>
    </w:p>
    <w:p>
      <w:pPr>
        <w:spacing w:after="0" w:line="10" w:lineRule="exact"/>
        <w:rPr>
          <w:sz w:val="20"/>
          <w:szCs w:val="20"/>
          <w:color w:val="auto"/>
        </w:rPr>
      </w:pPr>
    </w:p>
    <w:p>
      <w:pPr>
        <w:ind w:left="20" w:right="1500"/>
        <w:spacing w:after="0" w:line="237"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Blaize Holdings Inc. Insider Trading Policy (incorporated by reference to Exhibit 19.1 to the Company’s Annual Report on Form 10-K</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filed on March 24, 2026)</w:t>
        </w:r>
      </w:hyperlink>
    </w:p>
    <w:p>
      <w:pPr>
        <w:spacing w:after="0" w:line="10" w:lineRule="exact"/>
        <w:rPr>
          <w:sz w:val="20"/>
          <w:szCs w:val="20"/>
          <w:color w:val="auto"/>
        </w:rPr>
      </w:pPr>
    </w:p>
    <w:p>
      <w:pPr>
        <w:ind w:left="20" w:right="1480"/>
        <w:spacing w:after="0" w:line="237"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List of Subsidiaries of Blaize Holdings, Inc. (incorporated by reference to Exhibit 21.1 to the Company’s Annual Report on Form 10-K</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filed on March 24, 2026)</w:t>
        </w:r>
      </w:hyperlink>
    </w:p>
    <w:p>
      <w:pPr>
        <w:spacing w:after="0" w:line="10" w:lineRule="exact"/>
        <w:rPr>
          <w:sz w:val="20"/>
          <w:szCs w:val="20"/>
          <w:color w:val="auto"/>
        </w:rPr>
      </w:pPr>
    </w:p>
    <w:p>
      <w:pPr>
        <w:ind w:left="20" w:right="1680"/>
        <w:spacing w:after="0" w:line="237"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Consent of UHY LLP, Independent Registered Public Accounting Firm (incorporated by reference to Exhibit 23.1 to the Company’s</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Annual Report on Form 10-K filed on March 24, 2026)</w:t>
        </w:r>
      </w:hyperlink>
    </w:p>
    <w:p>
      <w:pPr>
        <w:spacing w:after="0" w:line="10" w:lineRule="exact"/>
        <w:rPr>
          <w:sz w:val="20"/>
          <w:szCs w:val="20"/>
          <w:color w:val="auto"/>
        </w:rPr>
      </w:pPr>
    </w:p>
    <w:p>
      <w:pPr>
        <w:ind w:left="20" w:right="1460"/>
        <w:spacing w:after="0" w:line="237"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Chief Executive Officer Certifications pursuant to Section 302 of the Sarbanes Oxley Act of 2002 (incorporated by reference to Exhibit</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31.1 to the Company’s Annual Report on Form 10-K filed on March 24, 2026)</w:t>
        </w:r>
      </w:hyperlink>
    </w:p>
    <w:p>
      <w:pPr>
        <w:spacing w:after="0" w:line="10" w:lineRule="exact"/>
        <w:rPr>
          <w:sz w:val="20"/>
          <w:szCs w:val="20"/>
          <w:color w:val="auto"/>
        </w:rPr>
      </w:pPr>
    </w:p>
    <w:p>
      <w:pPr>
        <w:ind w:left="20" w:right="1500"/>
        <w:spacing w:after="0" w:line="237"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Chief Financial Officer Certifications pursuant to Section 302 of the Sarbanes Oxley Act of 2002 (incorporated by reference to Exhibit</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31.2 to the Company’s Annual Report on Form 10-K filed on March 24, 2026)</w:t>
        </w:r>
      </w:hyperlink>
    </w:p>
    <w:p>
      <w:pPr>
        <w:spacing w:after="0" w:line="10" w:lineRule="exact"/>
        <w:rPr>
          <w:sz w:val="20"/>
          <w:szCs w:val="20"/>
          <w:color w:val="auto"/>
        </w:rPr>
      </w:pPr>
    </w:p>
    <w:p>
      <w:pPr>
        <w:ind w:left="20" w:right="1700"/>
        <w:spacing w:after="0" w:line="256" w:lineRule="auto"/>
        <w:rPr>
          <w:rFonts w:ascii="Times New Roman" w:cs="Times New Roman" w:eastAsia="Times New Roman" w:hAnsi="Times New Roman"/>
          <w:sz w:val="17"/>
          <w:szCs w:val="17"/>
          <w:u w:val="single" w:color="auto"/>
          <w:color w:val="0000FF"/>
        </w:rPr>
      </w:pPr>
      <w:hyperlink r:id="rId107">
        <w:r>
          <w:rPr>
            <w:rFonts w:ascii="Times New Roman" w:cs="Times New Roman" w:eastAsia="Times New Roman" w:hAnsi="Times New Roman"/>
            <w:sz w:val="17"/>
            <w:szCs w:val="17"/>
            <w:u w:val="single" w:color="auto"/>
            <w:color w:val="0000FF"/>
          </w:rPr>
          <w:t>Chief Executive Officer Certification pursuant to 18 U.S.C. Section 1350, as adopted pursuant to Section 906 of the Sarbanes Oxley</w:t>
        </w:r>
      </w:hyperlink>
      <w:r>
        <w:rPr>
          <w:rFonts w:ascii="Times New Roman" w:cs="Times New Roman" w:eastAsia="Times New Roman" w:hAnsi="Times New Roman"/>
          <w:sz w:val="17"/>
          <w:szCs w:val="17"/>
          <w:u w:val="single" w:color="auto"/>
          <w:color w:val="0000FF"/>
        </w:rPr>
        <w:t xml:space="preserve"> </w:t>
      </w:r>
      <w:hyperlink r:id="rId107">
        <w:r>
          <w:rPr>
            <w:rFonts w:ascii="Times New Roman" w:cs="Times New Roman" w:eastAsia="Times New Roman" w:hAnsi="Times New Roman"/>
            <w:sz w:val="17"/>
            <w:szCs w:val="17"/>
            <w:u w:val="single" w:color="auto"/>
            <w:color w:val="0000FF"/>
          </w:rPr>
          <w:t>Act of 2002 (incorporated by reference to Exhibit 32.1 to the Company’s Annual Report on Form 10-K filed on March 24, 2026)</w:t>
        </w:r>
      </w:hyperlink>
    </w:p>
    <w:p>
      <w:pPr>
        <w:spacing w:after="0" w:line="1" w:lineRule="exact"/>
        <w:rPr>
          <w:sz w:val="20"/>
          <w:szCs w:val="20"/>
          <w:color w:val="auto"/>
        </w:rPr>
      </w:pPr>
    </w:p>
    <w:p>
      <w:pPr>
        <w:ind w:left="20" w:right="1440"/>
        <w:spacing w:after="0" w:line="237"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Chief Financial Officer Certification pursuant to 18 U.S.C. Section 1350, as adopted pursuant to Section 906 of the Sarbanes Oxley Act</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of 2002 (incorporated by reference to Exhibit 32.2 to the Company’s Annual Report on Form 10-K filed on March 24, 2026)</w:t>
        </w:r>
      </w:hyperlink>
    </w:p>
    <w:p>
      <w:pPr>
        <w:spacing w:after="0" w:line="10" w:lineRule="exact"/>
        <w:rPr>
          <w:sz w:val="20"/>
          <w:szCs w:val="20"/>
          <w:color w:val="auto"/>
        </w:rPr>
      </w:pPr>
    </w:p>
    <w:p>
      <w:pPr>
        <w:ind w:left="20" w:right="1780"/>
        <w:spacing w:after="0" w:line="237"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Blaize Holdings. Inc. Policy for Recovery of Erroneously Awarded Compensation (incorporated by reference to Exhibit 97.1 to the</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Company’s Annual Report on Form 10-K filed on March 24, 2026)</w:t>
        </w:r>
      </w:hyperlink>
    </w:p>
    <w:p>
      <w:pPr>
        <w:spacing w:after="0" w:line="32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right="300" w:firstLine="8"/>
        <w:spacing w:after="0" w:line="250"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This document has been identified as a management contract or compensatory plan or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Dinakar Munagala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Dinakar Munagala</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in the capacities and on the dates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 w:type="dxa"/>
            <w:vAlign w:val="bottom"/>
          </w:tcPr>
          <w:p>
            <w:pPr>
              <w:spacing w:after="0"/>
              <w:rPr>
                <w:sz w:val="20"/>
                <w:szCs w:val="20"/>
                <w:color w:val="auto"/>
              </w:rPr>
            </w:pPr>
          </w:p>
        </w:tc>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3340" w:type="dxa"/>
            <w:vAlign w:val="bottom"/>
            <w:gridSpan w:val="3"/>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3400" w:type="dxa"/>
            <w:vAlign w:val="bottom"/>
            <w:gridSpan w:val="6"/>
          </w:tcPr>
          <w:p>
            <w:pPr>
              <w:spacing w:after="0"/>
              <w:rPr>
                <w:sz w:val="21"/>
                <w:szCs w:val="21"/>
                <w:color w:val="auto"/>
              </w:rPr>
            </w:pPr>
          </w:p>
        </w:tc>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59"/>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Lane M. Bess</w:t>
            </w:r>
          </w:p>
        </w:tc>
        <w:tc>
          <w:tcPr>
            <w:tcW w:w="3680" w:type="dxa"/>
            <w:vAlign w:val="bottom"/>
            <w:gridSpan w:val="8"/>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Lane M. Bess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6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/s/ Anthony Cannestra</w:t>
            </w:r>
          </w:p>
        </w:tc>
        <w:tc>
          <w:tcPr>
            <w:tcW w:w="3280" w:type="dxa"/>
            <w:vAlign w:val="bottom"/>
            <w:gridSpan w:val="2"/>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Anthony Cannestra</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Edward Frank</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3660" w:type="dxa"/>
            <w:vAlign w:val="bottom"/>
            <w:gridSpan w:val="7"/>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Yoshiaki Fujimori</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3380" w:type="dxa"/>
            <w:vAlign w:val="bottom"/>
            <w:gridSpan w:val="5"/>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Juergen Hambrecht</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6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3280" w:type="dxa"/>
            <w:vAlign w:val="bottom"/>
            <w:gridSpan w:val="2"/>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 George de Urioste</w:t>
            </w:r>
          </w:p>
        </w:tc>
        <w:tc>
          <w:tcPr>
            <w:tcW w:w="3360" w:type="dxa"/>
            <w:vAlign w:val="bottom"/>
            <w:gridSpan w:val="4"/>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lowerRoman"/>
      <w:start w:val="4"/>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lowerRoman"/>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hyperlink" Target="https://www.sec.gov/ix?doc=/Archives/edgar/data/1871638/000110465924080933/brkh-20240331xs4.htm" TargetMode="External"/><Relationship Id="rId61" Type="http://schemas.openxmlformats.org/officeDocument/2006/relationships/hyperlink" Target="https://www.sec.gov/Archives/edgar/data/1871638/000110465924112666/tm2418197-13_s4a.htm" TargetMode="External"/><Relationship Id="rId62" Type="http://schemas.openxmlformats.org/officeDocument/2006/relationships/hyperlink" Target="https://www.sec.gov/Archives/edgar/data/1871638/000110465924123191/tm2418197-24_s4a.htm" TargetMode="External"/><Relationship Id="rId63" Type="http://schemas.openxmlformats.org/officeDocument/2006/relationships/hyperlink" Target="https://www.sec.gov/Archives/edgar/data/1871638/000119312525008517/d903961dex31.htm" TargetMode="External"/><Relationship Id="rId64" Type="http://schemas.openxmlformats.org/officeDocument/2006/relationships/hyperlink" Target="https://www.sec.gov/Archives/edgar/data/1871638/000119312525008517/d903961dex32.htm" TargetMode="External"/><Relationship Id="rId65" Type="http://schemas.openxmlformats.org/officeDocument/2006/relationships/hyperlink" Target="https://www.sec.gov/Archives/edgar/data/1871638/000187163826000011/a2025-q410xkex41xdescripti.htm" TargetMode="External"/><Relationship Id="rId66" Type="http://schemas.openxmlformats.org/officeDocument/2006/relationships/hyperlink" Target="https://www.sec.gov/Archives/edgar/data/1871638/000110465921150569/tm2135631d1_ex4-1.htm" TargetMode="External"/><Relationship Id="rId67" Type="http://schemas.openxmlformats.org/officeDocument/2006/relationships/hyperlink" Target="https://www.sec.gov/Archives/edgar/data/1871638/000110465921141949/tm2124406d5_ex4-2.htm" TargetMode="External"/><Relationship Id="rId68" Type="http://schemas.openxmlformats.org/officeDocument/2006/relationships/hyperlink" Target="https://www.sec.gov/Archives/edgar/data/1871638/000110465921141949/tm2124406d5_ex4-3.htm" TargetMode="External"/><Relationship Id="rId69" Type="http://schemas.openxmlformats.org/officeDocument/2006/relationships/hyperlink" Target="https://www.sec.gov/Archives/edgar/data/1871638/000119312525280252/bzai-ex10_5.htm" TargetMode="External"/><Relationship Id="rId70" Type="http://schemas.openxmlformats.org/officeDocument/2006/relationships/hyperlink" Target="https://www.sec.gov/Archives/edgar/data/1871638/000119312525008517/d903961dex1011.htm" TargetMode="External"/><Relationship Id="rId71" Type="http://schemas.openxmlformats.org/officeDocument/2006/relationships/hyperlink" Target="https://www.sec.gov/Archives/edgar/data/1871638/000119312525008517/d903961dex101.htm" TargetMode="External"/><Relationship Id="rId72" Type="http://schemas.openxmlformats.org/officeDocument/2006/relationships/hyperlink" Target="https://www.sec.gov/Archives/edgar/data/1871638/000162828026003620/exhibit43-sx3.htm" TargetMode="External"/><Relationship Id="rId73" Type="http://schemas.openxmlformats.org/officeDocument/2006/relationships/hyperlink" Target="https://www.sec.gov/Archives/edgar/data/1871638/000110465921150569/tm2135631d1_ex10-2.htm" TargetMode="External"/><Relationship Id="rId74" Type="http://schemas.openxmlformats.org/officeDocument/2006/relationships/hyperlink" Target="https://www.sec.gov/Archives/edgar/data/1871638/000119312525008517/d903961dex103.htm" TargetMode="External"/><Relationship Id="rId75" Type="http://schemas.openxmlformats.org/officeDocument/2006/relationships/hyperlink" Target="https://www.sec.gov/Archives/edgar/data/1871638/000119312525008517/d903961dex104.htm" TargetMode="External"/><Relationship Id="rId76" Type="http://schemas.openxmlformats.org/officeDocument/2006/relationships/hyperlink" Target="https://www.sec.gov/Archives/edgar/data/1871638/000119312525008517/d903961dex107.htm" TargetMode="External"/><Relationship Id="rId77" Type="http://schemas.openxmlformats.org/officeDocument/2006/relationships/hyperlink" Target="https://www.sec.gov/Archives/edgar/data/1871638/000119312525008517/d903961dex1022.htm" TargetMode="External"/><Relationship Id="rId78" Type="http://schemas.openxmlformats.org/officeDocument/2006/relationships/hyperlink" Target="https://www.sec.gov/Archives/edgar/data/1871638/000119312525008517/d903961dex108.htm" TargetMode="External"/><Relationship Id="rId79" Type="http://schemas.openxmlformats.org/officeDocument/2006/relationships/hyperlink" Target="https://www.sec.gov/Archives/edgar/data/1871638/000119312525008517/d903961dex105.htm" TargetMode="External"/><Relationship Id="rId80" Type="http://schemas.openxmlformats.org/officeDocument/2006/relationships/hyperlink" Target="https://www.sec.gov/Archives/edgar/data/1871638/000119312525118038/d893593dex993.htm" TargetMode="External"/><Relationship Id="rId81" Type="http://schemas.openxmlformats.org/officeDocument/2006/relationships/hyperlink" Target="https://www.sec.gov/Archives/edgar/data/1871638/000119312525194046/d99229dex101.htm" TargetMode="External"/><Relationship Id="rId82" Type="http://schemas.openxmlformats.org/officeDocument/2006/relationships/hyperlink" Target="https://www.sec.gov/Archives/edgar/data/1871638/000119312525008517/d903961dex106.htm" TargetMode="External"/><Relationship Id="rId83" Type="http://schemas.openxmlformats.org/officeDocument/2006/relationships/hyperlink" Target="https://www.sec.gov/Archives/edgar/data/1871638/000095017025071593/bzai-ex10_7.htm" TargetMode="External"/><Relationship Id="rId84" Type="http://schemas.openxmlformats.org/officeDocument/2006/relationships/hyperlink" Target="https://www.sec.gov/Archives/edgar/data/1871638/000187163826000001/ex101-blaizeformofchangein.htm" TargetMode="External"/><Relationship Id="rId85" Type="http://schemas.openxmlformats.org/officeDocument/2006/relationships/hyperlink" Target="https://www.sec.gov/Archives/edgar/data/1871638/000119312525008517/d903961dex1016.htm" TargetMode="External"/><Relationship Id="rId86" Type="http://schemas.openxmlformats.org/officeDocument/2006/relationships/hyperlink" Target="https://www.sec.gov/Archives/edgar/data/1871638/000119312525008517/d903961dex1017.htm" TargetMode="External"/><Relationship Id="rId87" Type="http://schemas.openxmlformats.org/officeDocument/2006/relationships/hyperlink" Target="https://www.sec.gov/Archives/edgar/data/1871638/000119312525008517/d903961dex1018.htm" TargetMode="External"/><Relationship Id="rId88" Type="http://schemas.openxmlformats.org/officeDocument/2006/relationships/hyperlink" Target="https://www.sec.gov/Archives/edgar/data/1871638/000119312525008517/d903961dex1019.htm" TargetMode="External"/><Relationship Id="rId89" Type="http://schemas.openxmlformats.org/officeDocument/2006/relationships/hyperlink" Target="https://www.sec.gov/Archives/edgar/data/1871638/000119312525008517/d903961dex1020.htm" TargetMode="External"/><Relationship Id="rId90" Type="http://schemas.openxmlformats.org/officeDocument/2006/relationships/hyperlink" Target="https://www.sec.gov/Archives/edgar/data/1871638/000110465924132802/tm2431152d1_ex10-1.htm" TargetMode="External"/><Relationship Id="rId91" Type="http://schemas.openxmlformats.org/officeDocument/2006/relationships/hyperlink" Target="https://www.sec.gov/Archives/edgar/data/1871638/000110465925001763/tm252173d1_ex10-1.htm" TargetMode="External"/><Relationship Id="rId92" Type="http://schemas.openxmlformats.org/officeDocument/2006/relationships/hyperlink" Target="https://www.sec.gov/Archives/edgar/data/1871638/000119312525008517/d903961dex1015.htm" TargetMode="External"/><Relationship Id="rId93" Type="http://schemas.openxmlformats.org/officeDocument/2006/relationships/hyperlink" Target="https://www.sec.gov/Archives/edgar/data/1871638/000119312525280252/bzai-ex10_6.htm" TargetMode="External"/><Relationship Id="rId94" Type="http://schemas.openxmlformats.org/officeDocument/2006/relationships/hyperlink" Target="https://www.sec.gov/Archives/edgar/data/1871638/000119312525158997/d13627dex102.htm" TargetMode="External"/><Relationship Id="rId95" Type="http://schemas.openxmlformats.org/officeDocument/2006/relationships/hyperlink" Target="https://www.sec.gov/Archives/edgar/data/1871638/000119312525008517/d903961dex1014.htm" TargetMode="External"/><Relationship Id="rId96" Type="http://schemas.openxmlformats.org/officeDocument/2006/relationships/hyperlink" Target="https://www.sec.gov/Archives/edgar/data/1871638/000119312525158997/d13627dex101.htm" TargetMode="External"/><Relationship Id="rId97" Type="http://schemas.openxmlformats.org/officeDocument/2006/relationships/hyperlink" Target="https://www.sec.gov/Archives/edgar/data/1871638/000119312525280252/bzai-ex10_4.htm" TargetMode="External"/><Relationship Id="rId98" Type="http://schemas.openxmlformats.org/officeDocument/2006/relationships/hyperlink" Target="https://www.sec.gov/Archives/edgar/data/1871638/000119312525008517/d903961dex1012.htm" TargetMode="External"/><Relationship Id="rId99" Type="http://schemas.openxmlformats.org/officeDocument/2006/relationships/hyperlink" Target="https://www.sec.gov/Archives/edgar/data/1871638/000119312525008517/d903961dex1013.htm" TargetMode="External"/><Relationship Id="rId100" Type="http://schemas.openxmlformats.org/officeDocument/2006/relationships/hyperlink" Target="https://www.sec.gov/Archives/edgar/data/1871638/000119312525152119/d868639dex101.htm" TargetMode="External"/><Relationship Id="rId101" Type="http://schemas.openxmlformats.org/officeDocument/2006/relationships/hyperlink" Target="https://www.sec.gov/Archives/edgar/data/1871638/000187163826000011/a2025-q4yeex141xcodeofcond.htm" TargetMode="External"/><Relationship Id="rId102" Type="http://schemas.openxmlformats.org/officeDocument/2006/relationships/hyperlink" Target="https://www.sec.gov/Archives/edgar/data/1871638/000187163826000011/a2025-q4yeex191xinsidertra.htm" TargetMode="External"/><Relationship Id="rId103" Type="http://schemas.openxmlformats.org/officeDocument/2006/relationships/hyperlink" Target="https://www.sec.gov/Archives/edgar/data/1871638/000187163826000011/a2025-q4yeex211xlistofsubs.htm" TargetMode="External"/><Relationship Id="rId104" Type="http://schemas.openxmlformats.org/officeDocument/2006/relationships/hyperlink" Target="https://www.sec.gov/Archives/edgar/data/1871638/000187163826000011/a2025-q4yeex231xauditorcon.htm" TargetMode="External"/><Relationship Id="rId105" Type="http://schemas.openxmlformats.org/officeDocument/2006/relationships/hyperlink" Target="https://www.sec.gov/Archives/edgar/data/1871638/000187163826000011/a2025-q410xkex311xmunagala.htm" TargetMode="External"/><Relationship Id="rId106" Type="http://schemas.openxmlformats.org/officeDocument/2006/relationships/hyperlink" Target="https://www.sec.gov/Archives/edgar/data/1871638/000187163826000011/a2025-q410xkex312xsehmi.htm" TargetMode="External"/><Relationship Id="rId107" Type="http://schemas.openxmlformats.org/officeDocument/2006/relationships/hyperlink" Target="https://www.sec.gov/Archives/edgar/data/1871638/000187163826000011/a2025-q410xkex321xmunagala.htm" TargetMode="External"/><Relationship Id="rId108" Type="http://schemas.openxmlformats.org/officeDocument/2006/relationships/hyperlink" Target="https://www.sec.gov/Archives/edgar/data/1871638/000187163826000011/a2025-q410xkex322xsehmi.htm" TargetMode="External"/><Relationship Id="rId109" Type="http://schemas.openxmlformats.org/officeDocument/2006/relationships/hyperlink" Target="https://www.sec.gov/Archives/edgar/data/1871638/000187163826000011/a2025-q4yeex971xclawbackp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2026-03-24T15:48:53Z</dcterms:created>
  <dcterms:modified xsi:type="dcterms:W3CDTF">2026-03-24T15:48:53Z</dcterms:modified>
</cp:coreProperties>
</file>