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22,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333-284365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S-1</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3674</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8"/>
                <w:szCs w:val="18"/>
                <w:b w:val="1"/>
                <w:bCs w:val="1"/>
                <w:color w:val="auto"/>
                <w:w w:val="98"/>
              </w:rPr>
              <w:t>86-2708752</w:t>
            </w:r>
          </w:p>
        </w:tc>
      </w:tr>
      <w:tr>
        <w:trPr>
          <w:trHeight w:val="149"/>
        </w:trPr>
        <w:tc>
          <w:tcPr>
            <w:tcW w:w="2840" w:type="dxa"/>
            <w:vAlign w:val="bottom"/>
          </w:tcPr>
          <w:p>
            <w:pPr>
              <w:jc w:val="center"/>
              <w:ind w:righ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4659 Golden Foothill Parkway, Suite 206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Dorado Hills, California 95762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Harminder Sehmi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4659 Golden Foothill Parkway, Suite 206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Dorado Hills, CA 95762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(916) 347-0050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42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47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15"/>
        </w:trPr>
        <w:tc>
          <w:tcPr>
            <w:tcW w:w="32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Brian C. Patterson</w:t>
            </w:r>
          </w:p>
        </w:tc>
        <w:tc>
          <w:tcPr>
            <w:tcW w:w="476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Ryan J. Maierson</w:t>
            </w:r>
          </w:p>
        </w:tc>
      </w:tr>
      <w:tr>
        <w:trPr>
          <w:trHeight w:val="216"/>
        </w:trPr>
        <w:tc>
          <w:tcPr>
            <w:tcW w:w="32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476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Ryan J. Lynch</w:t>
            </w:r>
          </w:p>
        </w:tc>
      </w:tr>
      <w:tr>
        <w:trPr>
          <w:trHeight w:val="216"/>
        </w:trPr>
        <w:tc>
          <w:tcPr>
            <w:tcW w:w="320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505 Montgomery Street, Suite 2000</w:t>
            </w:r>
          </w:p>
        </w:tc>
        <w:tc>
          <w:tcPr>
            <w:tcW w:w="476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r>
      <w:tr>
        <w:trPr>
          <w:trHeight w:val="216"/>
        </w:trPr>
        <w:tc>
          <w:tcPr>
            <w:tcW w:w="32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San Francisco, CA 94111</w:t>
            </w:r>
          </w:p>
        </w:tc>
        <w:tc>
          <w:tcPr>
            <w:tcW w:w="476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811 Main Street, Suite 3700</w:t>
            </w:r>
          </w:p>
        </w:tc>
      </w:tr>
      <w:tr>
        <w:trPr>
          <w:trHeight w:val="216"/>
        </w:trPr>
        <w:tc>
          <w:tcPr>
            <w:tcW w:w="32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(415) 391-0600</w:t>
            </w:r>
          </w:p>
        </w:tc>
        <w:tc>
          <w:tcPr>
            <w:tcW w:w="476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Houston, TX 77002</w:t>
            </w:r>
          </w:p>
        </w:tc>
      </w:tr>
      <w:tr>
        <w:trPr>
          <w:trHeight w:val="238"/>
        </w:trPr>
        <w:tc>
          <w:tcPr>
            <w:tcW w:w="3200" w:type="dxa"/>
            <w:vAlign w:val="bottom"/>
          </w:tcPr>
          <w:p>
            <w:pPr>
              <w:spacing w:after="0"/>
              <w:rPr>
                <w:sz w:val="20"/>
                <w:szCs w:val="20"/>
                <w:color w:val="auto"/>
              </w:rPr>
            </w:pPr>
          </w:p>
        </w:tc>
        <w:tc>
          <w:tcPr>
            <w:tcW w:w="4760" w:type="dxa"/>
            <w:vAlign w:val="bottom"/>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9"/>
              </w:rPr>
              <w:t>(713) 546-5400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soon as practicable after the effective date of this Registration Statement.</w:t>
      </w:r>
    </w:p>
    <w:p>
      <w:pPr>
        <w:spacing w:after="0" w:line="207"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333-284365</w:t>
      </w:r>
    </w:p>
    <w:p>
      <w:pPr>
        <w:spacing w:after="0" w:line="170"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20"/>
          </w:cols>
          <w:pgMar w:left="440" w:top="225" w:right="4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02"/>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6" w:lineRule="exact"/>
        <w:rPr>
          <w:sz w:val="20"/>
          <w:szCs w:val="20"/>
          <w:color w:val="auto"/>
        </w:rPr>
      </w:pPr>
    </w:p>
    <w:p>
      <w:pPr>
        <w:ind w:right="260"/>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214630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This Post-Effective Amendment No. 1 shall become effective upon filing with the Securities and Exchange Commission in accordance with Rule 462(d)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163830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81"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Post-Effective Amendment No. 1 (this “Amendment”) to the Registration Statement on Form S-1 of Blaize Holdings, Inc. (File No. 333-284365), initially filed on January 21, 2025 and declared effective by the Securities and Exchange Commission on February 13, 2025 (the “Registration Statement”), is being filed as an exhibit-only filing solely to file (i) the consent of UHY LLP with respect to its report dated March 11, 2025 relating to the consolidated financial statements of Blaize, Inc. and Subsidiaries contained in its Current Report on Form 8-K/A and included in the Prospectus Supplement No. 2 dated April 16, 2025 filed pursuant to Rule 424(b)(3), filed herewith as Exhibit 23.1 (the “UHY Consent”), and (ii) the consent of Marcum LLP with respect to its report dated April 14, 2025 relating to the financial statements of Blaize Holdings, Inc. (formerly known as BurTech Acquisition Corp.) contained in its Annual Report on Form 10-K and included in the Prospectus Supplement No. 2 dated April 18, 2025 filed pursuant to Rule 424(b)(3), filed herewith as Exhibit 23.2 (the “Marcum Consent”). Accordingly, this Amendment consists only of the facing page, this explanatory note, Item 16 of Part II of the Registration Statement, the signature pages to the Registration Statement, the UHY Consent, and the Marcum Consent. The prospectus and the balance of Part II of the Registration Statement are unchanged hereby and have been omitted.</w:t>
      </w:r>
    </w:p>
    <w:p>
      <w:pPr>
        <w:sectPr>
          <w:pgSz w:w="11900" w:h="16838" w:orient="portrait"/>
          <w:cols w:equalWidth="0" w:num="1">
            <w:col w:w="10940"/>
          </w:cols>
          <w:pgMar w:left="440" w:top="266" w:right="5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78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Exhibits.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4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3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Form</w:t>
            </w:r>
          </w:p>
        </w:tc>
        <w:tc>
          <w:tcPr>
            <w:tcW w:w="52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2"/>
                <w:szCs w:val="22"/>
                <w:color w:val="auto"/>
              </w:rPr>
            </w:pPr>
          </w:p>
        </w:tc>
        <w:tc>
          <w:tcPr>
            <w:tcW w:w="74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Consent of UHY LLP.</w:t>
            </w:r>
          </w:p>
        </w:tc>
        <w:tc>
          <w:tcPr>
            <w:tcW w:w="36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78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Marcum LLP.</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top w:val="single" w:sz="8" w:color="0000EE"/>
              <w:bottom w:val="single" w:sz="8" w:color="auto"/>
            </w:tcBorders>
          </w:tcPr>
          <w:p>
            <w:pPr>
              <w:spacing w:after="0"/>
              <w:rPr>
                <w:sz w:val="14"/>
                <w:szCs w:val="14"/>
                <w:color w:val="auto"/>
              </w:rPr>
            </w:pPr>
          </w:p>
        </w:tc>
        <w:tc>
          <w:tcPr>
            <w:tcW w:w="13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5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8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8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II-1</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66" w:right="4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Registration Statement to be signed on its behalf by the undersigned hereunto duly authorized, on this 22nd day of April,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held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Dinakar Munagala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2025</w:t>
            </w:r>
          </w:p>
        </w:tc>
      </w:tr>
      <w:tr>
        <w:trPr>
          <w:trHeight w:val="22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Dinakar Munagala</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(Principal Executive Officer and Duly Authorized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Harminder Sehmi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2025</w:t>
            </w:r>
          </w:p>
        </w:tc>
      </w:tr>
      <w:tr>
        <w:trPr>
          <w:trHeight w:val="178"/>
        </w:trPr>
        <w:tc>
          <w:tcPr>
            <w:tcW w:w="41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Harminder Sehmi</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60" w:type="dxa"/>
            <w:vAlign w:val="bottom"/>
            <w:gridSpan w:val="2"/>
          </w:tcPr>
          <w:p>
            <w:pPr>
              <w:jc w:val="center"/>
              <w:ind w:right="220"/>
              <w:spacing w:after="0" w:line="177" w:lineRule="exact"/>
              <w:rPr>
                <w:sz w:val="20"/>
                <w:szCs w:val="20"/>
                <w:color w:val="auto"/>
              </w:rPr>
            </w:pPr>
            <w:r>
              <w:rPr>
                <w:rFonts w:ascii="Times New Roman" w:cs="Times New Roman" w:eastAsia="Times New Roman" w:hAnsi="Times New Roman"/>
                <w:sz w:val="18"/>
                <w:szCs w:val="18"/>
                <w:color w:val="auto"/>
                <w:w w:val="99"/>
              </w:rPr>
              <w:t>(Principal Financial and Accounting Officer and</w:t>
            </w:r>
          </w:p>
        </w:tc>
        <w:tc>
          <w:tcPr>
            <w:tcW w:w="1760" w:type="dxa"/>
            <w:vAlign w:val="bottom"/>
          </w:tcPr>
          <w:p>
            <w:pPr>
              <w:spacing w:after="0"/>
              <w:rPr>
                <w:sz w:val="15"/>
                <w:szCs w:val="15"/>
                <w:color w:val="auto"/>
              </w:rPr>
            </w:pPr>
          </w:p>
        </w:tc>
      </w:tr>
      <w:tr>
        <w:trPr>
          <w:trHeight w:val="234"/>
        </w:trPr>
        <w:tc>
          <w:tcPr>
            <w:tcW w:w="4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Duly Authorized Officer)</w:t>
            </w:r>
          </w:p>
        </w:tc>
        <w:tc>
          <w:tcPr>
            <w:tcW w:w="1760" w:type="dxa"/>
            <w:vAlign w:val="bottom"/>
          </w:tcPr>
          <w:p>
            <w:pPr>
              <w:spacing w:after="0"/>
              <w:rPr>
                <w:sz w:val="20"/>
                <w:szCs w:val="20"/>
                <w:color w:val="auto"/>
              </w:rPr>
            </w:pPr>
          </w:p>
        </w:tc>
      </w:tr>
      <w:tr>
        <w:trPr>
          <w:trHeight w:val="446"/>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2025</w:t>
            </w:r>
          </w:p>
        </w:tc>
      </w:tr>
      <w:tr>
        <w:trPr>
          <w:trHeight w:val="22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Frank</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2025</w:t>
            </w:r>
          </w:p>
        </w:tc>
      </w:tr>
      <w:tr>
        <w:trPr>
          <w:trHeight w:val="22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Lane Bess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2025</w:t>
            </w:r>
          </w:p>
        </w:tc>
      </w:tr>
      <w:tr>
        <w:trPr>
          <w:trHeight w:val="22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Juergen Hambrecht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2025</w:t>
            </w:r>
          </w:p>
        </w:tc>
      </w:tr>
      <w:tr>
        <w:trPr>
          <w:trHeight w:val="22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Cannestra</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2025</w:t>
            </w:r>
          </w:p>
        </w:tc>
      </w:tr>
      <w:tr>
        <w:trPr>
          <w:trHeight w:val="22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de Urioste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2025</w:t>
            </w:r>
          </w:p>
        </w:tc>
      </w:tr>
      <w:tr>
        <w:trPr>
          <w:trHeight w:val="22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Yoshiaki Fujimori</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67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Dinakar Munagala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91"/>
        </w:trPr>
        <w:tc>
          <w:tcPr>
            <w:tcW w:w="41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Dinakar Munagala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4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II-2</w:t>
            </w: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CONSENT</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Blaize Holdings, Inc. (the “Company”) on Post-Effective Amendment No. 1 to Form S-1 (File No. 333-284365) of our report dated March 11, 2025, which includes an explanatory paragraph as to Blaize, Inc. and Subsidiaries’ ability to continue as a going concern, with respect to our audits of the consolidated financial statements of Blaize, Inc. and Subsidiaries as of December 31, 2024 and 2023 and for the years then ended.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 Independent Member of Urbach Hacker Young International</w:t>
      </w:r>
    </w:p>
    <w:p>
      <w:pPr>
        <w:sectPr>
          <w:pgSz w:w="11900" w:h="16838" w:orient="portrait"/>
          <w:cols w:equalWidth="0" w:num="1">
            <w:col w:w="11020"/>
          </w:cols>
          <w:pgMar w:left="440" w:top="117"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173990</wp:posOffset>
            </wp:positionV>
            <wp:extent cx="1654175"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41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Firm’s Consent</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consent to the use in this Registration Statement of Blaize Holdings, Inc. on Post Effective Amendment No. 1 to Form S-1 of our report dated April 14, 2025 relating to the financial statements of Blaize Holdings, Inc. (formerly known as BurTech Acquisition Corp.) (“the Company”) which includes an explanatory paragraph as to the Company’s ability to continue as a going concern appearing in this Registration Statement. On January 13, 2025, we were informed by the Company that we would be replaced by UHY following the completion of our audit for the year ended December 31, 2024. We also consent to the reference to us under the heading “Experts” in such Registration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April 21, 2025</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S:\BUSINESS\Word_Processing\Common\Finalized\Blaize Holdings, Inc\236754 BurTech - 2024 Indep Regis Public Acct’g Consent 041825.docx</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Marcum </w:t>
      </w:r>
      <w:r>
        <w:rPr>
          <w:rFonts w:ascii="Times New Roman" w:cs="Times New Roman" w:eastAsia="Times New Roman" w:hAnsi="Times New Roman"/>
          <w:sz w:val="14"/>
          <w:szCs w:val="14"/>
          <w:b w:val="1"/>
          <w:bCs w:val="1"/>
          <w:color w:val="auto"/>
        </w:rPr>
        <w:t>LLP</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730 Third Avenue</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11th Floor</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New York, NY 10017</w:t>
      </w:r>
      <w:r>
        <w:rPr>
          <w:rFonts w:ascii="Times New Roman" w:cs="Times New Roman" w:eastAsia="Times New Roman" w:hAnsi="Times New Roman"/>
          <w:sz w:val="18"/>
          <w:szCs w:val="18"/>
          <w:b w:val="1"/>
          <w:bCs w:val="1"/>
          <w:color w:val="auto"/>
        </w:rPr>
        <w:t xml:space="preserve"> / Phone </w:t>
      </w:r>
      <w:r>
        <w:rPr>
          <w:rFonts w:ascii="Times New Roman" w:cs="Times New Roman" w:eastAsia="Times New Roman" w:hAnsi="Times New Roman"/>
          <w:sz w:val="18"/>
          <w:szCs w:val="18"/>
          <w:color w:val="auto"/>
        </w:rPr>
        <w:t>212.485.5500</w:t>
      </w:r>
      <w:r>
        <w:rPr>
          <w:rFonts w:ascii="Times New Roman" w:cs="Times New Roman" w:eastAsia="Times New Roman" w:hAnsi="Times New Roman"/>
          <w:sz w:val="18"/>
          <w:szCs w:val="18"/>
          <w:b w:val="1"/>
          <w:bCs w:val="1"/>
          <w:color w:val="auto"/>
        </w:rPr>
        <w:t xml:space="preserve"> / marcumllp.com</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2025-04-22T15:25:09Z</dcterms:created>
  <dcterms:modified xsi:type="dcterms:W3CDTF">2025-04-22T15:25:09Z</dcterms:modified>
</cp:coreProperties>
</file>