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19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3" w:lineRule="exact"/>
        <w:rPr>
          <w:sz w:val="24"/>
          <w:szCs w:val="24"/>
          <w:color w:val="auto"/>
        </w:rPr>
      </w:pPr>
    </w:p>
    <w:p>
      <w:pPr>
        <w:ind w:left="3490" w:right="2380" w:hanging="3490"/>
        <w:spacing w:after="0" w:line="459" w:lineRule="auto"/>
        <w:tabs>
          <w:tab w:leader="none" w:pos="197"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UNDER SECTION 13 OR 15(d) OF THE SECURITIES EXCHANGE ACT OF 1934 For the quarterly period ended March 31, 2022</w:t>
      </w:r>
    </w:p>
    <w:p>
      <w:pPr>
        <w:spacing w:after="0" w:line="25" w:lineRule="exact"/>
        <w:rPr>
          <w:sz w:val="24"/>
          <w:szCs w:val="24"/>
          <w:color w:val="auto"/>
        </w:rPr>
      </w:pPr>
    </w:p>
    <w:p>
      <w:pPr>
        <w:ind w:left="190" w:hanging="190"/>
        <w:spacing w:after="0"/>
        <w:tabs>
          <w:tab w:leader="none" w:pos="19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74" w:lineRule="exact"/>
        <w:rPr>
          <w:sz w:val="24"/>
          <w:szCs w:val="24"/>
          <w:color w:val="auto"/>
        </w:rPr>
      </w:pPr>
    </w:p>
    <w:tbl>
      <w:tblPr>
        <w:tblLayout w:type="fixed"/>
        <w:tblInd w:w="3290" w:type="dxa"/>
        <w:tblCellMar>
          <w:top w:w="0" w:type="dxa"/>
          <w:left w:w="0" w:type="dxa"/>
          <w:bottom w:w="0" w:type="dxa"/>
          <w:right w:w="0" w:type="dxa"/>
        </w:tblCellMar>
      </w:tblPr>
      <w:tr>
        <w:trPr>
          <w:trHeight w:val="184"/>
        </w:trPr>
        <w:tc>
          <w:tcPr>
            <w:tcW w:w="2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89"/>
              </w:rPr>
              <w:t>to</w:t>
            </w:r>
          </w:p>
        </w:tc>
        <w:tc>
          <w:tcPr>
            <w:tcW w:w="680" w:type="dxa"/>
            <w:vAlign w:val="bottom"/>
            <w:tcBorders>
              <w:bottom w:val="single" w:sz="8" w:color="auto"/>
            </w:tcBorders>
          </w:tcPr>
          <w:p>
            <w:pPr>
              <w:spacing w:after="0"/>
              <w:rPr>
                <w:sz w:val="16"/>
                <w:szCs w:val="16"/>
                <w:color w:val="auto"/>
              </w:rPr>
            </w:pPr>
          </w:p>
        </w:tc>
      </w:tr>
      <w:tr>
        <w:trPr>
          <w:trHeight w:val="379"/>
        </w:trPr>
        <w:tc>
          <w:tcPr>
            <w:tcW w:w="3640" w:type="dxa"/>
            <w:vAlign w:val="bottom"/>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Commission File Number 001-41139</w:t>
            </w:r>
          </w:p>
        </w:tc>
      </w:tr>
    </w:tbl>
    <w:p>
      <w:pPr>
        <w:spacing w:after="0" w:line="15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2"/>
          <w:szCs w:val="22"/>
          <w:b w:val="1"/>
          <w:bCs w:val="1"/>
          <w:color w:val="auto"/>
        </w:rPr>
        <w:t>BURTECH ACQUISITION CORP.</w:t>
      </w:r>
    </w:p>
    <w:p>
      <w:pPr>
        <w:spacing w:after="0" w:line="11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65"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6960" w:type="dxa"/>
            <w:vAlign w:val="bottom"/>
            <w:gridSpan w:val="3"/>
          </w:tcPr>
          <w:p>
            <w:pPr>
              <w:jc w:val="center"/>
              <w:ind w:right="198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60" w:type="dxa"/>
            <w:vAlign w:val="bottom"/>
          </w:tcPr>
          <w:p>
            <w:pPr>
              <w:jc w:val="center"/>
              <w:ind w:right="1679"/>
              <w:spacing w:after="0"/>
              <w:rPr>
                <w:sz w:val="20"/>
                <w:szCs w:val="20"/>
                <w:color w:val="auto"/>
              </w:rPr>
            </w:pPr>
            <w:r>
              <w:rPr>
                <w:rFonts w:ascii="Times New Roman" w:cs="Times New Roman" w:eastAsia="Times New Roman" w:hAnsi="Times New Roman"/>
                <w:sz w:val="16"/>
                <w:szCs w:val="16"/>
                <w:b w:val="1"/>
                <w:bCs w:val="1"/>
                <w:color w:val="auto"/>
              </w:rPr>
              <w:t>85-2708752</w:t>
            </w:r>
          </w:p>
        </w:tc>
      </w:tr>
      <w:tr>
        <w:trPr>
          <w:trHeight w:val="188"/>
        </w:trPr>
        <w:tc>
          <w:tcPr>
            <w:tcW w:w="5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20" w:type="dxa"/>
            <w:vAlign w:val="bottom"/>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3260" w:type="dxa"/>
            <w:vAlign w:val="bottom"/>
            <w:tcBorders>
              <w:top w:val="single" w:sz="8" w:color="auto"/>
            </w:tcBorders>
          </w:tcPr>
          <w:p>
            <w:pPr>
              <w:jc w:val="center"/>
              <w:ind w:right="16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6960" w:type="dxa"/>
            <w:vAlign w:val="bottom"/>
            <w:gridSpan w:val="3"/>
          </w:tcPr>
          <w:p>
            <w:pPr>
              <w:jc w:val="center"/>
              <w:ind w:right="198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260" w:type="dxa"/>
            <w:vAlign w:val="bottom"/>
          </w:tcPr>
          <w:p>
            <w:pPr>
              <w:jc w:val="center"/>
              <w:ind w:right="17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30"/>
        </w:trPr>
        <w:tc>
          <w:tcPr>
            <w:tcW w:w="6960" w:type="dxa"/>
            <w:vAlign w:val="bottom"/>
            <w:gridSpan w:val="3"/>
          </w:tcPr>
          <w:p>
            <w:pPr>
              <w:jc w:val="center"/>
              <w:ind w:left="3159"/>
              <w:spacing w:after="0"/>
              <w:rPr>
                <w:sz w:val="20"/>
                <w:szCs w:val="20"/>
                <w:color w:val="auto"/>
              </w:rPr>
            </w:pPr>
            <w:r>
              <w:rPr>
                <w:rFonts w:ascii="Times New Roman" w:cs="Times New Roman" w:eastAsia="Times New Roman" w:hAnsi="Times New Roman"/>
                <w:sz w:val="16"/>
                <w:szCs w:val="16"/>
                <w:b w:val="1"/>
                <w:bCs w:val="1"/>
                <w:color w:val="auto"/>
              </w:rPr>
              <w:t>1300 Pennsylvania Ave NW, Suite 700</w:t>
            </w:r>
          </w:p>
        </w:tc>
        <w:tc>
          <w:tcPr>
            <w:tcW w:w="3260" w:type="dxa"/>
            <w:vAlign w:val="bottom"/>
          </w:tcPr>
          <w:p>
            <w:pPr>
              <w:spacing w:after="0"/>
              <w:rPr>
                <w:sz w:val="24"/>
                <w:szCs w:val="24"/>
                <w:color w:val="auto"/>
              </w:rPr>
            </w:pPr>
          </w:p>
        </w:tc>
      </w:tr>
      <w:tr>
        <w:trPr>
          <w:trHeight w:val="242"/>
        </w:trPr>
        <w:tc>
          <w:tcPr>
            <w:tcW w:w="6960" w:type="dxa"/>
            <w:vAlign w:val="bottom"/>
            <w:gridSpan w:val="3"/>
          </w:tcPr>
          <w:p>
            <w:pPr>
              <w:jc w:val="center"/>
              <w:ind w:left="3159"/>
              <w:spacing w:after="0"/>
              <w:rPr>
                <w:sz w:val="20"/>
                <w:szCs w:val="20"/>
                <w:color w:val="auto"/>
              </w:rPr>
            </w:pPr>
            <w:r>
              <w:rPr>
                <w:rFonts w:ascii="Times New Roman" w:cs="Times New Roman" w:eastAsia="Times New Roman" w:hAnsi="Times New Roman"/>
                <w:sz w:val="16"/>
                <w:szCs w:val="16"/>
                <w:b w:val="1"/>
                <w:bCs w:val="1"/>
                <w:color w:val="auto"/>
              </w:rPr>
              <w:t xml:space="preserve">Washington, DC </w:t>
            </w:r>
            <w:r>
              <w:rPr>
                <w:rFonts w:ascii="Times New Roman" w:cs="Times New Roman" w:eastAsia="Times New Roman" w:hAnsi="Times New Roman"/>
                <w:sz w:val="19"/>
                <w:szCs w:val="19"/>
                <w:b w:val="1"/>
                <w:bCs w:val="1"/>
                <w:color w:val="auto"/>
              </w:rPr>
              <w:t>20004</w:t>
            </w:r>
          </w:p>
        </w:tc>
        <w:tc>
          <w:tcPr>
            <w:tcW w:w="3260" w:type="dxa"/>
            <w:vAlign w:val="bottom"/>
          </w:tcPr>
          <w:p>
            <w:pPr>
              <w:spacing w:after="0"/>
              <w:rPr>
                <w:sz w:val="21"/>
                <w:szCs w:val="21"/>
                <w:color w:val="auto"/>
              </w:rPr>
            </w:pPr>
          </w:p>
        </w:tc>
      </w:tr>
      <w:tr>
        <w:trPr>
          <w:trHeight w:val="210"/>
        </w:trPr>
        <w:tc>
          <w:tcPr>
            <w:tcW w:w="6960" w:type="dxa"/>
            <w:vAlign w:val="bottom"/>
            <w:gridSpan w:val="3"/>
          </w:tcPr>
          <w:p>
            <w:pPr>
              <w:jc w:val="center"/>
              <w:ind w:left="315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tc>
        <w:tc>
          <w:tcPr>
            <w:tcW w:w="3260" w:type="dxa"/>
            <w:vAlign w:val="bottom"/>
          </w:tcPr>
          <w:p>
            <w:pPr>
              <w:spacing w:after="0"/>
              <w:rPr>
                <w:sz w:val="18"/>
                <w:szCs w:val="18"/>
                <w:color w:val="auto"/>
              </w:rPr>
            </w:pPr>
          </w:p>
        </w:tc>
      </w:tr>
      <w:tr>
        <w:trPr>
          <w:trHeight w:val="343"/>
        </w:trPr>
        <w:tc>
          <w:tcPr>
            <w:tcW w:w="6960" w:type="dxa"/>
            <w:vAlign w:val="bottom"/>
            <w:gridSpan w:val="3"/>
          </w:tcPr>
          <w:p>
            <w:pPr>
              <w:jc w:val="center"/>
              <w:ind w:left="3179"/>
              <w:spacing w:after="0"/>
              <w:rPr>
                <w:sz w:val="20"/>
                <w:szCs w:val="20"/>
                <w:color w:val="auto"/>
              </w:rPr>
            </w:pPr>
            <w:r>
              <w:rPr>
                <w:rFonts w:ascii="Times New Roman" w:cs="Times New Roman" w:eastAsia="Times New Roman" w:hAnsi="Times New Roman"/>
                <w:sz w:val="16"/>
                <w:szCs w:val="16"/>
                <w:b w:val="1"/>
                <w:bCs w:val="1"/>
                <w:color w:val="auto"/>
              </w:rPr>
              <w:t>(202) 600-5757</w:t>
            </w:r>
          </w:p>
        </w:tc>
        <w:tc>
          <w:tcPr>
            <w:tcW w:w="3260" w:type="dxa"/>
            <w:vAlign w:val="bottom"/>
          </w:tcPr>
          <w:p>
            <w:pPr>
              <w:spacing w:after="0"/>
              <w:rPr>
                <w:sz w:val="24"/>
                <w:szCs w:val="24"/>
                <w:color w:val="auto"/>
              </w:rPr>
            </w:pPr>
          </w:p>
        </w:tc>
      </w:tr>
      <w:tr>
        <w:trPr>
          <w:trHeight w:val="210"/>
        </w:trPr>
        <w:tc>
          <w:tcPr>
            <w:tcW w:w="6960" w:type="dxa"/>
            <w:vAlign w:val="bottom"/>
            <w:gridSpan w:val="3"/>
          </w:tcPr>
          <w:p>
            <w:pPr>
              <w:jc w:val="center"/>
              <w:ind w:left="31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260" w:type="dxa"/>
            <w:vAlign w:val="bottom"/>
          </w:tcPr>
          <w:p>
            <w:pPr>
              <w:spacing w:after="0"/>
              <w:rPr>
                <w:sz w:val="18"/>
                <w:szCs w:val="18"/>
                <w:color w:val="auto"/>
              </w:rPr>
            </w:pPr>
          </w:p>
        </w:tc>
      </w:tr>
    </w:tbl>
    <w:p>
      <w:pPr>
        <w:spacing w:after="0" w:line="9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92"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324"/>
        </w:trPr>
        <w:tc>
          <w:tcPr>
            <w:tcW w:w="20" w:type="dxa"/>
            <w:vAlign w:val="bottom"/>
          </w:tcPr>
          <w:p>
            <w:pPr>
              <w:spacing w:after="0"/>
              <w:rPr>
                <w:sz w:val="24"/>
                <w:szCs w:val="24"/>
                <w:color w:val="auto"/>
              </w:rPr>
            </w:pPr>
          </w:p>
        </w:tc>
        <w:tc>
          <w:tcPr>
            <w:tcW w:w="4420" w:type="dxa"/>
            <w:vAlign w:val="bottom"/>
            <w:gridSpan w:val="2"/>
          </w:tcPr>
          <w:p>
            <w:pPr>
              <w:ind w:left="14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8"/>
        </w:trPr>
        <w:tc>
          <w:tcPr>
            <w:tcW w:w="20" w:type="dxa"/>
            <w:vAlign w:val="bottom"/>
          </w:tcPr>
          <w:p>
            <w:pPr>
              <w:spacing w:after="0"/>
              <w:rPr>
                <w:sz w:val="16"/>
                <w:szCs w:val="16"/>
                <w:color w:val="auto"/>
              </w:rPr>
            </w:pPr>
          </w:p>
        </w:tc>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Units, each consisting of one share of Class A Common Stock</w:t>
            </w:r>
          </w:p>
        </w:tc>
        <w:tc>
          <w:tcPr>
            <w:tcW w:w="280" w:type="dxa"/>
            <w:vAlign w:val="bottom"/>
          </w:tcPr>
          <w:p>
            <w:pPr>
              <w:spacing w:after="0"/>
              <w:rPr>
                <w:sz w:val="16"/>
                <w:szCs w:val="16"/>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BRKHU</w:t>
            </w:r>
          </w:p>
        </w:tc>
        <w:tc>
          <w:tcPr>
            <w:tcW w:w="280" w:type="dxa"/>
            <w:vAlign w:val="bottom"/>
          </w:tcPr>
          <w:p>
            <w:pPr>
              <w:spacing w:after="0"/>
              <w:rPr>
                <w:sz w:val="16"/>
                <w:szCs w:val="16"/>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03"/>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and one Redeemable Warrant to purchase one share of Class A</w:t>
            </w:r>
          </w:p>
        </w:tc>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203"/>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common stock for $11.50 per share</w:t>
            </w:r>
          </w:p>
        </w:tc>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203"/>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2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BRKH</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03"/>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Warrants, each exercisable for one share of Class A Common</w:t>
            </w:r>
          </w:p>
        </w:tc>
        <w:tc>
          <w:tcPr>
            <w:tcW w:w="2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BRKHW</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Stock for $11.50 per share</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spacing w:after="0" w:line="87" w:lineRule="exact"/>
        <w:rPr>
          <w:sz w:val="24"/>
          <w:szCs w:val="24"/>
          <w:color w:val="auto"/>
        </w:rPr>
      </w:pPr>
    </w:p>
    <w:p>
      <w:pPr>
        <w:jc w:val="both"/>
        <w:ind w:left="1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jc w:val="both"/>
        <w:ind w:left="1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jc w:val="both"/>
        <w:ind w:left="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1" w:right="839" w:bottom="1440" w:gutter="0" w:footer="0" w:header="0"/>
        </w:sectPr>
      </w:pPr>
    </w:p>
    <w:p>
      <w:pPr>
        <w:spacing w:after="0" w:line="30" w:lineRule="exact"/>
        <w:rPr>
          <w:sz w:val="24"/>
          <w:szCs w:val="24"/>
          <w:color w:val="auto"/>
        </w:rPr>
      </w:pPr>
    </w:p>
    <w:p>
      <w:pPr>
        <w:ind w:left="1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63" w:lineRule="exact"/>
        <w:rPr>
          <w:sz w:val="24"/>
          <w:szCs w:val="24"/>
          <w:color w:val="auto"/>
        </w:rPr>
      </w:pPr>
    </w:p>
    <w:p>
      <w:pPr>
        <w:ind w:left="1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6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1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95" w:lineRule="exact"/>
        <w:rPr>
          <w:sz w:val="24"/>
          <w:szCs w:val="24"/>
          <w:color w:val="auto"/>
        </w:rPr>
      </w:pPr>
    </w:p>
    <w:p>
      <w:pPr>
        <w:sectPr>
          <w:pgSz w:w="11900" w:h="16838" w:orient="portrait"/>
          <w:cols w:equalWidth="0" w:num="2">
            <w:col w:w="3910" w:space="720"/>
            <w:col w:w="5600"/>
          </w:cols>
          <w:pgMar w:left="830" w:top="661" w:right="839" w:bottom="1440" w:gutter="0" w:footer="0" w:header="0"/>
          <w:type w:val="continuous"/>
        </w:sectPr>
      </w:pPr>
    </w:p>
    <w:p>
      <w:pPr>
        <w:ind w:left="1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1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9" w:lineRule="exact"/>
        <w:rPr>
          <w:sz w:val="24"/>
          <w:szCs w:val="24"/>
          <w:color w:val="auto"/>
        </w:rPr>
      </w:pPr>
    </w:p>
    <w:p>
      <w:pPr>
        <w:ind w:left="10"/>
        <w:spacing w:after="0" w:line="298" w:lineRule="auto"/>
        <w:rPr>
          <w:sz w:val="20"/>
          <w:szCs w:val="20"/>
          <w:color w:val="auto"/>
        </w:rPr>
      </w:pPr>
      <w:r>
        <w:rPr>
          <w:rFonts w:ascii="Times New Roman" w:cs="Times New Roman" w:eastAsia="Times New Roman" w:hAnsi="Times New Roman"/>
          <w:sz w:val="16"/>
          <w:szCs w:val="16"/>
          <w:color w:val="auto"/>
        </w:rPr>
        <w:t>As of May 16, 2022, there were 28,750,000 shares of Class A common stock, par value $0.0001 per share, and 9,487,500 shares of Class B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455930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27305</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69850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0" w:type="dxa"/>
            <w:vAlign w:val="bottom"/>
            <w:gridSpan w:val="10"/>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9"/>
              </w:rPr>
              <w:t>BURTECH ACQUISITION CORP.</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0" w:type="dxa"/>
            <w:vAlign w:val="bottom"/>
            <w:gridSpan w:val="10"/>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22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80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Balance Sheets as of March 31, 2022 (unaudited) and December 31, 2021</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Operations for the three months ended March 31, 2022 (unaudited)</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 of Changes in Stockholders’ Deficit for the periods from January 1, 2022 through</w:t>
            </w: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7220" w:type="dxa"/>
            <w:vAlign w:val="bottom"/>
            <w:tcBorders>
              <w:top w:val="single" w:sz="8" w:color="0000EE"/>
            </w:tcBorders>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March 31, 2022 (unaudited)</w:t>
            </w:r>
          </w:p>
        </w:tc>
        <w:tc>
          <w:tcPr>
            <w:tcW w:w="520" w:type="dxa"/>
            <w:vAlign w:val="bottom"/>
            <w:tcBorders>
              <w:top w:val="single" w:sz="8" w:color="CCEEFF"/>
            </w:tcBorders>
            <w:gridSpan w:val="3"/>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 of Cash Flows for the period from January 1, 2022 through March 31, 2022 (unaudited)</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Financial Statements (unaudited)</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2.</w:t>
            </w:r>
          </w:p>
        </w:tc>
        <w:tc>
          <w:tcPr>
            <w:tcW w:w="440" w:type="dxa"/>
            <w:vAlign w:val="bottom"/>
            <w:tcBorders>
              <w:bottom w:val="single" w:sz="8" w:color="CCEEFF"/>
            </w:tcBorders>
            <w:gridSpan w:val="2"/>
            <w:shd w:val="clear" w:color="auto" w:fill="CCEEFF"/>
          </w:tcPr>
          <w:p>
            <w:pPr>
              <w:spacing w:after="0"/>
              <w:rPr>
                <w:sz w:val="15"/>
                <w:szCs w:val="15"/>
                <w:color w:val="auto"/>
              </w:rPr>
            </w:pPr>
          </w:p>
        </w:tc>
        <w:tc>
          <w:tcPr>
            <w:tcW w:w="778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w:t>
            </w:r>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9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0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4.</w:t>
            </w:r>
          </w:p>
        </w:tc>
        <w:tc>
          <w:tcPr>
            <w:tcW w:w="440" w:type="dxa"/>
            <w:vAlign w:val="bottom"/>
            <w:gridSpan w:val="2"/>
            <w:shd w:val="clear" w:color="auto" w:fill="CCEEFF"/>
          </w:tcPr>
          <w:p>
            <w:pPr>
              <w:spacing w:after="0"/>
              <w:rPr>
                <w:sz w:val="17"/>
                <w:szCs w:val="17"/>
                <w:color w:val="auto"/>
              </w:rPr>
            </w:pPr>
          </w:p>
        </w:tc>
        <w:tc>
          <w:tcPr>
            <w:tcW w:w="80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80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80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80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0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0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0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6.</w:t>
            </w:r>
          </w:p>
        </w:tc>
        <w:tc>
          <w:tcPr>
            <w:tcW w:w="440" w:type="dxa"/>
            <w:vAlign w:val="bottom"/>
            <w:gridSpan w:val="2"/>
            <w:shd w:val="clear" w:color="auto" w:fill="CCEEFF"/>
          </w:tcPr>
          <w:p>
            <w:pPr>
              <w:spacing w:after="0"/>
              <w:rPr>
                <w:sz w:val="17"/>
                <w:szCs w:val="17"/>
                <w:color w:val="auto"/>
              </w:rPr>
            </w:pPr>
          </w:p>
        </w:tc>
        <w:tc>
          <w:tcPr>
            <w:tcW w:w="80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9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94"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927,449</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264,240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1,191,689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non-current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141,607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291,842,784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291,813,399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293,176,080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293,741,143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offering costs and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136,018</w:t>
            </w:r>
          </w:p>
        </w:tc>
        <w:tc>
          <w:tcPr>
            <w:tcW w:w="2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 - Related Party</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Due to related party</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231,861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10,062,500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10,294,361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10,762,502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subject to possible redemption, 28,750,000 shares at redemption value of</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291,812,500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291,812,500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280,000,000 shares authorized; 1,329,500 shares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issued and outstanding (excluding 28,750,000 shares subject to possible redemption)</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20,000,000 shares authorized; 9,487,500 shares issued</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outstanding</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(8,931,863)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(8,930,781)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293,176,080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293,741,143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07"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BURTECH ACQUISITION CORP.</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CONDENSED STATEMENTS OF OPERATIONS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2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5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earned on Trust</w:t>
            </w:r>
          </w:p>
        </w:tc>
        <w:tc>
          <w:tcPr>
            <w:tcW w:w="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5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7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(96,922)</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0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outstanding of Class A common stock subject to redemption, basic and diluted</w:t>
            </w:r>
          </w:p>
        </w:tc>
        <w:tc>
          <w:tcPr>
            <w:tcW w:w="5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common stock, Class A subject to redemption</w:t>
            </w:r>
          </w:p>
        </w:tc>
        <w:tc>
          <w:tcPr>
            <w:tcW w:w="5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of non-redeemable Class A common stock, basic and diluted</w:t>
            </w: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431,250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common stock, non-redeemable Class A</w:t>
            </w: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of Class B common stock, basic and diluted</w:t>
            </w: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9,487,500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common stock, Class B</w:t>
            </w: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07"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080" w:type="dxa"/>
            <w:vAlign w:val="bottom"/>
            <w:gridSpan w:val="3"/>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6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60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760" w:type="dxa"/>
            <w:vAlign w:val="bottom"/>
            <w:tcBorders>
              <w:top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760" w:type="dxa"/>
            <w:vAlign w:val="bottom"/>
            <w:tcBorders>
              <w:top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104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1,329,500</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9,487,500</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(8,834,941)</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(8,833,859)</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(96,922)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(96,922)</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1,329,500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9,487,500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(8,931,863)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(8,930,781)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07"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0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BURTECH ACQUISITION CORP.</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CONDENSED STATEMENTS OF CASH FLOWS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30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offering costs and expenses</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promissory note- related party</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Cash — Ending</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07"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Business Operation, 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BurTech Acquisition Corp. (the “Company”) is a blank check company incorporated in Delaware on March 2, 2021, for the purpose of effecting a merger, capital stock exchange, asset acquisition, stock purchase, reorganization or similar business combination with one or more businesses (the “Business Combination”).The Company is an emerging growth company and, as such, the Company is subject to all of the risks associated with emerging growth companies.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2022, the Company had not commenced any operations. All activity for the period from March 2, 2021 (inception) through March 31, 2022 relates to the Company’s formation and the Initial Public Offering (the “IPO”). The Company had a minimal amount of activity during the comparative period, March 2, 2021 (inception) through March 31, 2021 and will not be disclosed in this report. The Company will not generate any operating revenues until after the completion of its initial Business Combination, at the earliest. The Company will generate non-operating income in the form of interest income from the proceeds derived from the IPO. The Company has selected December 31 as its fiscal year end.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sponsor is BurTech LP LLC, (the “Sponsor”).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December 10, 2021 (the “Effective Date”). On December 15, 2021, the Company completed the IPO of 28,750,000 units, including 3,750,000 units from the full exercise of the overallotment option by the underwriters, at $10.00 per unit (the “Units”), which is discussed in Note 3 (the “Initial Public Offering”). Each Unit consists of one Class A common stock and one redeemable warrant (the “Public Warrants”). Each whole warrant entitles the holder to purchase one Class A common stock at a price of $11.50 per share.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898,250 units (the “Private Placement Units”) to the Sponsor, including 93,750 units from the full exercise of the overallotment option by the underwriters, at a price of $10.00 per units, generate an aggregate of $8,982,500 proceeds.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 costs amounted to $16,919,619 consisting of $2,875,000 of underwriting commissions, $10,062,500 of deferred underwriting commissions, $3,456,652 fair value of class A shares issued to the underwriters and $525,467 of other offering costs. In addition, $1,539,541 of cash was held outside of the Trust Account (as defined below) and is available for working capital purposes.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Private Placement Units, although substantially all of the net proceeds are intended to be generally applied toward consummating a Business Combination (less deferred underwriting commissions).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closing of the IPO on December 15, 2021, $291,812,500 ($10.15 per Unit) from the net proceeds of the sale of the Units in the IPO and the sale of the Private Placement Units was deposited into a trust account (the “Trust Account”) and will be invested only in U.S. government securities with a maturity of 185 days or less or in money market funds meeting certain conditions under Rule 2a-7</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07"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IPO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IPO or (ii) with respect to any other provision relating to stockholders’ rights or pre-Business Combination activity, and (c) the redemption of the public shares if the Company is unable to complete the initial Business Combination within 15 months from the closing of the IPO, subject to applicable law. The proceeds deposited in the Trust Account could become subject to the claims of the Company’s creditors, if any, which could have priority over the claims of the Company’s public stockholders.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of common stock subject to redemption will be recorded at a redemption value and classified as temporary equity upon the completion of the IPO, in accordance with Financial Accounting Standards Board’s (“FASB”) Accounting Standards Codification (“ASC”) Topic 480 “Distinguishing Liabilities from Equity.”</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will have only 15 months from the closing of the IPO (the “Combination Period”) to complete the initial Business Combination.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w:t>
      </w:r>
    </w:p>
    <w:p>
      <w:pPr>
        <w:spacing w:after="0" w:line="5" w:lineRule="exact"/>
        <w:rPr>
          <w:sz w:val="20"/>
          <w:szCs w:val="20"/>
          <w:color w:val="auto"/>
        </w:rPr>
      </w:pPr>
    </w:p>
    <w:p>
      <w:pPr>
        <w:jc w:val="both"/>
        <w:ind w:firstLine="8"/>
        <w:spacing w:after="0" w:line="255" w:lineRule="auto"/>
        <w:tabs>
          <w:tab w:leader="none" w:pos="32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amended and restated certificate of incorporation (A) to modify the substance or timing of the Company’s obligation to allow redemption in connection</w:t>
      </w:r>
    </w:p>
    <w:p>
      <w:pPr>
        <w:sectPr>
          <w:pgSz w:w="11900" w:h="16838" w:orient="portrait"/>
          <w:cols w:equalWidth="0" w:num="1">
            <w:col w:w="9920"/>
          </w:cols>
          <w:pgMar w:left="980" w:top="607"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07"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pre-initial Business Combination activity and (iii) 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IPO (including in open market and privately-negotiated transactions) in favor of the initial Business Combination.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IPO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the Company had $927,449 in its operating bank accounts, $291,842,784 in investments held in the Trust Account to be used for a Business Combination or to repurchase or redeem its Public Shares in connection therewith and working capital of $959,828. As of March 31, 2022, $29,385 of the amount on deposit in the Trust Account represented interest income.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IPO, our liquidity needs up had been satisfied through a payment from our sponsor of $25,000 for the Founder Shares to cover certain offering costs and the loan under an unsecured promissory note from the Sponsor of $144,746. The Company's sponsor has agreed to provide financial support including Working Capital Loans up to $1,500,000 to enable the Company to continue its operations and meet its potential obligations over a period of one year from the issuance of these financial statements. As of March 31, 2022, there were no amounts outstanding under any Working Capital Loans.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foregoing, management believes that the Company has sufficient working capital, as well as, borrowing capacity and support from its Sponsor to meet its needs over a period of one year from the issuance of these financial statements.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results of operations and ability to complete an initial business combination may be adversely affected by various factors that could cause economic uncertainty and volatility in the financial markets, many of which are beyond the Company’s control. The Company’s business could be impacted by, among other things, downturns in the financial markets or in economic conditions, increases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07"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oil prices, inflation, increases in interest rates, supply chain disruptions, declines in consumer confidence and spending, the ongoing effects of the COVID-19 pandemic, including reassurance and the emergence of new variants, and geopolitical instability, such as the military conflict in the Ukraine. The Company cannot at this time fully predict the likelihood of one or more of the above events, their duration or magnitude or the extent to which they may negatively impact our business and the Company’s ability to complete an initial business combination.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(“U.S. GAAP”) for financial information and pursuant to the rules and regulations of the Securities and Exchange Commission (“SEC”). Accordingly, they do not include all of the information and footnotes required by U.S. GAAP. In the opinion of management, the unaudited condensed financial statements reflect all adjustments, which include only normal recurring adjustments necessary for the fair statement of the balances and results for the periods presented. The interim results for the three months ended March 31, 2022 are not necessarily indicative of the results to be expected for the year ending December 31, 2022 or for any future interim periods.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audited financial statements and notes thereto included in the Company’s Annual Report on Form 10-K as of and for the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07"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this financial statement in conformity with U.S. GAAP requires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these financial statements, which management considered in formulating its estimate, could change in the near term due to one or more future confirming events. One of the more significant accounting estimates included in these financial statements is the determination of the fair value of the representative shares. Such estimates may be subject to change as more current information becomes available and, accordingly, the actual results could differ significantly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As of March 31, 2022 and December 31, 2021, the Company had $927,449 and $1,539,548 in cash, respectively, and no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Held in Trust Account</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At March 31, 2022 and December 31, 2021, the Company had $291,842,784 and $291,813,399 in investments held in the Trust Account, which primarily consist of investments in mutual funds that invest in U.S. government securities, cash,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 accompanying statement of operations. The estimated fair values of investments held in the Trust Account are determined using available market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820, “Fair Value Measurements and Disclosures,” approximates the carrying amounts represented in the balance sheet, primarily due to its short-term nature.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8" w:lineRule="exact"/>
        <w:rPr>
          <w:sz w:val="20"/>
          <w:szCs w:val="20"/>
          <w:color w:val="auto"/>
        </w:rPr>
      </w:pPr>
    </w:p>
    <w:p>
      <w:pPr>
        <w:ind w:firstLine="8"/>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1—Assets and liabilities with unadjusted, quoted prices listed on active market exchanges. Inputs to the fair value measurement are observable inputs, such as quoted prices in active markets for identical assets or liabilities.</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07"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firstLine="8"/>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fair value measurement are unobservable inputs, such as estimates, assumptions, and valuation techniques when little or no market data exists for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to be outside of the Company’s control and subject to the occurrence of uncertain future events. Accordingly, as of March 31, 2022, 28,750,000 Class A common stock subject to possible redemption are presented at redemption value as temporary equity, outside of the stockholders’ equity section of the Company’s balance sheet.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SEC Staff Accounting bulletin Topic 5A – “Expenses of Offering”, and SEC Staff Accounting bulletin Topic 5T – “Accounting for Expenses or Liabilities Paid by Principal Stockholder(s)”. Offering costs consist principally of professional and registration fees incurred through the balance sheet date that are related to the IPO. Offering costs directly attributable to the issuance of an equity contract to be classified in equity are recorded as a reduction of equity. Offering costs for equity contracts that are classified as assets and liabilities are expensed immediately. The Company incurred offering costs amounting to $16,919,619 as a result of the IPO (consisting of $2,875,000 of underwriting fees, $10,062,500 of deferred underwriting fees, $3,456,652 fair value of the Class A common stock issued to the underwriters and $525,467 of other offering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Common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two classes of shares, which are referred to as Class A common stock and Class B common stock. Earnings and losses are shared pro rata between the two classes of shares. The 29,648,250 potential common stocks for outstanding warrants to purchase the Company’s shares were excluded from diluted earnings per share for the three months ended March 31, 2022 because the warrants are contingently exercisable, and the contingencies have not yet been met and its inclusion would be anti- dilutive. As a result, diluted net loss per common stock is the same as basic net loss per common stock for the periods. The table below presents a reconciliation of the numerator and denominator used to compute basic and diluted net loss per share for each class of common stock: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07"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00" w:type="dxa"/>
            <w:vAlign w:val="bottom"/>
            <w:gridSpan w:val="7"/>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For the three-month period ended</w:t>
            </w:r>
          </w:p>
        </w:tc>
      </w:tr>
      <w:tr>
        <w:trPr>
          <w:trHeight w:val="173"/>
        </w:trPr>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r>
      <w:tr>
        <w:trPr>
          <w:trHeight w:val="117"/>
        </w:trPr>
        <w:tc>
          <w:tcPr>
            <w:tcW w:w="4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160" w:type="dxa"/>
            <w:vAlign w:val="bottom"/>
          </w:tcPr>
          <w:p>
            <w:pPr>
              <w:spacing w:after="0"/>
              <w:rPr>
                <w:sz w:val="10"/>
                <w:szCs w:val="10"/>
                <w:color w:val="auto"/>
              </w:rPr>
            </w:pPr>
          </w:p>
        </w:tc>
        <w:tc>
          <w:tcPr>
            <w:tcW w:w="10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140" w:type="dxa"/>
            <w:vAlign w:val="bottom"/>
          </w:tcPr>
          <w:p>
            <w:pPr>
              <w:spacing w:after="0"/>
              <w:rPr>
                <w:sz w:val="10"/>
                <w:szCs w:val="10"/>
                <w:color w:val="auto"/>
              </w:rPr>
            </w:pPr>
          </w:p>
        </w:tc>
        <w:tc>
          <w:tcPr>
            <w:tcW w:w="10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r>
      <w:tr>
        <w:trPr>
          <w:trHeight w:val="173"/>
        </w:trPr>
        <w:tc>
          <w:tcPr>
            <w:tcW w:w="43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20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Allocation of net loss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(72,061)</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(23,780)</w:t>
            </w: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8"/>
        </w:trPr>
        <w:tc>
          <w:tcPr>
            <w:tcW w:w="43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Weighted-average shares outstanding including common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subject to redemption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431,250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9,487,500</w:t>
            </w:r>
          </w:p>
        </w:tc>
      </w:tr>
      <w:tr>
        <w:trPr>
          <w:trHeight w:val="216"/>
        </w:trPr>
        <w:tc>
          <w:tcPr>
            <w:tcW w:w="4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FASB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December 31, 2021. The Company is currently not aware of any issues under review that could result in significant payments, accruals or material deviation from its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income tax examinations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a cash account in a financial institution which, at times may exceed the Federal depository insurance coverage of $250,000. At March 31, 2022, the Company had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The ASU also removes certain settlement conditions that 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07"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required for equity-linked contracts to qualify for the derivative scope exception, and it simplifies the diluted earnings per share calculation in certain areas. The Company is currently evaluating the impact of the ASU on its financial position, results of operations or cash flows.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other recently issued, but not yet effective, accounting standards if currently adopted would have a material effect on the accompanying unaudited condensed financial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15, 2021, the Company consummated its IPO of 28,750,000 Units, including the issuance of 3,750,000 Units as a result of the underwriters’ full exercise of the over-allotment, at a purchase price of $10.00 per Unit. Each Unit that the Company is offering has a price of $10.00 and consists of one share of Class A common stock and one redeemable warrant. Each whole warrant will entitle the holder to purchase one Class A common stock at a price of $11.50 per share, subject to adjustment.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of the 28,750,000 shares of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common stock was issued with other freestanding instruments (i.e., public warrants), the initial carrying value of common stock classified as temporary equity is the allocated proceeds based on the guidance in ASC 470-20.</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and adjusts the carrying value of redeemable common stock to equal the redemption value at the end of each reporting period. Immediately upon the closing of the IPO, the Company recognized the accretion from initial book value to redemption amount value. The change in the carrying value of redeemable common stock resulted in charges against additional paid-in capital and accumulated deficit.</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the common stock subject to redemption reflected on the balance sheet are reconciled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287,500,000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Overfunding From Private Placements</w:t>
            </w:r>
          </w:p>
        </w:tc>
        <w:tc>
          <w:tcPr>
            <w:tcW w:w="7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4,312,500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7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(18,781,216)</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issuance costs</w:t>
            </w: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(15,701,564)</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34,482,780</w:t>
            </w:r>
          </w:p>
        </w:tc>
        <w:tc>
          <w:tcPr>
            <w:tcW w:w="980" w:type="dxa"/>
            <w:vAlign w:val="bottom"/>
          </w:tcPr>
          <w:p>
            <w:pPr>
              <w:spacing w:after="0"/>
              <w:rPr>
                <w:sz w:val="18"/>
                <w:szCs w:val="18"/>
                <w:color w:val="auto"/>
              </w:rPr>
            </w:pPr>
          </w:p>
        </w:tc>
      </w:tr>
      <w:tr>
        <w:trPr>
          <w:trHeight w:val="238"/>
        </w:trPr>
        <w:tc>
          <w:tcPr>
            <w:tcW w:w="100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March 31, 2022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291,812,500</w:t>
            </w:r>
          </w:p>
        </w:tc>
        <w:tc>
          <w:tcPr>
            <w:tcW w:w="980" w:type="dxa"/>
            <w:vAlign w:val="bottom"/>
          </w:tcPr>
          <w:p>
            <w:pPr>
              <w:spacing w:after="0"/>
              <w:rPr>
                <w:sz w:val="20"/>
                <w:szCs w:val="20"/>
                <w:color w:val="auto"/>
              </w:rPr>
            </w:pPr>
          </w:p>
        </w:tc>
      </w:tr>
      <w:tr>
        <w:trPr>
          <w:trHeight w:val="855"/>
        </w:trPr>
        <w:tc>
          <w:tcPr>
            <w:tcW w:w="7140" w:type="dxa"/>
            <w:vAlign w:val="bottom"/>
            <w:gridSpan w:val="2"/>
          </w:tcPr>
          <w:p>
            <w:pPr>
              <w:jc w:val="right"/>
              <w:ind w:right="1990"/>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1"/>
        </w:trPr>
        <w:tc>
          <w:tcPr>
            <w:tcW w:w="10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07"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4-Private Placement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IPO, the Company’s Sponsor purchased an aggregate of 898,250 Private Placement Units, at a price of $10.00 per unit, or $8,982,500 in the aggregate, in a private placement. A portion of the proceeds from the Private Placement Units was added to the proceeds from the IPO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Placement Units will be worthless.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Private Placement Unit will consist of one share of Class A common stock and one redeemable warrant. Each private warrant entitles the holder to purchase one share of Common Stock at a purchase price of $11.50 per share.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Units until 30 days after the completion of the initial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21,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of which 1,237,500 shares were subject to forfeiture to the extent that the underwriter’s over-allotment option is not exercised. On December 15, 2021, the underwriters fully exercised their over-allotment option, hence, 1,237,500 Founder Shares were no longer subject to forfeiture.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 Any permitted transferees will be subject to the same restrictions and other agreements of the initial stockholders with respect to any founder shares (the “Lock-up”).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Sponsors agreed to loan the Company up to $300,000 to be used for a portion of the expenses of the IPO. These loans are non-interest bearing, unsecured and due on demand. As of March 31, 2022 and December 31, 2021, the Company had total of borrowings of $88,746 and $144,746 under the promissory note, respectively. As of the Initial Public Offering date, December 15, 2021, the Company no longer has the ability to utilize the Promissory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Loans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07"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 At March 31, 2022 and December 31, 2021, no such Working Capital Loans were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Commencing on the effective date of the IPO, the Company will pay an affiliate of the Sponsor $10,000 per month for office space, utilities and secretarial and administrative support. Upon completion of the Company’s initial Business Combination or its liquidation, the Company will cease paying these monthly fees. As of March 31, 2022 and December 31, 2021, the Company accrued $7,097 for the administrative service fees, which are included in due to related party on the accompanying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IPO,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Rule 415 under the Securities Act. The registration rights agreement does not contain liquidated damages or other cash settlement provisions resulting from delays in registering the Company’s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15, 2021, the Company paid a cash underwriting discount of 1.0% per Unit, or $2,875,000, as part of the underwriting fee.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underwriter is entitled to a deferred underwriting discount of 3.5% of the IPO gross proceeds or $10,062,500, as a result of the underwriter’s over-allotment exercised in full upon the completion of the Company’s initial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Representative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15, 2021, the Company issued to the representative or its designees 431,250 of Class A common stock (“Representative Shares”). The aggregate fair value of the Representative shares was $3,456,652, or $8.02 per share and recorded as offering costs.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07"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Company accounted for the Representative Shares as an offering cost of the Initial Public Offering, with a corresponding credit to stockholders’ equity.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 (ii) to waive their rights to liquidating distributions from the Trust Account with respect to such shares if the Company fails to complete its initial Business Combination within 15 months from the closing of the IPO. The representative shares are deemed to be underwriters’ compensation by FINRA pursuant to FINRA Rule 5110. Please see Note 8 for valuation methodology and assumptions used to determine the fair value of the Representative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 par value of $0.0001 per share. As of March 31, 2022 and December 31, 2021, there were no shares of preferred stock issued or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280,000,000 shares of Class A common stock with a par value of $0.0001 per share. Holders of Class A common stock are entitled to one vote for each share. At March 31, 2022, there were 1,329,500 Class A common stock issued or outstanding, excluding 28,750,000 Class A common stock subject to possible redemption.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20,000,000 shares of Class B common stock with a par value of $0.0001 per share. Holders of the Class B common stock are entitled to one vote for each share. On September 24, 2021, the Company issued 862,500 shares of Class B common stock in connection with a 1.1 stock split. As of December 15, 2021, there were 9,487,500 shares of Class B common stock issued and outstanding.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shares of Class B common stock will automatically convert into shares of the Class A common stock at the time of the consummation of the initial Business Combination on a one-for-one basis, subject to adjustment for stock splits, stock dividends, reorganizations, recapitalizations etc. In the case that additional shares of Class A common stock, or equity-linked securities, are issued or deemed issued in excess of the amounts offered in this prospectus and related to the closing of the initial Business Combination, the ratio at which</w:t>
      </w:r>
    </w:p>
    <w:p>
      <w:pPr>
        <w:sectPr>
          <w:pgSz w:w="11900" w:h="16838" w:orient="portrait"/>
          <w:cols w:equalWidth="0" w:num="1">
            <w:col w:w="9920"/>
          </w:cols>
          <w:pgMar w:left="980" w:top="607"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07"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based on the total number of all shares of common stock outstanding upon the completion of the IPO (excluding the shares of Class A common stock to be issued to the representative or its designees upon consummation of this offering, the placement units and securities underlying the placement units and assuming the initial stockholders do not purchase units in this offering)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the Sponsor or its affiliates upon conversion of Working Capital Loans made to the Company). The term “equity-linked securities” refers to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IPO.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07"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is available. If that exemption, or another exemption, is not available, holders will not be able to exercise their warrants on a cashless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warrants become exercisable (the “30-day redemption period”) to each warrant holder;</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179" w:lineRule="exact"/>
        <w:rPr>
          <w:rFonts w:ascii="Times New Roman" w:cs="Times New Roman" w:eastAsia="Times New Roman" w:hAnsi="Times New Roman"/>
          <w:sz w:val="18"/>
          <w:szCs w:val="18"/>
          <w:color w:val="auto"/>
        </w:rPr>
      </w:pPr>
    </w:p>
    <w:p>
      <w:pPr>
        <w:ind w:right="20" w:firstLine="8"/>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Class A common stock underlying such warrants.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07"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were measured at fair value on a recurring basis as of March 31, 2022 and indicates the fair value hierarchy of the valuation techniques the Company utilized to determine such fair value.</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300" w:type="dxa"/>
            <w:vAlign w:val="bottom"/>
            <w:gridSpan w:val="3"/>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25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Cash and Marketable Securities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$ 291,842,784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$ 291,842,784</w:t>
            </w:r>
          </w:p>
        </w:tc>
        <w:tc>
          <w:tcPr>
            <w:tcW w:w="3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25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$ 291,842,784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$ 291,842,784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Representative Shares were valued with a Probability Weighted Expected Return Model (“PWERM”) which is considered to be a Level 3 fair value measurement. The PWERM factors in the stock price, the timing of the business combination, and the timing of the lapse of the transfer restrictions. The fair value was the discounted cash flow from the sale of the securities at the time the restrictions terminated. The expected return was the probability weighted and discounted for lack of marketability.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inputs used in the PWERM for the representative shares valuation as of March 31, 2022 were as follows: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80" w:type="dxa"/>
            <w:vAlign w:val="bottom"/>
          </w:tcPr>
          <w:p>
            <w:pPr>
              <w:spacing w:after="0"/>
              <w:rPr>
                <w:sz w:val="13"/>
                <w:szCs w:val="13"/>
                <w:color w:val="auto"/>
              </w:rPr>
            </w:pPr>
          </w:p>
        </w:tc>
        <w:tc>
          <w:tcPr>
            <w:tcW w:w="11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15,</w:t>
            </w:r>
          </w:p>
        </w:tc>
        <w:tc>
          <w:tcPr>
            <w:tcW w:w="0" w:type="dxa"/>
            <w:vAlign w:val="bottom"/>
          </w:tcPr>
          <w:p>
            <w:pPr>
              <w:spacing w:after="0"/>
              <w:rPr>
                <w:sz w:val="1"/>
                <w:szCs w:val="1"/>
                <w:color w:val="auto"/>
              </w:rPr>
            </w:pPr>
          </w:p>
        </w:tc>
      </w:tr>
      <w:tr>
        <w:trPr>
          <w:trHeight w:val="173"/>
        </w:trPr>
        <w:tc>
          <w:tcPr>
            <w:tcW w:w="66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Likelihood of business combination</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0.57 %</w:t>
            </w:r>
          </w:p>
        </w:tc>
        <w:tc>
          <w:tcPr>
            <w:tcW w:w="0" w:type="dxa"/>
            <w:vAlign w:val="bottom"/>
          </w:tcPr>
          <w:p>
            <w:pPr>
              <w:spacing w:after="0"/>
              <w:rPr>
                <w:sz w:val="1"/>
                <w:szCs w:val="1"/>
                <w:color w:val="auto"/>
              </w:rPr>
            </w:pP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condensed financial statement was issued. Based on the Company’s review, the Company did not identify any subsequent events that would have required adjustment or disclosure in the condensed financial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07"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12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References in this report (this “Quarterly Report”) to “we,” “us” or the “Company” refer to BurTech Acquisition Corp. References to our “management” or our “management team” refer to our officers and directors, and references to the “Sponsor” refer to BurTech LP, LLC The following discussion and analysis of the Company’s financial condition and results of operations should be read in conjunction with the unaudited condensed financial statements and the notes thereto contained elsewhere in this Quarterly Report. Certain information contained in the discussion and analysis set forth below includes forward-looking statements that involve risks and uncertainties.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includes “forward-looking statements”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final prospectus for its Initial Public Offering (as defined below) filed with the U.S. Securities and Exchange Commission (the “SEC”). The Company’s filings with the SEC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blank check company incorporated in Delaware on March 2, 2021, for the purpose of effecting a merger, capital stock exchange, asset acquisition, stock purchase, reorganization or similar business combination with one or more businesses. We are an emerging growth company and, as such, we are subject to all of the risks associated with emerging growth companies.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15, 2021, we completed the IPO of 28,750,000 units, including 3,750,000 units from the full exercise of the overallotment option by the underwriters, at $10.00 per unit (the “Units”). Each Unit consists of one Class A common stock and one redeemable warrant (the “Public Warrants”). Each whole warrant entitles the holder to purchase one Class A common stock at a price of $11.50 per share. Simultaneously with the consummation of the IPO, we consummated the private placement of 898,250 units (the “Private Placement Units”) to our sponsor, including 93,750 units from the full exercise of the overallotment option by the underwriters, at a price of $10.00 per units, generate an aggregate of $8,982,500 proceeds.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have only 15 months from the closing of the IPO (the “Combination Period”) to complete the initial Business Combination. If we are unable to complete the initial business combination within the Combination Period (and the stockholders have not approved an amendment to our charter extending this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There will be no redemption rights or liquidating distributions with respect to the warrants, which will expire worthless if we fail to complete the initial business combination within the Combination Period.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07"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entire activity since inception up to March 31, 2022 was in preparation for our initial public offering. We will not generate any operating revenues until the closing and completion of our initial business combination, at the earliest.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we had a net loss of $96,922, which consisted of $126,308 in formation and operating costs offset by $27 in interest income from the operating bank account and interest income of $29,386 from marketable securities held in our Trust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the Company had approximately $927,449 and $1,539,548 in its operating bank account, respectively, and working capital of approximately $959,828 and $1,166,024,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IPO, our liquidity needs up had been satisfied through a payment from our sponsor of $25,000 for the Founder Shares to cover certain offering costs and the loan under an unsecured promissory note from the Sponsor of $144,746. The Company's sponsor has agreed to provide financial support including Working Capital Loans up to $1,500,000 to enable the Company to continue its operations and meet its potential obligations over a period of one year from the issuance of these financial statements. As of March 31, 2022, there were no amounts outstanding under any Working Capital Loans.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Transaction costs associated with our IPO totaled $16,919,619, consisting of $2,875,000 of underwriting fees, $10,062,500 of deferred underwriting fees, $3,456,652 fair value of the Class A common stock issued to the underwriters and $525,467 of other offering costs.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Sponsors agreed to loan the Company up to $300,000 to be used for a portion of the expenses of the IPO. These loans are non-interest bearing, unsecured and due on demand. As of March 31, 2022 and December 31, 2021, the Company had total of borrowings of $88,746 and $144,746 under the promissory note, respectively. As of the Initial Public Offering date, December 15, 2021, the Company no longer has the ability to utilize the Promissory note.</w:t>
      </w:r>
    </w:p>
    <w:p>
      <w:pPr>
        <w:spacing w:after="0" w:line="1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intend to use substantially all of the funds held in the Trust Account, including any amounts representing interest earned on the Trust Account (less income taxes payable), to complete our Business Combination. To the extent that our capital stock or debt is used, in whole or in part, as consideration to complete our Business Combination, the remaining proceeds held in the Trust Account will be used as working capital to finance the operations of the target business or businesses, make other acquisitions and pursue our growth strategies.</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foregoing, management believes that the Company has sufficient working capital, borrowing capacity and support from its Sponsor to meet its needs over a period of one year from the issuance of these financial statements.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unaudited condensed financial statements in conformity with U.S. GAAP requires management to make estimates and assumptions that affect the reported amounts of assets and liabilities and disclosure of contingent assets and liabilities at the date of the unaudited condensed financial statements and the reported amounts of expenses during the reporting period. Actual results could differ from those estimates. We have identified the following as our critical accounting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account for our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our control) are classified as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07"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temporary equity. At all other times, common stock is classified as stockholders’ equity. Our Class A common stock feature certain redemption rights that are considered to be outside of our control and subject to the occurrence of uncertain future events. Accordingly, as of March 31, 2022, 28,750,000 Class A common stock subject to possible redemption are presented at redemption value as temporary equity, outside of the stockholders’ equity section of our balance sheet.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two classes of shares, which are referred to as Class A common stock and Class B common stock. Earnings and losses are shared pro rata between the two classes of shares. The 29,648,250 potential common stocks for outstanding warrants to purchase our shares were excluded from diluted earnings per share for the three months ended March 31, 2022 because the warrants are contingently exercisable, and the contingencies have not yet been met and its inclusion would be anti-dilutive. As a result, diluted net loss per common stock is the same as basic net loss per common stock for the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Financing Arrangements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as of March 31, 2022 and December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any long-term debt, capital lease obligations, operating lease obligations or long-term liabilities, other than an agreement to pay an affiliate of our financial advisor a monthly fee of $10,000 for office space, utilities and administrative support. Upon completion of our Business Combination or the Company’s liquidation, we will cease paying these monthly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The ASU also removes certain settlement conditions that are required for equity-linked contracts to qualify for the derivative scope exception, and it simplifies the diluted earnings per share calculation in certain areas. We are currently evaluating the impact of the ASU on its financial position, results of operations or cash flows.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management does not believe that any other recently issued, but not yet effective, accounting standards if currently adopted would have a material effect on the accompanying financial statement.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make disclosures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Securities Exchange Act of 1934, as amended (the “Exchange Act”) is recorded, processed, summarized and reported within the time periods specified in the SEC’s rules and forms. Disclosure controls and procedures include,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07"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without limitation, controls and procedures designed to ensure that information required to be disclosed in our reports filed or submitted under the Exchange Act is accumulated and communicated to our management, including our principal executive officer and principal financial officer, to allow timely decisions regarding required disclosure.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our disclosure controls and procedures as of the end of the fiscal quarter ended March 31, 2022, as such term is defined in Rules 13a-15(e) and 15d-15(e) under the Exchange Act. Based on this evaluation, our principal executive officer and principal financial officer has concluded that during the period covered by this report, our disclosure controls and procedures were effective.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07"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60" w:type="dxa"/>
            <w:vAlign w:val="bottom"/>
          </w:tcPr>
          <w:p>
            <w:pPr>
              <w:spacing w:after="0"/>
              <w:rPr>
                <w:sz w:val="15"/>
                <w:szCs w:val="15"/>
                <w:color w:val="auto"/>
              </w:rPr>
            </w:pPr>
          </w:p>
        </w:tc>
        <w:tc>
          <w:tcPr>
            <w:tcW w:w="8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2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42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Securities Exchange Act Rules 13a-14(a) and 15(d)-14(a), as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20" w:type="dxa"/>
            <w:vAlign w:val="bottom"/>
            <w:tcBorders>
              <w:top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60" w:type="dxa"/>
            <w:vAlign w:val="bottom"/>
            <w:tcBorders>
              <w:top w:val="single" w:sz="8" w:color="0000EE"/>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2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15"/>
                <w:szCs w:val="15"/>
                <w:color w:val="auto"/>
              </w:rPr>
            </w:pPr>
          </w:p>
        </w:tc>
        <w:tc>
          <w:tcPr>
            <w:tcW w:w="844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Securities Exchange Act Rules 13a-14(a) and 15(d)-14(a), as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60" w:type="dxa"/>
            <w:vAlign w:val="bottom"/>
            <w:tcBorders>
              <w:top w:val="single" w:sz="8" w:color="0000EE"/>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bottom w:val="single" w:sz="8" w:color="CCEEFF"/>
            </w:tcBorders>
            <w:shd w:val="clear" w:color="auto" w:fill="CCEEFF"/>
          </w:tcPr>
          <w:p>
            <w:pPr>
              <w:spacing w:after="0"/>
              <w:rPr>
                <w:sz w:val="15"/>
                <w:szCs w:val="15"/>
                <w:color w:val="auto"/>
              </w:rPr>
            </w:pPr>
          </w:p>
        </w:tc>
        <w:tc>
          <w:tcPr>
            <w:tcW w:w="84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and Principal Financial Officer Pursuant to 18 U.S.C. Section 1350, as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4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101.INS</w:t>
            </w:r>
          </w:p>
        </w:tc>
        <w:tc>
          <w:tcPr>
            <w:tcW w:w="260" w:type="dxa"/>
            <w:vAlign w:val="bottom"/>
            <w:tcBorders>
              <w:top w:val="single" w:sz="8" w:color="CCEEFF"/>
            </w:tcBorders>
          </w:tcPr>
          <w:p>
            <w:pPr>
              <w:spacing w:after="0"/>
              <w:rPr>
                <w:sz w:val="18"/>
                <w:szCs w:val="18"/>
                <w:color w:val="auto"/>
              </w:rPr>
            </w:pPr>
          </w:p>
        </w:tc>
        <w:tc>
          <w:tcPr>
            <w:tcW w:w="48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56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260" w:type="dxa"/>
            <w:vAlign w:val="bottom"/>
            <w:shd w:val="clear" w:color="auto" w:fill="CCEEFF"/>
          </w:tcPr>
          <w:p>
            <w:pPr>
              <w:spacing w:after="0"/>
              <w:rPr>
                <w:sz w:val="18"/>
                <w:szCs w:val="18"/>
                <w:color w:val="auto"/>
              </w:rPr>
            </w:pPr>
          </w:p>
        </w:tc>
        <w:tc>
          <w:tcPr>
            <w:tcW w:w="8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60" w:type="dxa"/>
            <w:vAlign w:val="bottom"/>
          </w:tcPr>
          <w:p>
            <w:pPr>
              <w:spacing w:after="0"/>
              <w:rPr>
                <w:sz w:val="18"/>
                <w:szCs w:val="18"/>
                <w:color w:val="auto"/>
              </w:rPr>
            </w:pPr>
          </w:p>
        </w:tc>
        <w:tc>
          <w:tcPr>
            <w:tcW w:w="8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260" w:type="dxa"/>
            <w:vAlign w:val="bottom"/>
            <w:shd w:val="clear" w:color="auto" w:fill="CCEEFF"/>
          </w:tcPr>
          <w:p>
            <w:pPr>
              <w:spacing w:after="0"/>
              <w:rPr>
                <w:sz w:val="18"/>
                <w:szCs w:val="18"/>
                <w:color w:val="auto"/>
              </w:rPr>
            </w:pPr>
          </w:p>
        </w:tc>
        <w:tc>
          <w:tcPr>
            <w:tcW w:w="8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60" w:type="dxa"/>
            <w:vAlign w:val="bottom"/>
          </w:tcPr>
          <w:p>
            <w:pPr>
              <w:spacing w:after="0"/>
              <w:rPr>
                <w:sz w:val="18"/>
                <w:szCs w:val="18"/>
                <w:color w:val="auto"/>
              </w:rPr>
            </w:pPr>
          </w:p>
        </w:tc>
        <w:tc>
          <w:tcPr>
            <w:tcW w:w="8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260" w:type="dxa"/>
            <w:vAlign w:val="bottom"/>
            <w:shd w:val="clear" w:color="auto" w:fill="CCEEFF"/>
          </w:tcPr>
          <w:p>
            <w:pPr>
              <w:spacing w:after="0"/>
              <w:rPr>
                <w:sz w:val="18"/>
                <w:szCs w:val="18"/>
                <w:color w:val="auto"/>
              </w:rPr>
            </w:pPr>
          </w:p>
        </w:tc>
        <w:tc>
          <w:tcPr>
            <w:tcW w:w="8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0"/>
                <w:szCs w:val="20"/>
                <w:color w:val="auto"/>
              </w:rPr>
            </w:pPr>
          </w:p>
        </w:tc>
        <w:tc>
          <w:tcPr>
            <w:tcW w:w="8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59"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both"/>
        <w:ind w:left="340" w:right="20" w:hanging="332"/>
        <w:spacing w:after="0" w:line="253"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07"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672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BurTech Acquisition Corp.</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May 16, 2022</w:t>
            </w:r>
          </w:p>
        </w:tc>
        <w:tc>
          <w:tcPr>
            <w:tcW w:w="672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By:/s/ Shahal Khan</w:t>
            </w:r>
          </w:p>
        </w:tc>
      </w:tr>
      <w:tr>
        <w:trPr>
          <w:trHeight w:val="189"/>
        </w:trPr>
        <w:tc>
          <w:tcPr>
            <w:tcW w:w="3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7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Shahal Khan</w:t>
            </w:r>
          </w:p>
        </w:tc>
      </w:tr>
      <w:tr>
        <w:trPr>
          <w:trHeight w:val="236"/>
        </w:trPr>
        <w:tc>
          <w:tcPr>
            <w:tcW w:w="3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May 16, 2022</w:t>
            </w:r>
          </w:p>
        </w:tc>
        <w:tc>
          <w:tcPr>
            <w:tcW w:w="672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By:/s/ Roman Livson</w:t>
            </w:r>
          </w:p>
        </w:tc>
      </w:tr>
      <w:tr>
        <w:trPr>
          <w:trHeight w:val="191"/>
        </w:trPr>
        <w:tc>
          <w:tcPr>
            <w:tcW w:w="3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Roman Livson</w:t>
            </w:r>
          </w:p>
        </w:tc>
      </w:tr>
      <w:tr>
        <w:trPr>
          <w:trHeight w:val="214"/>
        </w:trPr>
        <w:tc>
          <w:tcPr>
            <w:tcW w:w="3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r>
        <w:trPr>
          <w:trHeight w:val="236"/>
        </w:trPr>
        <w:tc>
          <w:tcPr>
            <w:tcW w:w="3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07" w:right="99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Shahal Khan, certify that:</w:t>
      </w:r>
    </w:p>
    <w:p>
      <w:pPr>
        <w:spacing w:after="0" w:line="225"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2022 of BurTech Acquisition Corp.;</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5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8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18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 w:hanging="4"/>
        <w:spacing w:after="0" w:line="282" w:lineRule="auto"/>
        <w:tabs>
          <w:tab w:leader="none" w:pos="8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5715</wp:posOffset>
            </wp:positionV>
            <wp:extent cx="29743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8"/>
          <w:szCs w:val="18"/>
          <w:color w:val="auto"/>
        </w:rPr>
        <w:t>Shahal Khan</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Roman Livson,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2022 of BurTech Acquisition Corp.;</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5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8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1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 w:hanging="4"/>
        <w:spacing w:after="0" w:line="282" w:lineRule="auto"/>
        <w:tabs>
          <w:tab w:leader="none" w:pos="8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5715</wp:posOffset>
            </wp:positionV>
            <wp:extent cx="29317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ind w:left="5300"/>
        <w:spacing w:after="0"/>
        <w:rPr>
          <w:sz w:val="20"/>
          <w:szCs w:val="20"/>
          <w:color w:val="auto"/>
        </w:rPr>
      </w:pPr>
      <w:r>
        <w:rPr>
          <w:rFonts w:ascii="Times New Roman" w:cs="Times New Roman" w:eastAsia="Times New Roman" w:hAnsi="Times New Roman"/>
          <w:sz w:val="18"/>
          <w:szCs w:val="18"/>
          <w:color w:val="auto"/>
        </w:rPr>
        <w:t>Roman Livson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BurTech Acquisition Corp. (the “Company”) on Form 10-Q for the quarterly period ended March 31, 2022, as filed with the Securities and Exchange Commission (the “Report”), each of the undersigned, in the capacities and on the dates indicated below, certify, pursuant to 18 U.S.C. §1350, as added by §906 of the Sarbanes-Oxley Act of 2002, that:</w:t>
      </w:r>
    </w:p>
    <w:p>
      <w:pPr>
        <w:spacing w:after="0" w:line="176" w:lineRule="exact"/>
        <w:rPr>
          <w:sz w:val="20"/>
          <w:szCs w:val="20"/>
          <w:color w:val="auto"/>
        </w:rPr>
      </w:pPr>
    </w:p>
    <w:p>
      <w:pPr>
        <w:ind w:left="840" w:hanging="184"/>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84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5715</wp:posOffset>
            </wp:positionV>
            <wp:extent cx="29317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ind w:left="5300"/>
        <w:spacing w:after="0"/>
        <w:rPr>
          <w:sz w:val="20"/>
          <w:szCs w:val="20"/>
          <w:color w:val="auto"/>
        </w:rPr>
      </w:pPr>
      <w:r>
        <w:rPr>
          <w:rFonts w:ascii="Times New Roman" w:cs="Times New Roman" w:eastAsia="Times New Roman" w:hAnsi="Times New Roman"/>
          <w:sz w:val="18"/>
          <w:szCs w:val="18"/>
          <w:color w:val="auto"/>
        </w:rPr>
        <w:t>Shahal Khan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5715</wp:posOffset>
            </wp:positionV>
            <wp:extent cx="29317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ind w:left="5300"/>
        <w:spacing w:after="0"/>
        <w:rPr>
          <w:sz w:val="20"/>
          <w:szCs w:val="20"/>
          <w:color w:val="auto"/>
        </w:rPr>
      </w:pPr>
      <w:r>
        <w:rPr>
          <w:rFonts w:ascii="Times New Roman" w:cs="Times New Roman" w:eastAsia="Times New Roman" w:hAnsi="Times New Roman"/>
          <w:sz w:val="18"/>
          <w:szCs w:val="18"/>
          <w:color w:val="auto"/>
        </w:rPr>
        <w:t>Roman Livson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i w:val="1"/>
          <w:iCs w:val="1"/>
          <w:color w:val="auto"/>
        </w:rPr>
        <w:t>Chief Financial Officer and Secretary</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Roman"/>
      <w:start w:val="3"/>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2022-05-16T13:40:06Z</dcterms:created>
  <dcterms:modified xsi:type="dcterms:W3CDTF">2022-05-16T13:40:06Z</dcterms:modified>
</cp:coreProperties>
</file>