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17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179820"/>
                    </a:xfrm>
                    <a:prstGeom prst="rect">
                      <a:avLst/>
                    </a:prstGeom>
                    <a:noFill/>
                  </pic:spPr>
                </pic:pic>
              </a:graphicData>
            </a:graphic>
          </wp:anchor>
        </w:drawing>
      </w:r>
    </w:p>
    <w:p>
      <w:pPr>
        <w:spacing w:after="0" w:line="1160" w:lineRule="exact"/>
        <w:rPr>
          <w:sz w:val="24"/>
          <w:szCs w:val="24"/>
          <w:color w:val="auto"/>
        </w:rPr>
      </w:pPr>
    </w:p>
    <w:p>
      <w:pPr>
        <w:sectPr>
          <w:pgSz w:w="11900" w:h="16996"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Bess Lane</w:t>
              </w:r>
            </w:hyperlink>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20" w:type="dxa"/>
            <w:vAlign w:val="bottom"/>
          </w:tcPr>
          <w:p>
            <w:pPr>
              <w:spacing w:after="0"/>
              <w:rPr>
                <w:sz w:val="18"/>
                <w:szCs w:val="18"/>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01/13/2025</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996" w:orient="portrait"/>
          <w:cols w:equalWidth="0" w:num="2">
            <w:col w:w="7680" w:space="55"/>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01/13/2025</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7"/>
                <w:szCs w:val="17"/>
                <w:color w:val="0000FF"/>
                <w:w w:val="94"/>
              </w:rPr>
              <w:t>47,341</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4"/>
              </w:rPr>
              <w:t>47,341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Bess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01/13/2025</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11,653,976</w:t>
            </w: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7"/>
                <w:szCs w:val="17"/>
                <w:color w:val="auto"/>
              </w:rPr>
            </w:pPr>
          </w:p>
        </w:tc>
        <w:tc>
          <w:tcPr>
            <w:tcW w:w="118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0000FF"/>
                <w:w w:val="94"/>
              </w:rPr>
              <w:t>11,653,976</w:t>
            </w:r>
          </w:p>
        </w:tc>
        <w:tc>
          <w:tcPr>
            <w:tcW w:w="32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7"/>
              </w:rPr>
              <w:t>and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Advisory,</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Destin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0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01/13/2025</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(4)</w:t>
            </w:r>
          </w:p>
        </w:tc>
        <w:tc>
          <w:tcPr>
            <w:tcW w:w="740" w:type="dxa"/>
            <w:vAlign w:val="bottom"/>
            <w:vMerge w:val="restart"/>
          </w:tcPr>
          <w:p>
            <w:pPr>
              <w:jc w:val="center"/>
              <w:ind w:left="94"/>
              <w:spacing w:after="0"/>
              <w:rPr>
                <w:sz w:val="20"/>
                <w:szCs w:val="20"/>
                <w:color w:val="auto"/>
              </w:rPr>
            </w:pPr>
            <w:r>
              <w:rPr>
                <w:rFonts w:ascii="Times New Roman" w:cs="Times New Roman" w:eastAsia="Times New Roman" w:hAnsi="Times New Roman"/>
                <w:sz w:val="17"/>
                <w:szCs w:val="17"/>
                <w:color w:val="0000FF"/>
                <w:w w:val="97"/>
              </w:rPr>
              <w:t>442,587</w:t>
            </w:r>
          </w:p>
        </w:tc>
        <w:tc>
          <w:tcPr>
            <w:tcW w:w="100" w:type="dxa"/>
            <w:vAlign w:val="bottom"/>
          </w:tcPr>
          <w:p>
            <w:pPr>
              <w:spacing w:after="0"/>
              <w:rPr>
                <w:sz w:val="17"/>
                <w:szCs w:val="17"/>
                <w:color w:val="auto"/>
              </w:rPr>
            </w:pP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7"/>
                <w:szCs w:val="17"/>
                <w:color w:val="auto"/>
              </w:rPr>
            </w:pPr>
          </w:p>
        </w:tc>
        <w:tc>
          <w:tcPr>
            <w:tcW w:w="118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7"/>
                <w:szCs w:val="17"/>
                <w:color w:val="0000FF"/>
                <w:w w:val="94"/>
              </w:rPr>
              <w:t>442,587</w:t>
            </w:r>
          </w:p>
        </w:tc>
        <w:tc>
          <w:tcPr>
            <w:tcW w:w="32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Huang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01/13/2025</w:t>
            </w:r>
          </w:p>
        </w:tc>
        <w:tc>
          <w:tcPr>
            <w:tcW w:w="1080" w:type="dxa"/>
            <w:vAlign w:val="bottom"/>
          </w:tcPr>
          <w:p>
            <w:pPr>
              <w:spacing w:after="0"/>
              <w:rPr>
                <w:sz w:val="21"/>
                <w:szCs w:val="21"/>
                <w:color w:val="auto"/>
              </w:rPr>
            </w:pPr>
          </w:p>
        </w:tc>
        <w:tc>
          <w:tcPr>
            <w:tcW w:w="62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16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185,234</w:t>
            </w:r>
          </w:p>
        </w:tc>
        <w:tc>
          <w:tcPr>
            <w:tcW w:w="26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185,234</w:t>
            </w:r>
          </w:p>
        </w:tc>
        <w:tc>
          <w:tcPr>
            <w:tcW w:w="2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185,234</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21"/>
                <w:szCs w:val="21"/>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01/13/2025</w:t>
            </w:r>
          </w:p>
        </w:tc>
        <w:tc>
          <w:tcPr>
            <w:tcW w:w="1080" w:type="dxa"/>
            <w:vAlign w:val="bottom"/>
          </w:tcPr>
          <w:p>
            <w:pPr>
              <w:spacing w:after="0"/>
              <w:rPr>
                <w:sz w:val="21"/>
                <w:szCs w:val="21"/>
                <w:color w:val="auto"/>
              </w:rPr>
            </w:pPr>
          </w:p>
        </w:tc>
        <w:tc>
          <w:tcPr>
            <w:tcW w:w="620" w:type="dxa"/>
            <w:vAlign w:val="bottom"/>
            <w:gridSpan w:val="2"/>
          </w:tcPr>
          <w:p>
            <w:pPr>
              <w:ind w:left="100"/>
              <w:spacing w:after="0" w:line="24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(6)</w:t>
            </w:r>
          </w:p>
        </w:tc>
        <w:tc>
          <w:tcPr>
            <w:tcW w:w="16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187,379</w:t>
            </w:r>
          </w:p>
        </w:tc>
        <w:tc>
          <w:tcPr>
            <w:tcW w:w="26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10/23/2034</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187,379</w:t>
            </w:r>
          </w:p>
        </w:tc>
        <w:tc>
          <w:tcPr>
            <w:tcW w:w="2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187,379</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ind w:left="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-1910080</wp:posOffset>
            </wp:positionV>
            <wp:extent cx="28575" cy="1915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151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Earn-Out Shares, each of which represents a contingent right to receive one share of Common Stock if the trading price of the Issuer's Common Stock exceeds certain thresholds for 20 of 30 consecutive trading days post-closing of the Issuer's business combination.</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Includes 1,207,193 Earn-Out Shares. Also includes 1,500,000 shares of Common Stock that BurTech LP LLC is obligated to deliver to Bess Ventures and Advisory, LLC pursuant to two promissory notes.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and owner of Bess Ventures and Advisory, LLC and therefore may be deemed to share beneficial ownership over such shares.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Merger Agreement. Includes 52,619 Earn-Out Shares.</w:t>
      </w:r>
    </w:p>
    <w:p>
      <w:pPr>
        <w:spacing w:after="0" w:line="41"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Coral Gables Trust Company, as Trustee of the Destin Huang Irrevocable Trust Dated October 19, 2021 (the "Trust"). The reporting person is the Investment Fiduciary of the Trust and therefore may be deemed to share beneficial ownership over such shares.</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Merger Agreement, pursuant to which securities of Legacy Blaize were automatically converted into the right to receive stock options of the Issuer as set forth in the Merger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December 1, 2025 and thereafter in 24 equal monthly installments.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Harminder Sehmi, Attorney-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82"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96"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859"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2025-01-15T19:56:13Z</dcterms:created>
  <dcterms:modified xsi:type="dcterms:W3CDTF">2025-01-15T19:56:13Z</dcterms:modified>
</cp:coreProperties>
</file>