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44" w:lineRule="exact"/>
        <w:rPr>
          <w:sz w:val="24"/>
          <w:szCs w:val="24"/>
          <w:color w:val="auto"/>
        </w:rPr>
      </w:pPr>
    </w:p>
    <w:p>
      <w:pPr>
        <w:ind w:left="4670"/>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167" w:lineRule="exact"/>
        <w:rPr>
          <w:sz w:val="24"/>
          <w:szCs w:val="24"/>
          <w:color w:val="auto"/>
        </w:rPr>
      </w:pPr>
    </w:p>
    <w:p>
      <w:pPr>
        <w:ind w:left="469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13" w:lineRule="exact"/>
        <w:rPr>
          <w:sz w:val="24"/>
          <w:szCs w:val="24"/>
          <w:color w:val="auto"/>
        </w:rPr>
      </w:pPr>
    </w:p>
    <w:p>
      <w:pPr>
        <w:ind w:left="3350" w:right="2380" w:hanging="3350"/>
        <w:spacing w:after="0" w:line="459" w:lineRule="auto"/>
        <w:tabs>
          <w:tab w:leader="none" w:pos="196"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UNDER SECTION 13 OR 15(d) OF THE SECURITIES EXCHANGE ACT OF 1934 For the quarterly period ended September 30, 2022</w:t>
      </w:r>
    </w:p>
    <w:p>
      <w:pPr>
        <w:spacing w:after="0" w:line="25" w:lineRule="exact"/>
        <w:rPr>
          <w:sz w:val="24"/>
          <w:szCs w:val="24"/>
          <w:color w:val="auto"/>
        </w:rPr>
      </w:pPr>
    </w:p>
    <w:p>
      <w:pPr>
        <w:ind w:left="190" w:hanging="190"/>
        <w:spacing w:after="0"/>
        <w:tabs>
          <w:tab w:leader="none" w:pos="19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74" w:lineRule="exact"/>
        <w:rPr>
          <w:sz w:val="24"/>
          <w:szCs w:val="24"/>
          <w:color w:val="auto"/>
        </w:rPr>
      </w:pPr>
    </w:p>
    <w:tbl>
      <w:tblPr>
        <w:tblLayout w:type="fixed"/>
        <w:tblInd w:w="3290" w:type="dxa"/>
        <w:tblCellMar>
          <w:top w:w="0" w:type="dxa"/>
          <w:left w:w="0" w:type="dxa"/>
          <w:bottom w:w="0" w:type="dxa"/>
          <w:right w:w="0" w:type="dxa"/>
        </w:tblCellMar>
      </w:tblPr>
      <w:tr>
        <w:trPr>
          <w:trHeight w:val="184"/>
        </w:trPr>
        <w:tc>
          <w:tcPr>
            <w:tcW w:w="2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89"/>
              </w:rPr>
              <w:t>to</w:t>
            </w:r>
          </w:p>
        </w:tc>
        <w:tc>
          <w:tcPr>
            <w:tcW w:w="680" w:type="dxa"/>
            <w:vAlign w:val="bottom"/>
            <w:tcBorders>
              <w:bottom w:val="single" w:sz="8" w:color="auto"/>
            </w:tcBorders>
          </w:tcPr>
          <w:p>
            <w:pPr>
              <w:spacing w:after="0"/>
              <w:rPr>
                <w:sz w:val="16"/>
                <w:szCs w:val="16"/>
                <w:color w:val="auto"/>
              </w:rPr>
            </w:pPr>
          </w:p>
        </w:tc>
      </w:tr>
      <w:tr>
        <w:trPr>
          <w:trHeight w:val="379"/>
        </w:trPr>
        <w:tc>
          <w:tcPr>
            <w:tcW w:w="3640" w:type="dxa"/>
            <w:vAlign w:val="bottom"/>
            <w:gridSpan w:val="4"/>
          </w:tcPr>
          <w:p>
            <w:pPr>
              <w:ind w:left="580"/>
              <w:spacing w:after="0"/>
              <w:rPr>
                <w:sz w:val="20"/>
                <w:szCs w:val="20"/>
                <w:color w:val="auto"/>
              </w:rPr>
            </w:pPr>
            <w:r>
              <w:rPr>
                <w:rFonts w:ascii="Times New Roman" w:cs="Times New Roman" w:eastAsia="Times New Roman" w:hAnsi="Times New Roman"/>
                <w:sz w:val="16"/>
                <w:szCs w:val="16"/>
                <w:b w:val="1"/>
                <w:bCs w:val="1"/>
                <w:color w:val="auto"/>
              </w:rPr>
              <w:t>Commission File Number 001-41139</w:t>
            </w:r>
          </w:p>
        </w:tc>
      </w:tr>
    </w:tbl>
    <w:p>
      <w:pPr>
        <w:spacing w:after="0" w:line="13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2"/>
          <w:szCs w:val="22"/>
          <w:b w:val="1"/>
          <w:bCs w:val="1"/>
          <w:color w:val="auto"/>
        </w:rPr>
        <w:t>BURTECH ACQUISITION CORP.</w:t>
      </w:r>
    </w:p>
    <w:p>
      <w:pPr>
        <w:spacing w:after="0" w:line="116"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52"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6960" w:type="dxa"/>
            <w:vAlign w:val="bottom"/>
            <w:gridSpan w:val="3"/>
          </w:tcPr>
          <w:p>
            <w:pPr>
              <w:jc w:val="center"/>
              <w:ind w:right="198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260" w:type="dxa"/>
            <w:vAlign w:val="bottom"/>
          </w:tcPr>
          <w:p>
            <w:pPr>
              <w:jc w:val="center"/>
              <w:ind w:right="1679"/>
              <w:spacing w:after="0"/>
              <w:rPr>
                <w:sz w:val="20"/>
                <w:szCs w:val="20"/>
                <w:color w:val="auto"/>
              </w:rPr>
            </w:pPr>
            <w:r>
              <w:rPr>
                <w:rFonts w:ascii="Times New Roman" w:cs="Times New Roman" w:eastAsia="Times New Roman" w:hAnsi="Times New Roman"/>
                <w:sz w:val="16"/>
                <w:szCs w:val="16"/>
                <w:b w:val="1"/>
                <w:bCs w:val="1"/>
                <w:color w:val="auto"/>
              </w:rPr>
              <w:t>85-2708752</w:t>
            </w:r>
          </w:p>
        </w:tc>
      </w:tr>
      <w:tr>
        <w:trPr>
          <w:trHeight w:val="188"/>
        </w:trPr>
        <w:tc>
          <w:tcPr>
            <w:tcW w:w="5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220" w:type="dxa"/>
            <w:vAlign w:val="bottom"/>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3260" w:type="dxa"/>
            <w:vAlign w:val="bottom"/>
            <w:tcBorders>
              <w:top w:val="single" w:sz="8" w:color="auto"/>
            </w:tcBorders>
          </w:tcPr>
          <w:p>
            <w:pPr>
              <w:jc w:val="center"/>
              <w:ind w:right="167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6960" w:type="dxa"/>
            <w:vAlign w:val="bottom"/>
            <w:gridSpan w:val="3"/>
          </w:tcPr>
          <w:p>
            <w:pPr>
              <w:jc w:val="center"/>
              <w:ind w:right="198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260" w:type="dxa"/>
            <w:vAlign w:val="bottom"/>
          </w:tcPr>
          <w:p>
            <w:pPr>
              <w:jc w:val="center"/>
              <w:ind w:right="171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17"/>
        </w:trPr>
        <w:tc>
          <w:tcPr>
            <w:tcW w:w="6960" w:type="dxa"/>
            <w:vAlign w:val="bottom"/>
            <w:gridSpan w:val="3"/>
          </w:tcPr>
          <w:p>
            <w:pPr>
              <w:jc w:val="center"/>
              <w:ind w:left="3159"/>
              <w:spacing w:after="0"/>
              <w:rPr>
                <w:sz w:val="20"/>
                <w:szCs w:val="20"/>
                <w:color w:val="auto"/>
              </w:rPr>
            </w:pPr>
            <w:r>
              <w:rPr>
                <w:rFonts w:ascii="Times New Roman" w:cs="Times New Roman" w:eastAsia="Times New Roman" w:hAnsi="Times New Roman"/>
                <w:sz w:val="16"/>
                <w:szCs w:val="16"/>
                <w:b w:val="1"/>
                <w:bCs w:val="1"/>
                <w:color w:val="auto"/>
              </w:rPr>
              <w:t>1300 Pennsylvania Ave NW, Suite 700</w:t>
            </w:r>
          </w:p>
        </w:tc>
        <w:tc>
          <w:tcPr>
            <w:tcW w:w="3260" w:type="dxa"/>
            <w:vAlign w:val="bottom"/>
          </w:tcPr>
          <w:p>
            <w:pPr>
              <w:spacing w:after="0"/>
              <w:rPr>
                <w:sz w:val="24"/>
                <w:szCs w:val="24"/>
                <w:color w:val="auto"/>
              </w:rPr>
            </w:pPr>
          </w:p>
        </w:tc>
      </w:tr>
      <w:tr>
        <w:trPr>
          <w:trHeight w:val="242"/>
        </w:trPr>
        <w:tc>
          <w:tcPr>
            <w:tcW w:w="6960" w:type="dxa"/>
            <w:vAlign w:val="bottom"/>
            <w:gridSpan w:val="3"/>
          </w:tcPr>
          <w:p>
            <w:pPr>
              <w:jc w:val="center"/>
              <w:ind w:left="3159"/>
              <w:spacing w:after="0"/>
              <w:rPr>
                <w:sz w:val="20"/>
                <w:szCs w:val="20"/>
                <w:color w:val="auto"/>
              </w:rPr>
            </w:pPr>
            <w:r>
              <w:rPr>
                <w:rFonts w:ascii="Times New Roman" w:cs="Times New Roman" w:eastAsia="Times New Roman" w:hAnsi="Times New Roman"/>
                <w:sz w:val="16"/>
                <w:szCs w:val="16"/>
                <w:b w:val="1"/>
                <w:bCs w:val="1"/>
                <w:color w:val="auto"/>
              </w:rPr>
              <w:t xml:space="preserve">Washington, DC </w:t>
            </w:r>
            <w:r>
              <w:rPr>
                <w:rFonts w:ascii="Times New Roman" w:cs="Times New Roman" w:eastAsia="Times New Roman" w:hAnsi="Times New Roman"/>
                <w:sz w:val="19"/>
                <w:szCs w:val="19"/>
                <w:b w:val="1"/>
                <w:bCs w:val="1"/>
                <w:color w:val="auto"/>
              </w:rPr>
              <w:t>20004</w:t>
            </w:r>
          </w:p>
        </w:tc>
        <w:tc>
          <w:tcPr>
            <w:tcW w:w="3260" w:type="dxa"/>
            <w:vAlign w:val="bottom"/>
          </w:tcPr>
          <w:p>
            <w:pPr>
              <w:spacing w:after="0"/>
              <w:rPr>
                <w:sz w:val="21"/>
                <w:szCs w:val="21"/>
                <w:color w:val="auto"/>
              </w:rPr>
            </w:pPr>
          </w:p>
        </w:tc>
      </w:tr>
      <w:tr>
        <w:trPr>
          <w:trHeight w:val="210"/>
        </w:trPr>
        <w:tc>
          <w:tcPr>
            <w:tcW w:w="6960" w:type="dxa"/>
            <w:vAlign w:val="bottom"/>
            <w:gridSpan w:val="3"/>
          </w:tcPr>
          <w:p>
            <w:pPr>
              <w:jc w:val="center"/>
              <w:ind w:left="3159"/>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tc>
        <w:tc>
          <w:tcPr>
            <w:tcW w:w="3260" w:type="dxa"/>
            <w:vAlign w:val="bottom"/>
          </w:tcPr>
          <w:p>
            <w:pPr>
              <w:spacing w:after="0"/>
              <w:rPr>
                <w:sz w:val="18"/>
                <w:szCs w:val="18"/>
                <w:color w:val="auto"/>
              </w:rPr>
            </w:pPr>
          </w:p>
        </w:tc>
      </w:tr>
      <w:tr>
        <w:trPr>
          <w:trHeight w:val="330"/>
        </w:trPr>
        <w:tc>
          <w:tcPr>
            <w:tcW w:w="6960" w:type="dxa"/>
            <w:vAlign w:val="bottom"/>
            <w:gridSpan w:val="3"/>
          </w:tcPr>
          <w:p>
            <w:pPr>
              <w:jc w:val="center"/>
              <w:ind w:left="3179"/>
              <w:spacing w:after="0"/>
              <w:rPr>
                <w:sz w:val="20"/>
                <w:szCs w:val="20"/>
                <w:color w:val="auto"/>
              </w:rPr>
            </w:pPr>
            <w:r>
              <w:rPr>
                <w:rFonts w:ascii="Times New Roman" w:cs="Times New Roman" w:eastAsia="Times New Roman" w:hAnsi="Times New Roman"/>
                <w:sz w:val="16"/>
                <w:szCs w:val="16"/>
                <w:b w:val="1"/>
                <w:bCs w:val="1"/>
                <w:color w:val="auto"/>
              </w:rPr>
              <w:t>(202) 600-5757</w:t>
            </w:r>
          </w:p>
        </w:tc>
        <w:tc>
          <w:tcPr>
            <w:tcW w:w="3260" w:type="dxa"/>
            <w:vAlign w:val="bottom"/>
          </w:tcPr>
          <w:p>
            <w:pPr>
              <w:spacing w:after="0"/>
              <w:rPr>
                <w:sz w:val="24"/>
                <w:szCs w:val="24"/>
                <w:color w:val="auto"/>
              </w:rPr>
            </w:pPr>
          </w:p>
        </w:tc>
      </w:tr>
      <w:tr>
        <w:trPr>
          <w:trHeight w:val="210"/>
        </w:trPr>
        <w:tc>
          <w:tcPr>
            <w:tcW w:w="6960" w:type="dxa"/>
            <w:vAlign w:val="bottom"/>
            <w:gridSpan w:val="3"/>
          </w:tcPr>
          <w:p>
            <w:pPr>
              <w:jc w:val="center"/>
              <w:ind w:left="315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3260" w:type="dxa"/>
            <w:vAlign w:val="bottom"/>
          </w:tcPr>
          <w:p>
            <w:pPr>
              <w:spacing w:after="0"/>
              <w:rPr>
                <w:sz w:val="18"/>
                <w:szCs w:val="18"/>
                <w:color w:val="auto"/>
              </w:rPr>
            </w:pPr>
          </w:p>
        </w:tc>
      </w:tr>
    </w:tbl>
    <w:p>
      <w:pPr>
        <w:spacing w:after="0" w:line="85"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92"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4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310"/>
        </w:trPr>
        <w:tc>
          <w:tcPr>
            <w:tcW w:w="20" w:type="dxa"/>
            <w:vAlign w:val="bottom"/>
          </w:tcPr>
          <w:p>
            <w:pPr>
              <w:spacing w:after="0"/>
              <w:rPr>
                <w:sz w:val="24"/>
                <w:szCs w:val="24"/>
                <w:color w:val="auto"/>
              </w:rPr>
            </w:pPr>
          </w:p>
        </w:tc>
        <w:tc>
          <w:tcPr>
            <w:tcW w:w="4420" w:type="dxa"/>
            <w:vAlign w:val="bottom"/>
            <w:gridSpan w:val="2"/>
          </w:tcPr>
          <w:p>
            <w:pPr>
              <w:ind w:left="14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88"/>
        </w:trPr>
        <w:tc>
          <w:tcPr>
            <w:tcW w:w="20" w:type="dxa"/>
            <w:vAlign w:val="bottom"/>
          </w:tcPr>
          <w:p>
            <w:pPr>
              <w:spacing w:after="0"/>
              <w:rPr>
                <w:sz w:val="16"/>
                <w:szCs w:val="16"/>
                <w:color w:val="auto"/>
              </w:rPr>
            </w:pPr>
          </w:p>
        </w:tc>
        <w:tc>
          <w:tcPr>
            <w:tcW w:w="4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Units, each consisting of one share of Class A Common Stock</w:t>
            </w:r>
          </w:p>
        </w:tc>
        <w:tc>
          <w:tcPr>
            <w:tcW w:w="280" w:type="dxa"/>
            <w:vAlign w:val="bottom"/>
          </w:tcPr>
          <w:p>
            <w:pPr>
              <w:spacing w:after="0"/>
              <w:rPr>
                <w:sz w:val="16"/>
                <w:szCs w:val="16"/>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BRKHU</w:t>
            </w:r>
          </w:p>
        </w:tc>
        <w:tc>
          <w:tcPr>
            <w:tcW w:w="280" w:type="dxa"/>
            <w:vAlign w:val="bottom"/>
          </w:tcPr>
          <w:p>
            <w:pPr>
              <w:spacing w:after="0"/>
              <w:rPr>
                <w:sz w:val="16"/>
                <w:szCs w:val="16"/>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03"/>
        </w:trPr>
        <w:tc>
          <w:tcPr>
            <w:tcW w:w="4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and one Redeemable Warrant to purchase one share of Class A</w:t>
            </w:r>
          </w:p>
        </w:tc>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0" w:type="dxa"/>
            <w:vAlign w:val="bottom"/>
          </w:tcPr>
          <w:p>
            <w:pPr>
              <w:spacing w:after="0"/>
              <w:rPr>
                <w:sz w:val="17"/>
                <w:szCs w:val="17"/>
                <w:color w:val="auto"/>
              </w:rPr>
            </w:pPr>
          </w:p>
        </w:tc>
      </w:tr>
      <w:tr>
        <w:trPr>
          <w:trHeight w:val="203"/>
        </w:trPr>
        <w:tc>
          <w:tcPr>
            <w:tcW w:w="4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common stock for $11.50 per share</w:t>
            </w:r>
          </w:p>
        </w:tc>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0" w:type="dxa"/>
            <w:vAlign w:val="bottom"/>
          </w:tcPr>
          <w:p>
            <w:pPr>
              <w:spacing w:after="0"/>
              <w:rPr>
                <w:sz w:val="17"/>
                <w:szCs w:val="17"/>
                <w:color w:val="auto"/>
              </w:rPr>
            </w:pPr>
          </w:p>
        </w:tc>
      </w:tr>
      <w:tr>
        <w:trPr>
          <w:trHeight w:val="203"/>
        </w:trPr>
        <w:tc>
          <w:tcPr>
            <w:tcW w:w="4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2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8"/>
              </w:rPr>
              <w:t>BRKH</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03"/>
        </w:trPr>
        <w:tc>
          <w:tcPr>
            <w:tcW w:w="4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Warrants, each exercisable for one share of Class A Common</w:t>
            </w:r>
          </w:p>
        </w:tc>
        <w:tc>
          <w:tcPr>
            <w:tcW w:w="2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BRKHW</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0"/>
        </w:trPr>
        <w:tc>
          <w:tcPr>
            <w:tcW w:w="4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Stock for $11.50 per share</w:t>
            </w: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0" w:type="dxa"/>
            <w:vAlign w:val="bottom"/>
          </w:tcPr>
          <w:p>
            <w:pPr>
              <w:spacing w:after="0"/>
              <w:rPr>
                <w:sz w:val="18"/>
                <w:szCs w:val="18"/>
                <w:color w:val="auto"/>
              </w:rPr>
            </w:pPr>
          </w:p>
        </w:tc>
      </w:tr>
    </w:tbl>
    <w:p>
      <w:pPr>
        <w:spacing w:after="0" w:line="87" w:lineRule="exact"/>
        <w:rPr>
          <w:sz w:val="24"/>
          <w:szCs w:val="24"/>
          <w:color w:val="auto"/>
        </w:rPr>
      </w:pPr>
    </w:p>
    <w:p>
      <w:pPr>
        <w:jc w:val="both"/>
        <w:ind w:left="1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jc w:val="both"/>
        <w:ind w:left="1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(Section 232.405 of this chapter) during the preceding 12 months (or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jc w:val="both"/>
        <w:ind w:left="1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30"/>
          </w:cols>
          <w:pgMar w:left="830" w:top="661" w:right="839" w:bottom="1440" w:gutter="0" w:footer="0" w:header="0"/>
        </w:sectPr>
      </w:pPr>
    </w:p>
    <w:p>
      <w:pPr>
        <w:spacing w:after="0" w:line="30" w:lineRule="exact"/>
        <w:rPr>
          <w:sz w:val="24"/>
          <w:szCs w:val="24"/>
          <w:color w:val="auto"/>
        </w:rPr>
      </w:pPr>
    </w:p>
    <w:p>
      <w:pPr>
        <w:ind w:left="1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63" w:lineRule="exact"/>
        <w:rPr>
          <w:sz w:val="24"/>
          <w:szCs w:val="24"/>
          <w:color w:val="auto"/>
        </w:rPr>
      </w:pPr>
    </w:p>
    <w:p>
      <w:pPr>
        <w:ind w:left="1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6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1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95" w:lineRule="exact"/>
        <w:rPr>
          <w:sz w:val="24"/>
          <w:szCs w:val="24"/>
          <w:color w:val="auto"/>
        </w:rPr>
      </w:pPr>
    </w:p>
    <w:p>
      <w:pPr>
        <w:sectPr>
          <w:pgSz w:w="11900" w:h="16838" w:orient="portrait"/>
          <w:cols w:equalWidth="0" w:num="2">
            <w:col w:w="3910" w:space="720"/>
            <w:col w:w="5600"/>
          </w:cols>
          <w:pgMar w:left="830" w:top="661" w:right="839" w:bottom="1440" w:gutter="0" w:footer="0" w:header="0"/>
          <w:type w:val="continuous"/>
        </w:sectPr>
      </w:pPr>
    </w:p>
    <w:p>
      <w:pPr>
        <w:ind w:left="1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left="1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39" w:lineRule="exact"/>
        <w:rPr>
          <w:sz w:val="24"/>
          <w:szCs w:val="24"/>
          <w:color w:val="auto"/>
        </w:rPr>
      </w:pPr>
    </w:p>
    <w:p>
      <w:pPr>
        <w:ind w:left="10" w:right="20"/>
        <w:spacing w:after="0" w:line="298" w:lineRule="auto"/>
        <w:rPr>
          <w:sz w:val="20"/>
          <w:szCs w:val="20"/>
          <w:color w:val="auto"/>
        </w:rPr>
      </w:pPr>
      <w:r>
        <w:rPr>
          <w:rFonts w:ascii="Times New Roman" w:cs="Times New Roman" w:eastAsia="Times New Roman" w:hAnsi="Times New Roman"/>
          <w:sz w:val="16"/>
          <w:szCs w:val="16"/>
          <w:color w:val="auto"/>
        </w:rPr>
        <w:t>As of November 14, 2022, there were 28,750,000 shares of Class A common stock, par value $0.0001 per share, and 9,487,500 shares of Class B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455930</wp:posOffset>
            </wp:positionV>
            <wp:extent cx="64979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27305</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69850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9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960" w:type="dxa"/>
            <w:vAlign w:val="bottom"/>
            <w:gridSpan w:val="30"/>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0000EE"/>
              </w:rPr>
              <w:t>PART 1 – FINANCIAL INFORMATION</w:t>
            </w: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8120" w:type="dxa"/>
            <w:vAlign w:val="bottom"/>
            <w:gridSpan w:val="27"/>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FINANCIAL STATEMENTS</w:t>
            </w: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120" w:type="dxa"/>
            <w:vAlign w:val="bottom"/>
            <w:gridSpan w:val="27"/>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0000EE"/>
              </w:rPr>
              <w:t>Condensed Balance Sheets as of September 30, 2022 (Unaudited) and December 31, 2021</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Condensed </w:t>
            </w:r>
            <w:r>
              <w:rPr>
                <w:rFonts w:ascii="Times New Roman" w:cs="Times New Roman" w:eastAsia="Times New Roman" w:hAnsi="Times New Roman"/>
                <w:sz w:val="16"/>
                <w:szCs w:val="16"/>
                <w:color w:val="0000EE"/>
              </w:rPr>
              <w:t>Statements of Operations for the three months ended September 30, 2022 and 2021, for the nine months</w:t>
            </w:r>
          </w:p>
        </w:tc>
        <w:tc>
          <w:tcPr>
            <w:tcW w:w="300" w:type="dxa"/>
            <w:vAlign w:val="bottom"/>
            <w:tcBorders>
              <w:bottom w:val="single" w:sz="8" w:color="CCEEFF"/>
            </w:tcBorders>
            <w:gridSpan w:val="5"/>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40" w:type="dxa"/>
            <w:vAlign w:val="bottom"/>
            <w:gridSpan w:val="24"/>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0000EE"/>
              </w:rPr>
              <w:t>ended September 30, 2022, and for the period from March 2, 2021 (inception) through September 30, 2021</w:t>
            </w: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940" w:type="dxa"/>
            <w:vAlign w:val="bottom"/>
            <w:tcBorders>
              <w:top w:val="single" w:sz="8" w:color="0000EE"/>
            </w:tcBorders>
            <w:gridSpan w:val="18"/>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0000EE"/>
              </w:rPr>
              <w:t>(Unaudited)</w:t>
            </w:r>
          </w:p>
        </w:tc>
        <w:tc>
          <w:tcPr>
            <w:tcW w:w="700" w:type="dxa"/>
            <w:vAlign w:val="bottom"/>
            <w:tcBorders>
              <w:top w:val="single" w:sz="8" w:color="CCEEFF"/>
            </w:tcBorders>
            <w:gridSpan w:val="6"/>
            <w:shd w:val="clear" w:color="auto" w:fill="CCEEFF"/>
          </w:tcPr>
          <w:p>
            <w:pPr>
              <w:spacing w:after="0"/>
              <w:rPr>
                <w:sz w:val="17"/>
                <w:szCs w:val="17"/>
                <w:color w:val="auto"/>
              </w:rPr>
            </w:pPr>
          </w:p>
        </w:tc>
        <w:tc>
          <w:tcPr>
            <w:tcW w:w="940" w:type="dxa"/>
            <w:vAlign w:val="bottom"/>
            <w:tcBorders>
              <w:top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90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Condensed </w:t>
            </w:r>
            <w:r>
              <w:rPr>
                <w:rFonts w:ascii="Times New Roman" w:cs="Times New Roman" w:eastAsia="Times New Roman" w:hAnsi="Times New Roman"/>
                <w:sz w:val="16"/>
                <w:szCs w:val="16"/>
                <w:color w:val="0000EE"/>
              </w:rPr>
              <w:t>Statements of Changes in Stockholders’ (Deficit) Equity for the three and nine months ended September 30,</w:t>
            </w: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0000EE"/>
              <w:bottom w:val="single" w:sz="8" w:color="CCEEFF"/>
            </w:tcBorders>
            <w:shd w:val="clear" w:color="auto" w:fill="CCEEFF"/>
          </w:tcPr>
          <w:p>
            <w:pPr>
              <w:spacing w:after="0"/>
              <w:rPr>
                <w:sz w:val="15"/>
                <w:szCs w:val="15"/>
                <w:color w:val="auto"/>
              </w:rPr>
            </w:pPr>
          </w:p>
        </w:tc>
        <w:tc>
          <w:tcPr>
            <w:tcW w:w="180" w:type="dxa"/>
            <w:vAlign w:val="bottom"/>
            <w:tcBorders>
              <w:top w:val="single" w:sz="8" w:color="0000EE"/>
              <w:bottom w:val="single" w:sz="8" w:color="CCEEFF"/>
            </w:tcBorders>
            <w:shd w:val="clear" w:color="auto" w:fill="CCEEFF"/>
          </w:tcPr>
          <w:p>
            <w:pPr>
              <w:spacing w:after="0"/>
              <w:rPr>
                <w:sz w:val="15"/>
                <w:szCs w:val="15"/>
                <w:color w:val="auto"/>
              </w:rPr>
            </w:pPr>
          </w:p>
        </w:tc>
        <w:tc>
          <w:tcPr>
            <w:tcW w:w="7360" w:type="dxa"/>
            <w:vAlign w:val="bottom"/>
            <w:tcBorders>
              <w:top w:val="single" w:sz="8" w:color="0000EE"/>
              <w:bottom w:val="single" w:sz="8" w:color="0000EE"/>
            </w:tcBorders>
            <w:gridSpan w:val="20"/>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0000EE"/>
              </w:rPr>
              <w:t>2022, for the three months ended September 30, 2021, and for the period from March 2, 2021 (inception) through</w:t>
            </w:r>
          </w:p>
        </w:tc>
        <w:tc>
          <w:tcPr>
            <w:tcW w:w="240" w:type="dxa"/>
            <w:vAlign w:val="bottom"/>
            <w:tcBorders>
              <w:top w:val="single" w:sz="8" w:color="0000EE"/>
              <w:bottom w:val="single" w:sz="8" w:color="CCEEFF"/>
            </w:tcBorders>
            <w:gridSpan w:val="3"/>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4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6"/>
                <w:szCs w:val="16"/>
                <w:color w:val="0000EE"/>
              </w:rPr>
              <w:t xml:space="preserve">September 30, 2021 </w:t>
            </w:r>
            <w:r>
              <w:rPr>
                <w:rFonts w:ascii="Times New Roman" w:cs="Times New Roman" w:eastAsia="Times New Roman" w:hAnsi="Times New Roman"/>
                <w:sz w:val="17"/>
                <w:szCs w:val="17"/>
                <w:color w:val="0000EE"/>
              </w:rPr>
              <w:t>(Unaudited)</w:t>
            </w:r>
          </w:p>
        </w:tc>
        <w:tc>
          <w:tcPr>
            <w:tcW w:w="9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Condensed </w:t>
            </w:r>
            <w:r>
              <w:rPr>
                <w:rFonts w:ascii="Times New Roman" w:cs="Times New Roman" w:eastAsia="Times New Roman" w:hAnsi="Times New Roman"/>
                <w:sz w:val="16"/>
                <w:szCs w:val="16"/>
                <w:color w:val="0000EE"/>
              </w:rPr>
              <w:t>Statements of Cash Flows for the nine months ended September 30, 2022 and for the period from March 2,</w:t>
            </w:r>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4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6"/>
                <w:szCs w:val="16"/>
                <w:color w:val="0000EE"/>
              </w:rPr>
              <w:t xml:space="preserve">2021 (inception) through September 30, 2021 </w:t>
            </w:r>
            <w:r>
              <w:rPr>
                <w:rFonts w:ascii="Times New Roman" w:cs="Times New Roman" w:eastAsia="Times New Roman" w:hAnsi="Times New Roman"/>
                <w:sz w:val="17"/>
                <w:szCs w:val="17"/>
                <w:color w:val="0000EE"/>
              </w:rPr>
              <w:t>(Unaudited)</w:t>
            </w:r>
          </w:p>
        </w:tc>
        <w:tc>
          <w:tcPr>
            <w:tcW w:w="9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120" w:type="dxa"/>
            <w:vAlign w:val="bottom"/>
            <w:gridSpan w:val="27"/>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0000EE"/>
              </w:rPr>
              <w:t>Notes to Condensed Financial Statements (Unaudited)</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4"/>
              </w:rPr>
              <w:t>Item 2.</w:t>
            </w:r>
          </w:p>
        </w:tc>
        <w:tc>
          <w:tcPr>
            <w:tcW w:w="340" w:type="dxa"/>
            <w:vAlign w:val="bottom"/>
            <w:tcBorders>
              <w:bottom w:val="single" w:sz="8" w:color="CCEEFF"/>
            </w:tcBorders>
            <w:gridSpan w:val="2"/>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78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w:t>
            </w:r>
          </w:p>
        </w:tc>
        <w:tc>
          <w:tcPr>
            <w:tcW w:w="120" w:type="dxa"/>
            <w:vAlign w:val="bottom"/>
            <w:tcBorders>
              <w:bottom w:val="single" w:sz="8" w:color="CCEEFF"/>
            </w:tcBorders>
            <w:gridSpan w:val="3"/>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120" w:type="dxa"/>
            <w:vAlign w:val="bottom"/>
            <w:gridSpan w:val="27"/>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0000EE"/>
              </w:rPr>
              <w:t>OPERATIONS</w:t>
            </w:r>
          </w:p>
        </w:tc>
        <w:tc>
          <w:tcPr>
            <w:tcW w:w="9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8120" w:type="dxa"/>
            <w:vAlign w:val="bottom"/>
            <w:gridSpan w:val="27"/>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8120" w:type="dxa"/>
            <w:vAlign w:val="bottom"/>
            <w:gridSpan w:val="27"/>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96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8120" w:type="dxa"/>
            <w:vAlign w:val="bottom"/>
            <w:gridSpan w:val="27"/>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8120" w:type="dxa"/>
            <w:vAlign w:val="bottom"/>
            <w:gridSpan w:val="27"/>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8120" w:type="dxa"/>
            <w:vAlign w:val="bottom"/>
            <w:gridSpan w:val="27"/>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8120" w:type="dxa"/>
            <w:vAlign w:val="bottom"/>
            <w:gridSpan w:val="27"/>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8120" w:type="dxa"/>
            <w:vAlign w:val="bottom"/>
            <w:gridSpan w:val="27"/>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8120" w:type="dxa"/>
            <w:vAlign w:val="bottom"/>
            <w:gridSpan w:val="27"/>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8120" w:type="dxa"/>
            <w:vAlign w:val="bottom"/>
            <w:gridSpan w:val="27"/>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896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1 - FINANCIAL INFORMATION</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color w:val="auto"/>
              </w:rPr>
              <w:t>(Audited)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480,348</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1,539,548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253,740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734,088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non-current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293,553,956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291,813,399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294,321,959</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293,741,143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Accrued offering costs and expenses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139,121</w:t>
            </w:r>
          </w:p>
        </w:tc>
        <w:tc>
          <w:tcPr>
            <w:tcW w:w="22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Promissory Note - Related Party</w:t>
            </w: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333,414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Due to related party</w:t>
            </w: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622,535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10,062,500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10,685,035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10,762,502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6)</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subject to possible redemption, 28,750,000 shares at redemption value of</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$10.19 and $10.15 as of September 30, 2022 and December 31, 2021, respectively</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293,056,524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291,812,500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and outstanding</w:t>
            </w: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280,000,000 shares authorized; 1,329,500 shares</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issued and outstanding (excluding 28,750,000 shares subject to possible redemption) as of</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September 30, 2022 and December 31, 2021</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20,000,000 shares authorized; 9,487,500 shares issued</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outstanding as of September 30, 2022 and December 31, 2021</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(9,420,682)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(8,834,941)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(9,419,600)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(8,833,859)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294,321,959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293,741,143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March 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6"/>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(Inception)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6"/>
            <w:vMerge w:val="continue"/>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6"/>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2"/>
                <w:szCs w:val="12"/>
                <w:color w:val="auto"/>
              </w:rPr>
            </w:pPr>
          </w:p>
        </w:tc>
        <w:tc>
          <w:tcPr>
            <w:tcW w:w="12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Formation and operating costs</w:t>
            </w: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280,519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595,928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Franchise Tax Expense</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121,985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152,932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Loss from operations</w:t>
            </w: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(402,504)</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(748,860)</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income earned on Trust</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1,317,125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1,740,557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other income</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1,317,125</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1,740,557</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Income (Loss) before provision for income taxes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914,621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991,697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(252,738)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(333,414)</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income (loss)</w:t>
            </w: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661,883</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658,283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58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Weighted average shares outstanding of Class A common stock subject to redemption, basic and</w:t>
            </w: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28,750,000</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28,750,000</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800" w:type="dxa"/>
            <w:vAlign w:val="bottom"/>
            <w:tcBorders>
              <w:bottom w:val="single" w:sz="8" w:color="CCEEFF"/>
            </w:tcBorders>
            <w:shd w:val="clear" w:color="auto" w:fill="CCEEFF"/>
          </w:tcPr>
          <w:p>
            <w:pPr>
              <w:ind w:left="120"/>
              <w:spacing w:after="0" w:line="158" w:lineRule="exact"/>
              <w:rPr>
                <w:sz w:val="20"/>
                <w:szCs w:val="20"/>
                <w:color w:val="auto"/>
              </w:rPr>
            </w:pPr>
            <w:r>
              <w:rPr>
                <w:rFonts w:ascii="Times New Roman" w:cs="Times New Roman" w:eastAsia="Times New Roman" w:hAnsi="Times New Roman"/>
                <w:sz w:val="14"/>
                <w:szCs w:val="14"/>
                <w:color w:val="auto"/>
              </w:rPr>
              <w:t>diluted</w:t>
            </w: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16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vMerge w:val="continue"/>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vMerge w:val="continue"/>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Basic and diluted net income per common stock, Class A subject to redemption</w:t>
            </w: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20" w:type="dxa"/>
            <w:vAlign w:val="bottom"/>
            <w:gridSpan w:val="2"/>
            <w:vMerge w:val="continue"/>
          </w:tcPr>
          <w:p>
            <w:pPr>
              <w:spacing w:after="0"/>
              <w:rPr>
                <w:sz w:val="14"/>
                <w:szCs w:val="14"/>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0.02</w:t>
            </w:r>
          </w:p>
        </w:tc>
        <w:tc>
          <w:tcPr>
            <w:tcW w:w="6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0.02</w:t>
            </w:r>
          </w:p>
        </w:tc>
        <w:tc>
          <w:tcPr>
            <w:tcW w:w="16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Weighted average shares outstanding of non-redeemable Class A common stock, basic and diluted</w:t>
            </w: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1,329,500</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1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1,329,500</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Basic and diluted net income per common stock, non-redeemable Class A</w:t>
            </w: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20" w:type="dxa"/>
            <w:vAlign w:val="bottom"/>
            <w:gridSpan w:val="2"/>
            <w:vMerge w:val="continue"/>
          </w:tcPr>
          <w:p>
            <w:pPr>
              <w:spacing w:after="0"/>
              <w:rPr>
                <w:sz w:val="14"/>
                <w:szCs w:val="14"/>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0.02</w:t>
            </w:r>
          </w:p>
        </w:tc>
        <w:tc>
          <w:tcPr>
            <w:tcW w:w="6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0.02</w:t>
            </w:r>
          </w:p>
        </w:tc>
        <w:tc>
          <w:tcPr>
            <w:tcW w:w="16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Weighted average shares outstanding of Class B common stock, basic and diluted</w:t>
            </w: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9,487,500</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8,625,000</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1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9,487,500</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5,410,967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Basic and diluted net income (loss) per Class B common stock</w:t>
            </w: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820" w:type="dxa"/>
            <w:vAlign w:val="bottom"/>
            <w:gridSpan w:val="2"/>
            <w:vMerge w:val="continue"/>
          </w:tcPr>
          <w:p>
            <w:pPr>
              <w:spacing w:after="0"/>
              <w:rPr>
                <w:sz w:val="11"/>
                <w:szCs w:val="11"/>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0.02</w:t>
            </w:r>
          </w:p>
        </w:tc>
        <w:tc>
          <w:tcPr>
            <w:tcW w:w="6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vMerge w:val="continue"/>
          </w:tcPr>
          <w:p>
            <w:pPr>
              <w:spacing w:after="0"/>
              <w:rPr>
                <w:sz w:val="11"/>
                <w:szCs w:val="11"/>
                <w:color w:val="auto"/>
              </w:rPr>
            </w:pPr>
          </w:p>
        </w:tc>
        <w:tc>
          <w:tcPr>
            <w:tcW w:w="12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0.02</w:t>
            </w:r>
          </w:p>
        </w:tc>
        <w:tc>
          <w:tcPr>
            <w:tcW w:w="16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STOCKHOLDERS’ (DEFICIT)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THREE AND NINE MONTHS ENDED SEPTEMBER 30, 2022</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5"/>
          </w:tcPr>
          <w:p>
            <w:pPr>
              <w:jc w:val="center"/>
              <w:ind w:left="21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5"/>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3"/>
                <w:szCs w:val="13"/>
                <w:color w:val="auto"/>
              </w:rPr>
            </w:pPr>
          </w:p>
        </w:tc>
        <w:tc>
          <w:tcPr>
            <w:tcW w:w="1040" w:type="dxa"/>
            <w:vAlign w:val="bottom"/>
            <w:gridSpan w:val="5"/>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0" w:type="dxa"/>
            <w:vAlign w:val="bottom"/>
            <w:gridSpan w:val="8"/>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5"/>
                <w:szCs w:val="15"/>
                <w:color w:val="auto"/>
              </w:rPr>
            </w:pP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5"/>
                <w:szCs w:val="15"/>
                <w:color w:val="auto"/>
              </w:rPr>
            </w:pPr>
          </w:p>
        </w:tc>
        <w:tc>
          <w:tcPr>
            <w:tcW w:w="1040" w:type="dxa"/>
            <w:vAlign w:val="bottom"/>
            <w:gridSpan w:val="5"/>
            <w:vMerge w:val="continue"/>
          </w:tcPr>
          <w:p>
            <w:pPr>
              <w:spacing w:after="0"/>
              <w:rPr>
                <w:sz w:val="15"/>
                <w:szCs w:val="15"/>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top w:val="single" w:sz="8" w:color="auto"/>
            </w:tcBorders>
            <w:gridSpan w:val="3"/>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2021</w:t>
            </w:r>
          </w:p>
        </w:tc>
        <w:tc>
          <w:tcPr>
            <w:tcW w:w="4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1,329,500</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133</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9,487,500</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949</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(8,834,941)</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(8,833,859)</w:t>
            </w:r>
          </w:p>
        </w:tc>
        <w:tc>
          <w:tcPr>
            <w:tcW w:w="0" w:type="dxa"/>
            <w:vAlign w:val="bottom"/>
          </w:tcPr>
          <w:p>
            <w:pPr>
              <w:spacing w:after="0"/>
              <w:rPr>
                <w:sz w:val="1"/>
                <w:szCs w:val="1"/>
                <w:color w:val="auto"/>
              </w:rPr>
            </w:pPr>
          </w:p>
        </w:tc>
      </w:tr>
      <w:tr>
        <w:trPr>
          <w:trHeight w:val="203"/>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(96,922)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(96,922)</w:t>
            </w:r>
          </w:p>
        </w:tc>
        <w:tc>
          <w:tcPr>
            <w:tcW w:w="0" w:type="dxa"/>
            <w:vAlign w:val="bottom"/>
          </w:tcPr>
          <w:p>
            <w:pPr>
              <w:spacing w:after="0"/>
              <w:rPr>
                <w:sz w:val="1"/>
                <w:szCs w:val="1"/>
                <w:color w:val="auto"/>
              </w:rPr>
            </w:pPr>
          </w:p>
        </w:tc>
      </w:tr>
      <w:tr>
        <w:trPr>
          <w:trHeight w:val="196"/>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March 31, 2022</w:t>
            </w:r>
          </w:p>
        </w:tc>
        <w:tc>
          <w:tcPr>
            <w:tcW w:w="4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1,329,500</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133</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9,487,500</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949</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(8,931,863)</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(8,930,781)</w:t>
            </w:r>
          </w:p>
        </w:tc>
        <w:tc>
          <w:tcPr>
            <w:tcW w:w="0" w:type="dxa"/>
            <w:vAlign w:val="bottom"/>
          </w:tcPr>
          <w:p>
            <w:pPr>
              <w:spacing w:after="0"/>
              <w:rPr>
                <w:sz w:val="1"/>
                <w:szCs w:val="1"/>
                <w:color w:val="auto"/>
              </w:rPr>
            </w:pPr>
          </w:p>
        </w:tc>
      </w:tr>
      <w:tr>
        <w:trPr>
          <w:trHeight w:val="189"/>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Accretion for common stock subject to redemption</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amount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(301,602)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(301,602)</w:t>
            </w:r>
          </w:p>
        </w:tc>
        <w:tc>
          <w:tcPr>
            <w:tcW w:w="0" w:type="dxa"/>
            <w:vAlign w:val="bottom"/>
          </w:tcPr>
          <w:p>
            <w:pPr>
              <w:spacing w:after="0"/>
              <w:rPr>
                <w:sz w:val="1"/>
                <w:szCs w:val="1"/>
                <w:color w:val="auto"/>
              </w:rPr>
            </w:pPr>
          </w:p>
        </w:tc>
      </w:tr>
      <w:tr>
        <w:trPr>
          <w:trHeight w:val="208"/>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93,322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93,322</w:t>
            </w:r>
          </w:p>
        </w:tc>
        <w:tc>
          <w:tcPr>
            <w:tcW w:w="0" w:type="dxa"/>
            <w:vAlign w:val="bottom"/>
          </w:tcPr>
          <w:p>
            <w:pPr>
              <w:spacing w:after="0"/>
              <w:rPr>
                <w:sz w:val="1"/>
                <w:szCs w:val="1"/>
                <w:color w:val="auto"/>
              </w:rPr>
            </w:pPr>
          </w:p>
        </w:tc>
      </w:tr>
      <w:tr>
        <w:trPr>
          <w:trHeight w:val="196"/>
        </w:trPr>
        <w:tc>
          <w:tcPr>
            <w:tcW w:w="3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June 30, 2022</w:t>
            </w:r>
          </w:p>
        </w:tc>
        <w:tc>
          <w:tcPr>
            <w:tcW w:w="440" w:type="dxa"/>
            <w:vAlign w:val="bottom"/>
          </w:tcPr>
          <w:p>
            <w:pPr>
              <w:spacing w:after="0"/>
              <w:rPr>
                <w:sz w:val="17"/>
                <w:szCs w:val="17"/>
                <w:color w:val="auto"/>
              </w:rPr>
            </w:pPr>
          </w:p>
        </w:tc>
        <w:tc>
          <w:tcPr>
            <w:tcW w:w="76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1,329,500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133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9,487,500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949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(9,140,143)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(9,139,061)</w:t>
            </w:r>
          </w:p>
        </w:tc>
        <w:tc>
          <w:tcPr>
            <w:tcW w:w="0" w:type="dxa"/>
            <w:vAlign w:val="bottom"/>
          </w:tcPr>
          <w:p>
            <w:pPr>
              <w:spacing w:after="0"/>
              <w:rPr>
                <w:sz w:val="1"/>
                <w:szCs w:val="1"/>
                <w:color w:val="auto"/>
              </w:rPr>
            </w:pPr>
          </w:p>
        </w:tc>
      </w:tr>
      <w:tr>
        <w:trPr>
          <w:trHeight w:val="18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Accretion for common stock subject to redemption</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amount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(942,422)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(942,422)</w:t>
            </w:r>
          </w:p>
        </w:tc>
        <w:tc>
          <w:tcPr>
            <w:tcW w:w="0" w:type="dxa"/>
            <w:vAlign w:val="bottom"/>
          </w:tcPr>
          <w:p>
            <w:pPr>
              <w:spacing w:after="0"/>
              <w:rPr>
                <w:sz w:val="1"/>
                <w:szCs w:val="1"/>
                <w:color w:val="auto"/>
              </w:rPr>
            </w:pPr>
          </w:p>
        </w:tc>
      </w:tr>
      <w:tr>
        <w:trPr>
          <w:trHeight w:val="203"/>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661,883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661,883</w:t>
            </w:r>
          </w:p>
        </w:tc>
        <w:tc>
          <w:tcPr>
            <w:tcW w:w="0" w:type="dxa"/>
            <w:vAlign w:val="bottom"/>
          </w:tcPr>
          <w:p>
            <w:pPr>
              <w:spacing w:after="0"/>
              <w:rPr>
                <w:sz w:val="1"/>
                <w:szCs w:val="1"/>
                <w:color w:val="auto"/>
              </w:rPr>
            </w:pPr>
          </w:p>
        </w:tc>
      </w:tr>
      <w:tr>
        <w:trPr>
          <w:trHeight w:val="196"/>
        </w:trPr>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September 30, 2022</w:t>
            </w: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1,329,500</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133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9,487,500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(9,420,682)</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(9,419,600)</w:t>
            </w:r>
          </w:p>
        </w:tc>
        <w:tc>
          <w:tcPr>
            <w:tcW w:w="0" w:type="dxa"/>
            <w:vAlign w:val="bottom"/>
          </w:tcPr>
          <w:p>
            <w:pPr>
              <w:spacing w:after="0"/>
              <w:rPr>
                <w:sz w:val="1"/>
                <w:szCs w:val="1"/>
                <w:color w:val="auto"/>
              </w:rPr>
            </w:pPr>
          </w:p>
        </w:tc>
      </w:tr>
      <w:tr>
        <w:trPr>
          <w:trHeight w:val="20"/>
        </w:trPr>
        <w:tc>
          <w:tcPr>
            <w:tcW w:w="396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9920" w:type="dxa"/>
            <w:vAlign w:val="bottom"/>
            <w:gridSpan w:val="34"/>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 2021 AND FOR THE PERIOD FROM MARCH 2, 2021 (INCEPTION)</w:t>
            </w:r>
          </w:p>
        </w:tc>
        <w:tc>
          <w:tcPr>
            <w:tcW w:w="0" w:type="dxa"/>
            <w:vAlign w:val="bottom"/>
          </w:tcPr>
          <w:p>
            <w:pPr>
              <w:spacing w:after="0"/>
              <w:rPr>
                <w:sz w:val="1"/>
                <w:szCs w:val="1"/>
                <w:color w:val="auto"/>
              </w:rPr>
            </w:pPr>
          </w:p>
        </w:tc>
      </w:tr>
      <w:tr>
        <w:trPr>
          <w:trHeight w:val="212"/>
        </w:trPr>
        <w:tc>
          <w:tcPr>
            <w:tcW w:w="3520" w:type="dxa"/>
            <w:vAlign w:val="bottom"/>
          </w:tcPr>
          <w:p>
            <w:pPr>
              <w:spacing w:after="0"/>
              <w:rPr>
                <w:sz w:val="18"/>
                <w:szCs w:val="18"/>
                <w:color w:val="auto"/>
              </w:rPr>
            </w:pPr>
          </w:p>
        </w:tc>
        <w:tc>
          <w:tcPr>
            <w:tcW w:w="2960" w:type="dxa"/>
            <w:vAlign w:val="bottom"/>
            <w:gridSpan w:val="14"/>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THROUGH SEPTEMBER 30, 2021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9"/>
        </w:trPr>
        <w:tc>
          <w:tcPr>
            <w:tcW w:w="3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5"/>
          </w:tcPr>
          <w:p>
            <w:pPr>
              <w:jc w:val="center"/>
              <w:ind w:left="25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5"/>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0" w:type="dxa"/>
            <w:vAlign w:val="bottom"/>
            <w:gridSpan w:val="8"/>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3"/>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2, 2021 (inception)</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2021</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Class B Common Stock</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9,487,500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24,051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0"/>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9,487,500</w:t>
            </w: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949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24,051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24,500</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9,487,500</w:t>
            </w: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949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$ 24,051</w:t>
            </w:r>
          </w:p>
        </w:tc>
        <w:tc>
          <w:tcPr>
            <w:tcW w:w="140" w:type="dxa"/>
            <w:vAlign w:val="bottom"/>
            <w:gridSpan w:val="2"/>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1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24,500</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March 2, 2021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(Inception)Through</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80" w:type="dxa"/>
            <w:vAlign w:val="bottom"/>
          </w:tcPr>
          <w:p>
            <w:pPr>
              <w:spacing w:after="0"/>
              <w:rPr>
                <w:sz w:val="15"/>
                <w:szCs w:val="15"/>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658,283</w:t>
            </w:r>
          </w:p>
        </w:tc>
        <w:tc>
          <w:tcPr>
            <w:tcW w:w="8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earned on cash and marketable securities held in Trust Account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(1,740,557)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100,541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Due to related party</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payable</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Franchise tax payable</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offering costs and expenses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(109,038)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(914,454)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founder shares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note payable-related party</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Payment of promissory note - related party</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(144,746)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offering costs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6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(144,746)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(1,059,200)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the period</w:t>
            </w: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1,539,548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 Ending</w:t>
            </w:r>
          </w:p>
        </w:tc>
        <w:tc>
          <w:tcPr>
            <w:tcW w:w="640" w:type="dxa"/>
            <w:vAlign w:val="bottom"/>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480,348</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investing and financing transactions: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interest income to Class A shares subject to redemption</w:t>
            </w:r>
          </w:p>
        </w:tc>
        <w:tc>
          <w:tcPr>
            <w:tcW w:w="7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1,244,024</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Business Operation, 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BurTech Acquisition Corp. (the “Company”) is a blank check company incorporated in Delaware on March 2, 2021, for the purpose of effecting a merger, capital stock exchange, asset acquisition, stock purchase, reorganization or similar business combination with one or more businesses (the “Business Combination”).The Company is an emerging growth company and, as such, the Company is subject to all of the risks associated with emerging growth companies.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2022, the Company had not commenced any operations. All activity for the period from March 2, 2021 (inception) through September 30, 2022 relates to the Company’s formation and the Initial Public Offering (the “IPO”). The Company will not generate any operating revenues until after the completion of its initial Business Combination, at the earliest. The Company will generate non-operating income in the form of interest income from the proceeds derived from the IPO. The Company has selected December 31 as its fiscal year end.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sponsor is BurTech LP LLC, (the “Sponsor”).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December 10, 2021 (the “Effective Date”). On December 15, 2021, the Company completed the IPO of 28,750,000 units, including 3,750,000 units from the full exercise of the overallotment option by the underwriters, at $10.00 per unit (the “Units”), which is discussed in Note 3 (the “Initial Public Offering”). Each Unit consists of one Class A common stock and one redeemable warrant (the “Public Warrants”). Each whole warrant entitles the holder to purchase one Class A common stock at a price of $11.50 per share.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Simultaneously with the consummation of the IPO, the Company consummated the private placement of 898,250 units (the “Private Placement Units”) to the Sponsor, including 93,750 units from the full exercise of the overallotment option by the underwriters, at a price of $10.00 per units, generate an aggregate of $8,982,500 proceeds.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Transaction costs amounted to $16,919,619 consisting of $2,875,000 of underwriting commissions, $10,062,500 of deferred underwriting commissions, $3,456,652 fair value of class A shares issued to the underwriters and $525,467 of other offering costs. In addition, $1,539,541 of cash was held outside of the Trust Account (as defined below) and is available for working capital purposes.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IPO and the Private Placement Units, although substantially all of the net proceeds are intended to be generally applied toward consummating a Business Combination (less deferred underwriting commissions).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Nasdaq rules require that a company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the Company’s signing a definitive agreement in connection with the initial Business Combination. The board of directors will make the determination as to the fair market value of the initial Business Combination. If the board of directors is not able to independently determine the fair market value of the initial Business Combination, the Company will obtain an opinion from an independent investment banking firm or another independent entity that commonly renders valuation opinions with respect to the satisfaction of such criteria. While the Company considers it unlikely that the board of directors will not be able to make an independent determination of the fair market value of the initial Business Combination, it may be unable to do so if it is less familiar or experienced with the business of a particular target or if there is a significant amount of uncertainty as to the value of a target’s assets or prospects. Additionally, pursuant to Nasdaq rules, any initial Business Combination must be approved by a majority of the Company’s independent directors.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Following the closing of the IPO on December 15, 2021, $291,812,500 ($10.15 per Unit) from the net proceeds of the sale of the Units in the IPO and the sale of the Private Placement Units was deposited into a trust account (the “Trust Account”) and will be invested only in U.S. government securities with a maturity of 185 days or less or in money market funds meeting certain conditions under Rule 2a-7 under the Investment Company Act which invest only in direct U.S. government treasury obligations. Except with respect to interest earned on the funds held in the Trust Account that may be released to the Company to pay its tax obligations and up to $100,000 of interest that may be used for the Company’s dissolution expenses, the proceeds from the IPO and the sale of the placement units held in</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Trust Account will not be released from the Trust Account until the earliest to occur of: (a) the completion of the initial Business Combination, (b) the redemption of any public shares properly submitted in connection with a stockholder vote to amend the Company’s amended and restated certificate of incorporation (i)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15 months from the closing of the IPO or (ii) with respect to any other provision relating to stockholders’ rights or pre-Business Combination activity, and (c) the redemption of the public shares if the Company is unable to complete the initial Business Combination within 15 months from the closing of the IPO, subject to applicable law. The proceeds deposited in the Trust Account could become subject to the claims of the Company’s creditors, if any, which could have priority over the claims of the Company’s public stockholders.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provide its public stockholders with the opportunity to redeem all or a portion of their public shares upon the completion of the initial Business Combination either (i) in connection with a stockholder meeting called to approve the Business Combination or (ii) without a stockholder vote by means of a tender offer. The decision as to whether the Company will seek stockholder approval of a proposed Business Combination or conduct a tender offer will be made by the Company, solely in the Company’s discretion, and will be based on a variety of factors such as the timing of the transaction and whether the terms of the transaction would require the Company to seek stockholder approval under applicable law or stock exchange listing requirement.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provide its public stockholders with the opportunity to redeem all or a portion of their public shares upon the completion of the initial Business Combination at a per-share price, payable in cash, equal to the aggregate amount then on deposit in the Trust Account as of two business days prior to the consummation of the initial Business Combination, including interest earned on the funds held in the Trust Account and not previously released to the Company to pay its taxes, divided by the number of then outstanding public shares, subject to the limitations described herein. The amount in the Trust Account is initially anticipated to be $10.15 per public share, however, there is no guarantee that investors will receive $10.15 per share upon redemption.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shares of common stock subject to redemption will be recorded at a redemption value and classified as temporary equity upon the completion of the IPO, in accordance with Financial Accounting Standards Board’s (“FASB”) Accounting Standards Codification (“ASC”) Topic 480 “Distinguishing Liabilities from Equity.”</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will have only 15 months from the closing of the IPO (the “Combination Period”) to complete the initial Business Combination. If the Company is unable to complete the initial Business Combination within the Combination Period (and the stockholders have not approved an amendment to the Company’s charter extending this time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the case of clauses (ii) and</w:t>
      </w:r>
    </w:p>
    <w:p>
      <w:pPr>
        <w:spacing w:after="0" w:line="5" w:lineRule="exact"/>
        <w:rPr>
          <w:sz w:val="20"/>
          <w:szCs w:val="20"/>
          <w:color w:val="auto"/>
        </w:rPr>
      </w:pPr>
    </w:p>
    <w:p>
      <w:pPr>
        <w:jc w:val="both"/>
        <w:ind w:firstLine="8"/>
        <w:spacing w:after="0" w:line="255" w:lineRule="auto"/>
        <w:tabs>
          <w:tab w:leader="none" w:pos="32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to the Company’s obligations under Delaware law to provide for claims of creditors and the requirements of other applicable law. There will be no redemption rights or liquidating distributions with respect to the warrants, which will expire worthless if the Company fails to complete the initial Business Combination within the Combination Period.</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Sponsor, officers and directors have entered into a letter agreement with the Company, pursuant to which they have agreed to (i) waive their redemption rights with respect to any founder shares, placement shares and public shares held by them in connection with the completion of the initial Business Combination, (ii) waive their redemption rights with respect to any founder shares, placement shares and public shares held by them in connection with a stockholder vote to approve an amendment to the Company’s amended and restated certificate of incorporation (A)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the Combination Period or (B) with respect to any other provision relating to stockholders’ rights or pre-initial Business Combination activity and (iii) waive their rights to liquidating distributions from the Trust Account with respect to any founder shares and placement shares held by them if the Company fails to</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complete the initial Business Combination within the Combination Period, although they will be entitled to liquidating distributions from the Trust Account with respect to any public shares they hold if the Company fails to complete the initial Business Combination within the prescribed time frame; and (iv) vote any founder shares held by them and any public shares purchased during or after the IPO (including in open market and privately-negotiated transactions) in favor of the initial Business Combination.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similar agreement or Business Combination agreement, reduce the amount of funds in the Trust Account to below the lesser of (i) $10.15 per public share and (ii) the actual amount per public share held in the Trust Account as of the date of the liquidation of the Trust Account, if less than $10.15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indemnity of the underwriters of the IPO against certain liabilities, including liabilities under the Securities Act. However, the Company has not asked the Sponsor to reserve for such indemnification obligations, nor has the Company independently verified whether the Sponsor has sufficient funds to satisfy its indemnity obligations and believe that the Sponsor’s only assets are securities of the Company. Therefore, the Company cannot assure you that the Sponsor would be able to satisfy those obligations.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2022, the Company had $480,348 in its operating bank accounts, $293,553,956 in investments held in the Trust Account to be used for a Business Combination or to repurchase or redeem its Public Shares in connection therewith and working capital deficit of $594,967. As of September 30, 2022, $1,740,557 of the amount on deposit in the Trust Account represented interest income.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liquidity needs up to September 30, 2022 had been satisfied through a payment from our sponsor of $25,000 for the Founder Shares to cover certain offering costs, the loan under an unsecured promissory note from the Sponsor of $144,746 and the net proceeds from the consummation of the Initial Public Offering held outside of the trust account. As of September 30, 2022, there were no amounts outstanding under any Working Capital Loans.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Until the consummation of a Business Combination, the Company will use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 The Company expects it will need to raise additional capital through loans or additional investments from its Sponsor, stockholders, officers, directors, or third parties. The Company’s officers, directors and the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These conditions raise substantial doubt about the Company’s ability to continue as a going concern. These financial statements do not include any adjustments relating to the recovery of the recorded assets or the classification of the liabilities that might be necessary should the Company be unable to continue as a going concern.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redemption or other repurchase that occurs after December 31, 2022,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a Business Combination, (iii) the nature and amount of any "PIPE" or other equity issuances in connection with a Business Combination (or otherwise issued not in connection with a Business Combination but issued within the same taxable year of a Business Combination) and</w:t>
      </w:r>
    </w:p>
    <w:p>
      <w:pPr>
        <w:spacing w:after="0" w:line="5" w:lineRule="exact"/>
        <w:rPr>
          <w:sz w:val="20"/>
          <w:szCs w:val="20"/>
          <w:color w:val="auto"/>
        </w:rPr>
      </w:pPr>
    </w:p>
    <w:p>
      <w:pPr>
        <w:jc w:val="both"/>
        <w:ind w:firstLine="8"/>
        <w:spacing w:after="0" w:line="253" w:lineRule="auto"/>
        <w:tabs>
          <w:tab w:leader="none" w:pos="3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currently evaluating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 financial statement. The financial statement does not include any adjustments that might result from the outcome of this uncertainty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results of operations and ability to complete an initial business combination may be adversely affected by various factors that could cause economic uncertainty and volatility in the financial markets, many of which are beyond the Company’s control. The Company’s business could be impacted by, among other things, downturns in the financial markets or in economic conditions, increases in oil prices, inflation, increases in interest rates, supply chain disruptions, declines in consumer confidence and spending, the ongoing effects of the COVID-19 pandemic, including reassurance and the emergence of new variants, and geopolitical instability, such as the military conflict in the Ukraine. The Company cannot at this time fully predict the likelihood of one or more of the above events, their duration or magnitude or the extent to which they may negatively impact our business and the Company’s ability to complete an initial business combination.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are presented in U.S. dollars in conformity with accounting principles generally accepted in the United States of America (“U.S. GAAP”) for financial information and pursuant to the rules and regulations of the Securities and Exchange Commission (“SEC”). Accordingly, they do not include all of the information and footnotes required by U.S. GAAP. In the opinion of management, the unaudited condensed financial statements reflect all adjustments, which include only normal recurring adjustments necessary for the fair statement of the balances and results for the periods presented. The interim results for the three and nine months ended September 30, 2022 are not necessarily indicative of the results to be expected for the year ending December 31, 2022 or for any future interim periods.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audited financial statements and notes thereto included in the Company’s Annual Report on Form 10-K as of and for the year ended December 31, 2021.</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this financial statement in conformity with U.S. GAAP requires management to make estimates and assumptions that affect the reported amounts of assets and liabilities and disclosure of contingent assets and liabilities at the date of the financial statement. Making estimates requires management to exercise significant judgment. It is at least reasonably possible that the estimate of the effect of a condition, situation or set of circumstances that existed at the date of these financial statements, which management considered in formulating its estimate, could change in the near term due to one or more future confirming events. One of the more significant accounting estimates included in these financial statements is the determination of the fair value of the representative shares. Such estimates may be subject to change as more current information becomes available and, accordingly, the actual results could differ significantly from those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As of September 30, 2022 and December 31, 2021, the Company had $480,348 and $1,539,548 in cash, respectively, and no cash equivalents.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Held in Trust Account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September 30, 2022 and December 31, 2021, the Company had $293,553,956 and $291,813,399 in investments held in the Trust Account, which primarily consist of investments in mutual funds that invest in U.S. government securities, cash, or a combination thereof. The Company’s investments held in the Trust Account are classified as trading securities. Trading securities are presented on the balance sheets at fair value at the end of each reporting period. Gains and losses resulting from the change in fair value of these securities is included in gain on Investments Held in Trust Account in the accompanying statement of operations. The estimated fair values of investments held in the Trust Account are determined using available market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the FASB ASC 820, “Fair Value Measurements and Disclosures,” approximates the carrying amounts represented in the balance sheet, primarily due to its short-term nature.</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88" w:lineRule="exact"/>
        <w:rPr>
          <w:sz w:val="20"/>
          <w:szCs w:val="20"/>
          <w:color w:val="auto"/>
        </w:rPr>
      </w:pPr>
    </w:p>
    <w:p>
      <w:pPr>
        <w:ind w:firstLine="8"/>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1—Assets and liabilities with unadjusted, quoted prices listed on active market exchanges. Inputs to the fair value measurement are observable inputs, such as quoted prices in active markets for identical assets or liabilities.</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to the fair value measurement are unobservable inputs, such as estimates, assumptions, and valuation techniques when little or no market data exists for the assets or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is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is classified as stockholders’ equity. The Company’s Class A common stock feature certain redemption rights that are considered to be outside of the Company’s control and subject to the occurrence of uncertain future events. Accordingly, as of September 30, 2022 and December 31, 2021, 28,750,000 Class A common stock subject to possible redemption are presented at redemption value as temporary equity, outside of the stockholders’ deficit section of the Company’s balance sheets.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 Costs associated with the Initial Public Offering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SEC Staff Accounting bulletin Topic 5A – “Expenses of Offering”, and SEC Staff Accounting bulletin Topic 5T – “Accounting for Expenses or Liabilities Paid by Principal Stockholder(s)”. Offering costs consist principally of professional and registration fees incurred through the balance sheet date that are related to the IPO. Offering costs directly attributable to the issuance of an equity contract to be classified in equity are recorded as a reduction of equity. Offering costs for equity contracts that are classified as assets and liabilities are expensed immediately. The Company incurred offering costs amounting to $16,919,619 as a result of the IPO (consisting of $2,875,000 of underwriting fees, $10,062,500 of deferred underwriting fees, $3,456,652 fair value of the Class A common stock issued to the underwriters and $525,467 of other offering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Income/Loss Per 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two classes of shares, which are referred to as Class A common stock and Class B common stock. Earnings and losses are shared pro rata between the two classes of shares. The 29,648,250 potential common stocks for outstanding warrants to purchase the Company’s shares were excluded from diluted earnings per share for the three and nine months ended September 30, 2022 and 2021</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the warrants are contingently exercisable, and the contingencies have not yet been met and its inclusion would be anti- dilutive. As a result, diluted net loss per common stock is the same as basic net loss per common stock for the periods. The table below presents a reconciliation of the numerator and denominator used to compute basic and diluted net loss per share for each class of common stock:</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60" w:type="dxa"/>
            <w:vAlign w:val="bottom"/>
            <w:gridSpan w:val="1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the three-month period ended</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40" w:type="dxa"/>
            <w:vAlign w:val="bottom"/>
            <w:gridSpan w:val="1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the three-month period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5"/>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5"/>
          </w:tcPr>
          <w:p>
            <w:pPr>
              <w:ind w:left="72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5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Redeemable</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0" w:type="dxa"/>
            <w:vAlign w:val="bottom"/>
            <w:gridSpan w:val="6"/>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Redeemable   Non-redeemable</w:t>
            </w:r>
          </w:p>
        </w:tc>
        <w:tc>
          <w:tcPr>
            <w:tcW w:w="1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5"/>
                <w:szCs w:val="15"/>
                <w:color w:val="auto"/>
              </w:rPr>
            </w:pP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10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2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Basic and diluted net income per</w:t>
            </w: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Allocation of net income</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480,935</w:t>
            </w:r>
          </w:p>
        </w:tc>
        <w:tc>
          <w:tcPr>
            <w:tcW w:w="360" w:type="dxa"/>
            <w:vAlign w:val="bottom"/>
            <w:gridSpan w:val="4"/>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158,708</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shd w:val="clear" w:color="auto" w:fill="CCEEFF"/>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Weighted-average shares outstanding</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including common stock subject to</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redemption</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28,750,000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1,329,500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9,487,500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20" w:type="dxa"/>
            <w:vAlign w:val="bottom"/>
            <w:shd w:val="clear" w:color="auto" w:fill="CCEEFF"/>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Basic and diluted net income per</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360" w:type="dxa"/>
            <w:vAlign w:val="bottom"/>
            <w:gridSpan w:val="4"/>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20" w:type="dxa"/>
            <w:vAlign w:val="bottom"/>
            <w:shd w:val="clear" w:color="auto" w:fill="CCEEFF"/>
          </w:tcPr>
          <w:p>
            <w:pPr>
              <w:spacing w:after="0"/>
              <w:rPr>
                <w:sz w:val="20"/>
                <w:szCs w:val="20"/>
                <w:color w:val="auto"/>
              </w:rPr>
            </w:pPr>
          </w:p>
        </w:tc>
        <w:tc>
          <w:tcPr>
            <w:tcW w:w="2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3"/>
            <w:shd w:val="clear" w:color="auto" w:fill="CCEEFF"/>
          </w:tcPr>
          <w:p>
            <w:pPr>
              <w:jc w:val="right"/>
              <w:ind w:right="66"/>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gridSpan w:val="1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nine-month period ended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8"/>
          </w:tcPr>
          <w:p>
            <w:pPr>
              <w:jc w:val="center"/>
              <w:ind w:right="66"/>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60" w:type="dxa"/>
            <w:vAlign w:val="bottom"/>
            <w:gridSpan w:val="12"/>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40" w:type="dxa"/>
            <w:vAlign w:val="bottom"/>
            <w:gridSpan w:val="1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March 2, 2021 (Inception) Through</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5"/>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5"/>
          </w:tcPr>
          <w:p>
            <w:pPr>
              <w:ind w:left="72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5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Redeemable</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3"/>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Redeemable</w:t>
            </w:r>
          </w:p>
        </w:tc>
        <w:tc>
          <w:tcPr>
            <w:tcW w:w="140" w:type="dxa"/>
            <w:vAlign w:val="bottom"/>
          </w:tcPr>
          <w:p>
            <w:pPr>
              <w:spacing w:after="0"/>
              <w:rPr>
                <w:sz w:val="10"/>
                <w:szCs w:val="10"/>
                <w:color w:val="auto"/>
              </w:rPr>
            </w:pPr>
          </w:p>
        </w:tc>
        <w:tc>
          <w:tcPr>
            <w:tcW w:w="108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5"/>
                <w:szCs w:val="15"/>
                <w:color w:val="auto"/>
              </w:rPr>
            </w:pPr>
          </w:p>
        </w:tc>
        <w:tc>
          <w:tcPr>
            <w:tcW w:w="10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Allocation of net income (loss)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478,319</w:t>
            </w:r>
          </w:p>
        </w:tc>
        <w:tc>
          <w:tcPr>
            <w:tcW w:w="360" w:type="dxa"/>
            <w:vAlign w:val="bottom"/>
            <w:gridSpan w:val="4"/>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157,845</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outstanding</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including common stock subject to</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redemption</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28,750,000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1,329,500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9,487,500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5,410,967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Basic and diluted net income per</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360" w:type="dxa"/>
            <w:vAlign w:val="bottom"/>
            <w:gridSpan w:val="4"/>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20" w:type="dxa"/>
            <w:vAlign w:val="bottom"/>
            <w:shd w:val="clear" w:color="auto" w:fill="CCEEFF"/>
          </w:tcPr>
          <w:p>
            <w:pPr>
              <w:spacing w:after="0"/>
              <w:rPr>
                <w:sz w:val="20"/>
                <w:szCs w:val="20"/>
                <w:color w:val="auto"/>
              </w:rPr>
            </w:pPr>
          </w:p>
        </w:tc>
        <w:tc>
          <w:tcPr>
            <w:tcW w:w="2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3"/>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Income Taxes, requires the recognition of deferred tax assets and liabilities for both the expected impact of differences between the unaudited condensed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 As of September 30, 2022 and December 31, 2021, the Company’s deferred tax asset had a full valuation allowance recorded against it.</w:t>
      </w:r>
    </w:p>
    <w:p>
      <w:pPr>
        <w:spacing w:after="0" w:line="1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Company's effective tax rate was 27.63% and 0% for the three months ended September 30, 2022 and 2021, respectively, and 33.62% and 0% for the nine months ended September 30, 2022 and for the period from March 2, 2021 (Inception) through September 30, 2021, respectively. The effective tax rate differs from the statutory tax rate of 21% due to the valuation allowance on the deferred tax assets.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as income tax expense. There were no unrecognized tax benefits and no amounts accrued for interest and penalties as of September 30, 2022 and December 31, 2021. The Company is currently not aware of any issues under review that could result in significant payments, accruals or material deviation from its position.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a cash account in a financial institution which, at times may exceed the Federal Deposit Insurance Corporation coverage of $250,000. At September 30, 2022 and December 31, 2021, the Company had not experienced losses on this account and management believes the Company is not exposed to significant risks on such account.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August 2020, the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 a smaller reporting company, ASU 2020-06 is effective January 1, 2024 for fiscal years beginning after December 15, 2023 and should be applied on a full or modified retrospective basis, with early adoption permitted beginning on January 1, 2021. The Company is currently assessing the impact, if any, that ASU 2020-06 would have on its financial position, results of operations or cash flows. The Company has not adopted this guidance as of September 30, 2022.</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management does not believe that any other recently issued, but not yet effective, accounting standards if currently adopted would have a material effect on the accompanying unaudited condensed financial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Out-of-Period Item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recorded and adjustment to correct prior period understatement of franchise taxes in the amount of approximately $72,000. The correction was primarily caused by an error in calculating the franchise tax expense for the current tax year. Management has concluded that the adjustment is not material to the Company’s consolidated annual and interim financial statements and has recorded the adjustment in the current period’s condensed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4-Initial Public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Units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15, 2021, the Company consummated its IPO of 28,750,000 Units, including the issuance of 3,750,000 Units as a result of the underwriters’ full exercise of the over-allotment, at a purchase price of $10.00 per Unit. Each Unit that the Company is offering has a price of $10.00 and consists of one share of Class A common stock and one redeemable warrant. Each whole warrant will entitle the holder to purchase one Class A common stock at a price of $11.50 per share, subject to adjustment.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of the 28,750,000 shares of common stock sold as part of the Units in the IPO contain a redemption feature which allows for the redemption of such public shares in connection with the Company’s liquidation, if there is a stockholder vote or tender offer in connection with the Business Combination and in connection with certain amendments to the Company’s certificate of incorporation. In accordance with SEC and its staff’s guidance on redeemable equity instruments, which has been codified in ASC 480-10-S99, redemption provisions not solely within the control of the Company require common stock subject to redemption to be classified outside of permanent equity. Given that common stock was issued with other freestanding instruments (i.e., public warrants), the initial carrying value of common stock classified as temporary equity is the allocated proceeds based on the guidance in ASC 470-20.</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common stock is subject to SEC and its staff’s guidance on redeemable equity instruments, which has been codified in ASC 480-10-S99. If it is probable that the equity instrument will become redeemable, the Company has the option to either accrete changes in the redemption value over the period from the date of issuance (or from the date that it becomes probable that the instrument will become redeemable, if later) to the earliest redemption date of the instrument or to recognize changes in the redemption value immediately as they occur and adjust the carrying amount of the instrument to equal the redemption value at the end of each reporting period. The Company recognizes changes in redemption value immediately as they occur and adjusts the carrying value of redeemable common stock to equal the redemption value at the end of each reporting period. Immediately upon the closing of the IPO, the Company recognized the accretion from initial book value to redemption amount value. The change in the carrying value of redeemable common stock resulted in charges against additional paid-in capital and accumulated deficit.</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2022 and December 31, 2021, the common stock subject to redemption reflected on the balance sheet are reconciled in the following table:</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$ 287,500,000</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Overfunding From Private Placements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4,312,500</w:t>
            </w: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(18,781,216)</w:t>
            </w: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 issuance costs</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(15,701,564)</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34,482,780</w:t>
            </w:r>
          </w:p>
        </w:tc>
      </w:tr>
      <w:tr>
        <w:trPr>
          <w:trHeight w:val="210"/>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 December 31, 2021</w:t>
            </w:r>
          </w:p>
        </w:tc>
        <w:tc>
          <w:tcPr>
            <w:tcW w:w="56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291,812,500</w:t>
            </w:r>
          </w:p>
        </w:tc>
      </w:tr>
      <w:tr>
        <w:trPr>
          <w:trHeight w:val="243"/>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5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43"/>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1,244,024</w:t>
            </w:r>
          </w:p>
        </w:tc>
      </w:tr>
      <w:tr>
        <w:trPr>
          <w:trHeight w:val="223"/>
        </w:trPr>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 September 30, 2022</w:t>
            </w:r>
          </w:p>
        </w:tc>
        <w:tc>
          <w:tcPr>
            <w:tcW w:w="56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293,056,524</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5-Private Placement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IPO, the Company’s Sponsor purchased an aggregate of 898,250 Private Placement Units, at a price of $10.00 per unit, or $8,982,500 in the aggregate, in a private placement. A portion of the proceeds from the Private Placement Units was added to the proceeds from the IPO held in the Trust Account. If the Company does not complete a Business Combination within the Combination Period, the proceeds from the sale of the Private Placement Units held in the Trust Account will be used to fund the redemption of the Public Shares (subject to the requirements of applicable law) and the Private Placement Units will be worthless.</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Private Placement Unit will consist of one share of Class A common stock and one redeemable warrant. Each private warrant entitles the holder to purchase one share of Common Stock at a purchase price of $11.50 per share.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Sponsor and the Company’s officers and directors agreed, subject to limited exceptions, not to transfer, assign or sell any of their Private Placement Units until 30 days after the completion of the initial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21, 2021, the Sponsor purchased 8,625,000 shares of the Company’s Class B common stock, par value $0.0001 per share (the “Founder Shares”), for an aggregate price of $25,000. On September 24, 2021, the Company issued 862,500 shares of Class B common stock in connection with a 1.1 stock split, resulting in an aggregate of 9,487,500 shares of Class B common stock outstanding, of which 1,237,500 shares were subject to forfeiture to the extent that the underwriter’s over-allotment option is not exercised. On December 15, 2021, the underwriters fully exercised their over-allotment option, hence, 1,237,500 Founder Shares were no longer subject to forfeiture.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number of founder shares outstanding was determined so that the founder shares, will represent, on an as-converted basis, 24.81% of the outstanding shares after the IPO (excluding the shares of Class A common stock issued to the representative or its designees upon consummation of this offering, the placement units and securities underlying the placement units and assuming the initial stockholders do not purchase units in this offering).</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initial stockholders have agreed not to transfer, assign or sell any of their founder shares (or shares of common stock issuable upon conversion thereof) until the earlier to occur of: (A) six months after the completion of the initial Business Combination and (B) subsequent to the initial Business Combination, if the reported last sale price of the Class A common stock equals or exceeds $12.00 per share (as adjusted for stock splits, stock dividends, reorganizations, recapitalizations and the like) for any 20 trading days within any 30-trading day period commencing after the initial Business Combination. Any permitted transferees will be subject to the same restrictions and other agreements of the initial stockholders with respect to any founder shares (the “Lock-up”).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Promissory Note — Related Party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Sponsors agreed to loan the Company up to $300,000 to be used for a portion of the expenses of the IPO. These loans are non-interest bearing, unsecured and due on demand. As of September 30, 2022 and December 31, 2021, the Company had total of borrowings of $0 and $144,746 under the promissory note, respectively. As of the Initial Public Offering date, December 15, 2021, the Company no longer has the ability to utilize the Promissory note.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 Loans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order to finance transaction costs in connection with an intended initial Business Combination, the Sponsor or an affiliate of the Sponsor or certain of the Company’s officers and directors may, but are not obligated to, loan the Company funds on a non-interest bearing basis as may be required (the “Working Capital Loans”). If the Company completes an initial Business Combination, the Company would repay the Working Capital Loans. In the event that the initial Business Combination does not close, the Company may use a portion of the working capital held outside the Trust Account to repay the Working Capital Loans but no proceeds from the Trust Account would be used for such repayment. Up to $1,500,000 of the Working Capital Loans made by the Sponsor, the Company’s officers and directors, or the Company’s or their affiliates to the Company prior to or in connection with the initial Business Combination may be convertible into units, at a price of $10.00 per unit at the option of the lender, upon consummation of the initial Business Combination. The units would be identical to the placement units. Other than as described above, the terms of the Working Capital Loans by the Sponsor, the Company’s officers and directors or their affiliates, if any, have not been determined and no written agreements exist with respect to the Working Capital Loans. The Company does not expect to seek loans from parties other than the Sponsor or an affiliate of the Sponsor as the Company does not believe third parties will be willing to loan such funds and provide a waiver against any and all rights to seek access to funds in the Trust Account. At September 30, 2022 and December 31, 2021, no such Working Capital Loans were outstanding.</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Support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Commencing on the effective date of the IPO, the Company will pay an affiliate of the Sponsor $10,000 per month for office space, utilities and secretarial and administrative support. Upon completion of the Company’s initial Business Combination or its liquidation, the Company will cease paying these monthly fees. As of September 30, 2022 and December 31, 2021, the Company incurred and paid $82,904 and $7,097 for the administrative service fees.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holders of the founder shares, the representative shares, placement units (including component securities contained therein) and units (including securities contained therein) that may be issued upon conversion of Working Capital Loans, and any shares of Class A common stock issuable upon the exercise of the placement warrants and any shares of Class A common stock and warrants (and underlying Class A common stock) that may be issued upon conversion of the units issued as part of the Working Capital Loans and Class A common stock issuable upon conversion of the founder shares, will be entitled to registration rights pursuant to a registration rights agreement to be signed prior to or on the effective date of the IPO, requiring the Company to register such securities for resale (in the case of the founder shares, only after conversion to the Class A common stock). The holders of the majority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the initial Business Combination and rights to require the Company to register for resale such securities pursuant to</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Rule 415 under the Securities Act. The registration rights agreement does not contain liquidated damages or other cash settlement provisions resulting from delays in registering the Company’s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15, 2021, the Company paid a cash underwriting discount of 1.0% per Unit, or $2,875,000, as part of the underwriting fee.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the underwriter is entitled to a deferred underwriting discount of 3.5% of the IPO gross proceeds or $10,062,500, as a result of the underwriter’s over-allotment exercised in full upon the completion of the Company’s initial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Representative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15, 2021, the Company issued to the representative or its designees 431,250 of Class A common stock (“Representative Shares”). The aggregate fair value of the Representative shares was $3,456,652, or $8.02 per share and recorded as offering costs. The Company accounted for the Representative Shares as an offering cost of the Initial Public Offering, with a corresponding credit to stockholders’ equity.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holders of the Representative Shares have agreed not to transfer, assign or sell any such shares without the Company’s prior consent until the completion of its initial Business Combination. In addition, the holders of the Representative Shares have agreed (i) to waive their redemption rights (or right to participate in any tender offer) with respect to such shares in connection with the completion of the Company’s initial Business Combination and (ii) to waive their rights to liquidating distributions from the Trust Account with respect to such shares if the Company fails to complete its initial Business Combination within 15 months from the closing of the IPO. The representative shares are deemed to be underwriters’ compensation by FINRA pursuant to FINRA Rule 5110. Please see Note 8 for valuation methodology and assumptions used to determine the fair value of the Representative Shares.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of First Refusal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certain conditions, the Company granted the representative, for a period of 15 months after the date of the consummation of the Business Combination, an irrevocable right of first refusal to act as sole investment banker, sole book runner, and/or sole placement agent, at the representative’s sole discretion, for each and every future public and private equity and debt offering, including all equity linked financings for the Company or any of the Company’s successors or current or future subsidiaries. In accordance with FINRA Rule 5110(g)(6)(A), such right of first refusal shall not have a duration of more than three years from the effective date of the registration statement of which this prospectus forms a part.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with a par value of $0.0001 per share. As of September 30, 2022 and December 31, 2021, there were no shares of preferred stock issued or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280,000,000 shares of Class A common stock with a par value of $0.0001 per share. Holders of Class A common stock are entitled to one vote for each share. At September 30, 2022 and December 31, 2021, there were 1,329,500 Class A common stock issued or outstanding, excluding 28,750,000 Class A common stock subject to possible redemption.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B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authorized to issue 20,000,000 shares of Class B common stock with a par value of $0.0001 per share. Holders of the Class B common stock are entitled to one vote for each share. On September 24, 2021, the Company issued 862,500 shares of Class B common stock in connection with a 1.1 stock split. As of December 15, 2021, there were 9,487,500 shares of Class B common stock issued and outstanding.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number of founder shares outstanding was determined so that the founder shares, will represent, on an as-converted basis, 24.81% of the outstanding shares after the IPO (excluding the shares of Class A common stock issued to the representative or its designees upon consummation of this offering, the placement units and securities underlying the placement units and assuming the initial stockholders do not purchase units in this offering).</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shares of Class B common stock will automatically convert into shares of the Class A common stock at the time of the consummation of the initial Business Combination on a one-for-one basis, subject to adjustment for stock splits, stock dividends, reorganizations, recapitalizations etc. In the case that additional shares of Class A common stock, or equity-linked securities, are issued or deemed issued in excess of the amounts offered in this prospectus and related to the closing of the initial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based on the total number of all shares of common stock outstanding upon the completion of the IPO (excluding the shares of Class A common stock to be issued to the representative or its designees upon consummation of this offering, the placement units and securities underlying the placement units and assuming the initial stockholders do not purchase units in this offering) plus all shares of Class A common stock and equity-linked securities issued or deemed issued in connection with the initial Business Combination (excluding any shares or equity-linked securities issued, or to be issued, to any seller in the initial Business Combination or any private placement-equivalent units and their underlying securities issued to the Sponsor or its affiliates upon conversion of Working Capital Loans made to the Company). The term “equity-linked securities” refers to any debt or equity securities that are convertible, exercisable or exchangeable for shares of Class A common stock issued in a financing transaction in connection with the initial Business Combination, including but not limited to a private placement of equity or debt. Securities could be “deemed</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issued” for purposes of the conversion rate adjustment if such shares are issuable upon the conversion or exercise of convertible securities, warrants or similar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warrant entitles the holder to purchase one share of the Company’s Class A common stock at a price of $11.50 per share, subject to adjustment as described herein. The warrants will become exercisable 30 days after the completion of the Company’s initial Business Combination or 12 months after the closing of the IPO.</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warrants will expire at 5:00 p.m., New York City time on the warrant expiration date, which is five years after the completion of the initial Business Combination or earlier upon redemption or liquidation. On the exercise of any warrant, the warrant exercise price will be paid directly to the Company and not placed in the Trust Account.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the Company’s satisfying the Company’s obligations described below with respect to registration. No warrant will be exercisable and the Company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agreed that as soon as practicable after the closing of the initial Business Combination to use its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 registration statement covering the shares of Class A common stock issuable upon exercise of the warrants is not effective by the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foregoing, if a registration statement covering the Class A common stock issuable upon exercise of the warrants is not effective within a specified period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of 1933, as amended, or the Securities Act, provided that such exemption is available. If that exemption, or another exemption, is not available, holders will not be able to exercise their warrants on a cashless basis.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warrants:</w:t>
      </w:r>
    </w:p>
    <w:p>
      <w:pPr>
        <w:spacing w:after="0" w:line="225"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given after the warrants become exercisable (the “30-day redemption period”) to each warrant holder;</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Class A common stock equals or exceeds $18.00 per share (as adjusted for stock splits, stock dividends, reorganizations, recapitalizations and the like) for any 20 trading days within a 30-trading day period</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commencing once the warrants become exercisable and ending three business days before the Company sends the notice of redemption to the warrant holders; and</w:t>
      </w:r>
    </w:p>
    <w:p>
      <w:pPr>
        <w:spacing w:after="0" w:line="162" w:lineRule="exact"/>
        <w:rPr>
          <w:sz w:val="20"/>
          <w:szCs w:val="20"/>
          <w:color w:val="auto"/>
        </w:rPr>
      </w:pPr>
    </w:p>
    <w:p>
      <w:pPr>
        <w:ind w:right="20" w:firstLine="8"/>
        <w:spacing w:after="0" w:line="282" w:lineRule="auto"/>
        <w:tabs>
          <w:tab w:leader="none" w:pos="3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Class A common stock underlying such warrants.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shall mean the average reported last sale price of the shares of Class A common stock for the five trading days ending on the third trading day prior to the date on which the notice of redemption is sent to the holders of warrants.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if (x) the Company issues additional shares of Class A common stock or equity-linked securities for capital raising purposes in connection with the closing of the initial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common stock during the 20 trading day period starting on the trading day prior to the day on which the Company consummates its initial Business Combination (such price, the ”Market Value”) is below $9.20 per share, then the exercise price of the warrants will be adjusted (to the nearest cent) to be equal to 115% of the greater of the Market Value and the Newly Issued Price, and the $18.00 per share redemption trigger price described below under “Redemption of warrants” will be adjusted (to the nearest cent) to be equal to 180% of the greater of the Market Value and the Newly Issued Price.</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Private Warrants, as well as any warrants underlying additional units the Company issues to the Sponsor, officers, directors, initial stockholders or their affiliates in payment of Working Capital Loans made to the Company, will be identical to the warrants underlying the Units being offered in the Initial Public Offering, except that they will not be transferable, assignable or saleable until 30 days after the consummation of the initial Business Combination.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were measured at fair value on a recurring basis as of September 30, 2022 and indicates the fair value hierarchy of the valuation techniques the Company utilized to determine such fair value.</w:t>
      </w:r>
    </w:p>
    <w:p>
      <w:pPr>
        <w:spacing w:after="0" w:line="10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3"/>
                <w:szCs w:val="13"/>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40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40" w:type="dxa"/>
            <w:vAlign w:val="bottom"/>
          </w:tcPr>
          <w:p>
            <w:pPr>
              <w:spacing w:after="0"/>
              <w:rPr>
                <w:sz w:val="12"/>
                <w:szCs w:val="12"/>
                <w:color w:val="auto"/>
              </w:rPr>
            </w:pPr>
          </w:p>
        </w:tc>
        <w:tc>
          <w:tcPr>
            <w:tcW w:w="1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0" w:type="dxa"/>
            <w:vAlign w:val="bottom"/>
          </w:tcPr>
          <w:p>
            <w:pPr>
              <w:spacing w:after="0"/>
              <w:rPr>
                <w:sz w:val="12"/>
                <w:szCs w:val="12"/>
                <w:color w:val="auto"/>
              </w:rPr>
            </w:pPr>
          </w:p>
        </w:tc>
        <w:tc>
          <w:tcPr>
            <w:tcW w:w="13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2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Cash and Marketable Securities</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293,553,956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$ 293,553,956</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24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293,553,956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$ 293,553,956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Subsequent Events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condensed financial statement was issued. Based on the Company’s review, the Company did not identify any subsequent events that would have required adjustment or disclosure in the condensed financial statement.</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12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References in this report (this “Quarterly Report”) to “we,” “us” or the “Company” refer to BurTech Acquisition Corp. References to our “management” or our “management team” refer to our officers and directors, and references to the “Sponsor” refer to BurTech LP, LLC The following discussion and analysis of the Company’s financial condition and results of operations should be read in conjunction with the unaudited condensed financial statements and the notes thereto contained elsewhere in this Quarterly Report. Certain information contained in the discussion and analysis set forth below includes forward-looking statements that involve risks and uncertainties.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includes “forward-looking statements” that are not historical facts and involve risks and uncertainties that could cause actual results to differ materially from those expected and projected. All statements, other than statements of historical fact included in this Quarterly Report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Annual Report on Form 10-K (as defined below) filed with the U.S. Securities and Exchange Commission (the “SEC”). The Company’s filings with the SEC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blank check company incorporated in Delaware on March 2, 2021, for the purpose of effecting a merger, capital stock exchange, asset acquisition, stock purchase, reorganization or similar business combination with one or more businesses. We are an emerging growth company and, as such, we are subject to all of the risks associated with emerging growth companies.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15, 2021, we completed the IPO of 28,750,000 units, including 3,750,000 units from the full exercise of the overallotment option by the underwriters, at $10.00 per unit (the “Units”). Each Unit consists of one Class A common stock and one redeemable warrant (the “Public Warrants”). Each whole warrant entitles the holder to purchase one Class A common stock at a price of $11.50 per share. Simultaneously with the consummation of the IPO, we consummated the private placement of 898,250 units (the “Private Placement Units”) to our sponsor, including 93,750 units from the full exercise of the overallotment option by the underwriters, at a price of $10.00 per units, generate an aggregate of $8,982,500 proceeds.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have only 15 months from the closing of the IPO (the “Combination Period”) to complete the initial Business Combination. If we are unable to complete the initial business combination within the Combination Period (and the stockholders have not approved an amendment to our charter extending this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There will be no redemption rights or liquidating distributions with respect to the warrants, which will expire worthless if we fail to complete the initial business combination within the Combination Period.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entire activity since inception up to September 30, 2022 was in preparation for our initial public offering. We will not generate any operating revenues until the closing and completion of our initial business combination, at the earliest.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2022, we had a net income of $661,883, which consisted of interest from marketable securities held in our Trust Account of $1,317,125, offset by formation and operating costs of $402,504 and provision for income taxes of $252,738.</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we had a net income of $658,283, which consisted of interest from marketable securities held in our Trust Account of $1,740,557, offset by formation and operating costs of $748,860 and provision for income taxes of $333,414.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September 30, 2021, we had no operating result.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period from March 2, 2021 (Inception) through September 30, 2021, we had a net loss of $500, which consisted of formation and operating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2022, the Company had $480,348 in its operating bank accounts, $293,553,956 in investments held in the Trust Account to be used for a Business Combination or to repurchase or redeem its Public Shares in connection therewith and working capital of $594,967. As of September 30, 2022, $1,740,557 of the amount on deposit in the Trust Account represented interest income.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liquidity needs up to September 30, 2022 had been satisfied through a payment from our sponsor of $25,000 for the Founder Shares to cover certain offering costs, the loan under an unsecured promissory note from the Sponsor of $144,746 and the net proceeds from the consummation of the Initial Public Offering held outside of the trust account. As of September 30, 2022, there were no amounts outstanding under any Working Capital Loans.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Until the consummation of a Business Combination, the Company will use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 The Company expects it will need to raise additional capital through loans or additional investments from its Sponsor, stockholders, officers, directors, or third parties. The Company’s officers, directors and the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These conditions raise substantial doubt about the Company’s ability to continue as a going concern. These financial statements do not include any adjustments relating to the recovery of the recorded assets or the classification of the liabilities that might be necessary should the Company be unable to continue as a going concern.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unaudited condensed financial statements in conformity with U.S. GAAP requires management to make estimates and assumptions that affect the reported amounts of assets and liabilities and disclosure of contingent assets and liabilities at the date of the unaudited condensed financial statements and the reported amounts of expenses during the reporting period. Actual results could differ from those estimates. We have identified the following as our critical accounting policies: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account for our common stock subject to possible redemption in accordance with the guidance in ASC Topic 480 “Distinguishing Liabilities from Equity.” Common stock subject to mandatory redemption (if any) is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our control) are classified as</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temporary equity. At all other times, common stock is classified as stockholders’ equity. Our Class A common stock feature certain redemption rights that are considered to be outside of our control and subject to the occurrence of uncertain future events. Accordingly, as of September 30, 2022 and December 31, 2021, 28,750,000 Class A common stock subject to possible redemption are presented at redemption value as temporary equity, outside of the stockholders’ deficit section of our balance sheets.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use derivative instruments to hedge exposures to cash flow, market, or foreign currency risks. We evaluate all of our financial instruments, including issued stock purchase warrants, to determine if such instruments are derivatives or contain features that qualify as embedded derivatives, pursuant to ASC 480 and ASC 815-15.</w:t>
      </w:r>
    </w:p>
    <w:p>
      <w:pPr>
        <w:spacing w:after="0" w:line="1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account for the public warrants and private warrants collectively (“Warrants”), as either equity or liability-classified instruments based on an assessment of the specific terms of the Warrants and the applicable authoritative guidance in Financial Accounting Standards Board (“FASB”) Accounting Standards Codification (“ASC”) 815, Derivatives and Hedging (“ASC 815”). The assessment considers whether the Warrants meet all of the requirements for equity classification under ASC 815, including whether the Warrants are indexed to our own common stocks and whether the warrant holders could potentially require “net cash settlement” in a circumstance outside of our control, among other conditions for equity classification. This assessment, which requires the use of professional judgment, is conducted at the time of issuance of the Warrants and as of each subsequent quarterly period end date while the Warrants are outstanding.</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such warrants are required to be recorded as a component of additional paid-in capital at the time of issuance. For issued or modified warrants that do not meet all the criteria for equity classification, such warrants are required to be recorded at their initial fair value on the date of issuance, and each balance sheet date thereafter. Changes in the estimated fair value of liability-classified warrants are recognized as a non-cash gain or loss on the statements of operations.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evaluated the public warrants and private warrants in accordance with ASC 815-40, “Derivatives and Hedging — Contracts in Entity’s Own Equity,” and concluded that they met the criteria for equity classification and are required to be recorded as part a component of additional paid-in capital at the time of issuance.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Income/Loss Per Common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two classes of shares, which are referred to as Class A common stock and Class B common stock. Earnings and losses are shared pro rata between the two classes of shares. The 29,648,250 potential common stocks for outstanding warrants to purchase our shares were excluded from diluted earnings per share for the three and nine months ended September 30, 2022 because the warrants are contingently exercisable, and the contingencies have not yet been met and its inclusion would be anti-dilutive. As a result, diluted net income or loss per common stock is the same as basic net income or loss per common stock for the periods.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Financing Arrangements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 obligations, assets or liabilities, which would be considered off-balance sheet arrangements as of September 30, 2022 and December 31, 2021.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have any long-term debt, capital lease obligations, operating lease obligations or long-term liabilities, other than an agreement to pay an affiliate of our financial advisor a monthly fee of $10,000 for office space, utilities and administrative support. Upon completion of our Business Combination or the Company’s liquidation, we will cease paying these monthly fees.</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August 2020, the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 a smaller reporting company, ASU 2020-06 is effective January 1, 2024 for fiscal years beginning after December 15, 2023 and should be applied on a full or modified retrospective basis, with early adoption permitted beginning on January 1, 2021. We are currently assessing the impact, if any, that ASU 2020-06 would have on our financial position, results of operations or cash flows. We have not adopted this guidance as of September 30, 2022.</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management does not believe that any other recently issued, but not yet effective, accounting standards if currently adopted would have a material effect on the accompanying financial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make disclosures under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principal executive officer and principal financial officer, to allow timely decisions regarding required disclosure.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the effectiveness of our disclosure controls and procedures as of the end of the fiscal quarter ended September 30, 2022, as such term is defined in Rules 13a-15(e) and 15d-15(e) under the Exchange Act. Based on this evaluation, our principal executive officer and principal financial officer has concluded that during the period covered by this report, our disclosure controls and procedures were effective.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the Excise Tax included in the Inflation Reduction Act of 2022 in the event of a liquidation or in connection with redemptions of our common stock after December 31, 2022.</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16, 2022, President Biden signed into law the Inflation Reduction Act of 2022 (the “IR Act”), which, among other things, imposes a 1% excise tax on any publicly traded domestic corporation that repurchases its stock after December 31, 2022 (the “Excise Tax”). The Excise Tax is imposed on the fair market value of the repurchased stock, with certain exceptions. Because we are a Delaware corporation and our securities are trading on Nasdaq, we will be a “covered corporation” within the meaning of the IR Act. While not free from doubt, absent any further guidance from the U.S. Department of the Treasury (the “Treasury”), who has been given authority to provide regulations and other guidance to carry out and prevent the abuse or avoidance of the excise tax, the Excise Tax may apply to any redemptions of our common stock after December 31, 2022, including redemptions in connection with an initial Business Combination, extension vote or otherwise, unless an exemption is available. Issuances of securities in connection with our initial Business Combination transaction (including any PIPE transaction at the time of our initial Business Combination) are expected to reduce the amount of the Excise Tax in connection with redemptions occurring in the same calendar year, but the number of securities redeemed may exceed the number of securities issued.</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a Business Combination, (iii) the nature and amount of any “PIPE” or other equity issuances in connection with a Business Combination (or otherwise issued not in connection with a Business Combination but issued within the same taxable year of a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In addition, because the Excise tax would be payable by us, and not by the redeeming holder, the mechanics of any required payment of the Excise tax have not been determined. Further, the application of the Excise tax in the event of a liquidation is uncertain. Consequently, the Excise Tax may make a transaction with us less appealing to potential Business Combination targets. Further, the application of the Excise Tax in the event of a liquidation is uncertain.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60" w:type="dxa"/>
            <w:vAlign w:val="bottom"/>
          </w:tcPr>
          <w:p>
            <w:pPr>
              <w:spacing w:after="0"/>
              <w:rPr>
                <w:sz w:val="15"/>
                <w:szCs w:val="15"/>
                <w:color w:val="auto"/>
              </w:rPr>
            </w:pPr>
          </w:p>
        </w:tc>
        <w:tc>
          <w:tcPr>
            <w:tcW w:w="8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0000EE"/>
            </w:tcBorders>
            <w:shd w:val="clear" w:color="auto" w:fill="CCEEFF"/>
          </w:tcPr>
          <w:p>
            <w:pPr>
              <w:spacing w:after="0"/>
              <w:rPr>
                <w:sz w:val="14"/>
                <w:szCs w:val="14"/>
                <w:color w:val="auto"/>
              </w:rPr>
            </w:pPr>
          </w:p>
        </w:tc>
        <w:tc>
          <w:tcPr>
            <w:tcW w:w="8420" w:type="dxa"/>
            <w:vAlign w:val="bottom"/>
            <w:tcBorders>
              <w:top w:val="single" w:sz="8" w:color="auto"/>
              <w:bottom w:val="single" w:sz="8" w:color="0000EE"/>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Securities Exchange Act Rules 13a-14(a) and 15d-14(a), as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4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60" w:type="dxa"/>
            <w:vAlign w:val="bottom"/>
            <w:tcBorders>
              <w:top w:val="single" w:sz="8" w:color="0000EE"/>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2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260" w:type="dxa"/>
            <w:vAlign w:val="bottom"/>
          </w:tcPr>
          <w:p>
            <w:pPr>
              <w:spacing w:after="0"/>
              <w:rPr>
                <w:sz w:val="15"/>
                <w:szCs w:val="15"/>
                <w:color w:val="auto"/>
              </w:rPr>
            </w:pPr>
          </w:p>
        </w:tc>
        <w:tc>
          <w:tcPr>
            <w:tcW w:w="8440" w:type="dxa"/>
            <w:vAlign w:val="bottom"/>
            <w:tcBorders>
              <w:bottom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Securities Exchange Act Rules 13a-14(a) and 15d-14(a), as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60" w:type="dxa"/>
            <w:vAlign w:val="bottom"/>
            <w:tcBorders>
              <w:top w:val="single" w:sz="8" w:color="0000EE"/>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60" w:type="dxa"/>
            <w:vAlign w:val="bottom"/>
            <w:tcBorders>
              <w:bottom w:val="single" w:sz="8" w:color="CCEEFF"/>
            </w:tcBorders>
            <w:shd w:val="clear" w:color="auto" w:fill="CCEEFF"/>
          </w:tcPr>
          <w:p>
            <w:pPr>
              <w:spacing w:after="0"/>
              <w:rPr>
                <w:sz w:val="15"/>
                <w:szCs w:val="15"/>
                <w:color w:val="auto"/>
              </w:rPr>
            </w:pPr>
          </w:p>
        </w:tc>
        <w:tc>
          <w:tcPr>
            <w:tcW w:w="844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and Principal Financial Officer Pursuant to 18 U.S.C. Section 1350, 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4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906 of the Sarbanes-Oxley Act of 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101.INS</w:t>
            </w:r>
          </w:p>
        </w:tc>
        <w:tc>
          <w:tcPr>
            <w:tcW w:w="260" w:type="dxa"/>
            <w:vAlign w:val="bottom"/>
            <w:tcBorders>
              <w:top w:val="single" w:sz="8" w:color="CCEEFF"/>
            </w:tcBorders>
          </w:tcPr>
          <w:p>
            <w:pPr>
              <w:spacing w:after="0"/>
              <w:rPr>
                <w:sz w:val="18"/>
                <w:szCs w:val="18"/>
                <w:color w:val="auto"/>
              </w:rPr>
            </w:pPr>
          </w:p>
        </w:tc>
        <w:tc>
          <w:tcPr>
            <w:tcW w:w="48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3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260" w:type="dxa"/>
            <w:vAlign w:val="bottom"/>
            <w:shd w:val="clear" w:color="auto" w:fill="CCEEFF"/>
          </w:tcPr>
          <w:p>
            <w:pPr>
              <w:spacing w:after="0"/>
              <w:rPr>
                <w:sz w:val="18"/>
                <w:szCs w:val="18"/>
                <w:color w:val="auto"/>
              </w:rPr>
            </w:pPr>
          </w:p>
        </w:tc>
        <w:tc>
          <w:tcPr>
            <w:tcW w:w="8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60" w:type="dxa"/>
            <w:vAlign w:val="bottom"/>
          </w:tcPr>
          <w:p>
            <w:pPr>
              <w:spacing w:after="0"/>
              <w:rPr>
                <w:sz w:val="18"/>
                <w:szCs w:val="18"/>
                <w:color w:val="auto"/>
              </w:rPr>
            </w:pPr>
          </w:p>
        </w:tc>
        <w:tc>
          <w:tcPr>
            <w:tcW w:w="8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260" w:type="dxa"/>
            <w:vAlign w:val="bottom"/>
            <w:shd w:val="clear" w:color="auto" w:fill="CCEEFF"/>
          </w:tcPr>
          <w:p>
            <w:pPr>
              <w:spacing w:after="0"/>
              <w:rPr>
                <w:sz w:val="18"/>
                <w:szCs w:val="18"/>
                <w:color w:val="auto"/>
              </w:rPr>
            </w:pPr>
          </w:p>
        </w:tc>
        <w:tc>
          <w:tcPr>
            <w:tcW w:w="8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60" w:type="dxa"/>
            <w:vAlign w:val="bottom"/>
          </w:tcPr>
          <w:p>
            <w:pPr>
              <w:spacing w:after="0"/>
              <w:rPr>
                <w:sz w:val="18"/>
                <w:szCs w:val="18"/>
                <w:color w:val="auto"/>
              </w:rPr>
            </w:pPr>
          </w:p>
        </w:tc>
        <w:tc>
          <w:tcPr>
            <w:tcW w:w="8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260" w:type="dxa"/>
            <w:vAlign w:val="bottom"/>
            <w:shd w:val="clear" w:color="auto" w:fill="CCEEFF"/>
          </w:tcPr>
          <w:p>
            <w:pPr>
              <w:spacing w:after="0"/>
              <w:rPr>
                <w:sz w:val="18"/>
                <w:szCs w:val="18"/>
                <w:color w:val="auto"/>
              </w:rPr>
            </w:pPr>
          </w:p>
        </w:tc>
        <w:tc>
          <w:tcPr>
            <w:tcW w:w="8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0"/>
                <w:szCs w:val="20"/>
                <w:color w:val="auto"/>
              </w:rPr>
            </w:pPr>
          </w:p>
        </w:tc>
        <w:tc>
          <w:tcPr>
            <w:tcW w:w="8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9"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jc w:val="both"/>
        <w:ind w:left="340" w:right="20" w:hanging="332"/>
        <w:spacing w:after="0" w:line="253"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This certification is being furnished solely to accompany this report pursuant to 18 U.S.C. Section 1350, and is not being filed for purposes of Section 18 of the Exchange Act of 1934, as amended, and is not to be incorporated by reference into any filings of the Company,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6600" w:type="dxa"/>
            <w:vAlign w:val="bottom"/>
            <w:gridSpan w:val="2"/>
          </w:tcPr>
          <w:p>
            <w:pPr>
              <w:ind w:left="1640"/>
              <w:spacing w:after="0"/>
              <w:rPr>
                <w:sz w:val="20"/>
                <w:szCs w:val="20"/>
                <w:color w:val="auto"/>
              </w:rPr>
            </w:pPr>
            <w:r>
              <w:rPr>
                <w:rFonts w:ascii="Times New Roman" w:cs="Times New Roman" w:eastAsia="Times New Roman" w:hAnsi="Times New Roman"/>
                <w:sz w:val="18"/>
                <w:szCs w:val="18"/>
                <w:b w:val="1"/>
                <w:bCs w:val="1"/>
                <w:color w:val="auto"/>
              </w:rPr>
              <w:t>BurTech Acquisition Corp.</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14, 2022</w:t>
            </w:r>
          </w:p>
        </w:tc>
        <w:tc>
          <w:tcPr>
            <w:tcW w:w="660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By:/s/ Shahal Khan</w:t>
            </w:r>
          </w:p>
        </w:tc>
      </w:tr>
      <w:tr>
        <w:trPr>
          <w:trHeight w:val="189"/>
        </w:trPr>
        <w:tc>
          <w:tcPr>
            <w:tcW w:w="33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7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Shahal Khan</w:t>
            </w:r>
          </w:p>
        </w:tc>
      </w:tr>
      <w:tr>
        <w:trPr>
          <w:trHeight w:val="236"/>
        </w:trPr>
        <w:tc>
          <w:tcPr>
            <w:tcW w:w="3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14, 2022</w:t>
            </w:r>
          </w:p>
        </w:tc>
        <w:tc>
          <w:tcPr>
            <w:tcW w:w="660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By:/s/ Roman Livson</w:t>
            </w:r>
          </w:p>
        </w:tc>
      </w:tr>
      <w:tr>
        <w:trPr>
          <w:trHeight w:val="191"/>
        </w:trPr>
        <w:tc>
          <w:tcPr>
            <w:tcW w:w="33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Roman Livson</w:t>
            </w:r>
          </w:p>
        </w:tc>
      </w:tr>
      <w:tr>
        <w:trPr>
          <w:trHeight w:val="214"/>
        </w:trPr>
        <w:tc>
          <w:tcPr>
            <w:tcW w:w="3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Secretary</w:t>
            </w:r>
          </w:p>
        </w:tc>
      </w:tr>
      <w:tr>
        <w:trPr>
          <w:trHeight w:val="236"/>
        </w:trPr>
        <w:tc>
          <w:tcPr>
            <w:tcW w:w="3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Shahal Khan, certify that:</w:t>
      </w:r>
    </w:p>
    <w:p>
      <w:pPr>
        <w:spacing w:after="0" w:line="225"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2022 of BurTech Acquisition Corp.;</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18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1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periods in which this report is being prepared; and</w:t>
      </w:r>
    </w:p>
    <w:p>
      <w:pPr>
        <w:spacing w:after="0" w:line="175"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5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periods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8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18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6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20" w:hanging="4"/>
        <w:spacing w:after="0" w:line="282" w:lineRule="auto"/>
        <w:tabs>
          <w:tab w:leader="none" w:pos="89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2022</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By:/s/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5715</wp:posOffset>
            </wp:positionV>
            <wp:extent cx="31286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ind w:left="4980"/>
        <w:spacing w:after="0"/>
        <w:rPr>
          <w:sz w:val="20"/>
          <w:szCs w:val="20"/>
          <w:color w:val="auto"/>
        </w:rPr>
      </w:pPr>
      <w:r>
        <w:rPr>
          <w:rFonts w:ascii="Times New Roman" w:cs="Times New Roman" w:eastAsia="Times New Roman" w:hAnsi="Times New Roman"/>
          <w:sz w:val="18"/>
          <w:szCs w:val="18"/>
          <w:color w:val="auto"/>
        </w:rPr>
        <w:t>Shahal Khan</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Roman Livson, certify that:</w:t>
      </w:r>
    </w:p>
    <w:p>
      <w:pPr>
        <w:spacing w:after="0" w:line="225"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2022 of BurTech Acquisition Corp.;</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18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1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periods in which this report is being prepared; and</w:t>
      </w:r>
    </w:p>
    <w:p>
      <w:pPr>
        <w:spacing w:after="0" w:line="175"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5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periods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8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18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6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20" w:hanging="4"/>
        <w:spacing w:after="0" w:line="282" w:lineRule="auto"/>
        <w:tabs>
          <w:tab w:leader="none" w:pos="89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2022</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By:/s/ Roman Livson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5715</wp:posOffset>
            </wp:positionV>
            <wp:extent cx="31286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ind w:left="4980"/>
        <w:spacing w:after="0"/>
        <w:rPr>
          <w:sz w:val="20"/>
          <w:szCs w:val="20"/>
          <w:color w:val="auto"/>
        </w:rPr>
      </w:pPr>
      <w:r>
        <w:rPr>
          <w:rFonts w:ascii="Times New Roman" w:cs="Times New Roman" w:eastAsia="Times New Roman" w:hAnsi="Times New Roman"/>
          <w:sz w:val="18"/>
          <w:szCs w:val="18"/>
          <w:color w:val="auto"/>
        </w:rPr>
        <w:t>Roman Livson</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Chief Financial Officer and Secretary</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BurTech Acquisition Corp. (the “Company”) on Form 10-Q for the quarterly period ended September 30, 2022, as filed with the Securities and Exchange Commission (the “Report”), each of the undersigned, in the capacities and on the dates indicated below, certify, pursuant to 18 U.S.C. §1350, as added by §906 of the Sarbanes-Oxley Act of 2002, that:</w:t>
      </w:r>
    </w:p>
    <w:p>
      <w:pPr>
        <w:spacing w:after="0" w:line="176" w:lineRule="exact"/>
        <w:rPr>
          <w:sz w:val="20"/>
          <w:szCs w:val="20"/>
          <w:color w:val="auto"/>
        </w:rPr>
      </w:pPr>
    </w:p>
    <w:p>
      <w:pPr>
        <w:ind w:left="840" w:hanging="184"/>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4"/>
        <w:spacing w:after="0" w:line="282" w:lineRule="auto"/>
        <w:tabs>
          <w:tab w:leader="none" w:pos="84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2022</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By:/s/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5715</wp:posOffset>
            </wp:positionV>
            <wp:extent cx="31286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ind w:left="4980"/>
        <w:spacing w:after="0"/>
        <w:rPr>
          <w:sz w:val="20"/>
          <w:szCs w:val="20"/>
          <w:color w:val="auto"/>
        </w:rPr>
      </w:pPr>
      <w:r>
        <w:rPr>
          <w:rFonts w:ascii="Times New Roman" w:cs="Times New Roman" w:eastAsia="Times New Roman" w:hAnsi="Times New Roman"/>
          <w:sz w:val="18"/>
          <w:szCs w:val="18"/>
          <w:color w:val="auto"/>
        </w:rPr>
        <w:t>Shahal Khan</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2022</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By:/s/ Roman Livson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5715</wp:posOffset>
            </wp:positionV>
            <wp:extent cx="31286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ind w:left="4980"/>
        <w:spacing w:after="0"/>
        <w:rPr>
          <w:sz w:val="20"/>
          <w:szCs w:val="20"/>
          <w:color w:val="auto"/>
        </w:rPr>
      </w:pPr>
      <w:r>
        <w:rPr>
          <w:rFonts w:ascii="Times New Roman" w:cs="Times New Roman" w:eastAsia="Times New Roman" w:hAnsi="Times New Roman"/>
          <w:sz w:val="18"/>
          <w:szCs w:val="18"/>
          <w:color w:val="auto"/>
        </w:rPr>
        <w:t>Roman Livson</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Chief Financial Officer and Secretary</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lowerRoman"/>
      <w:start w:val="3"/>
    </w:lvl>
  </w:abstractNum>
  <w:abstractNum w:abstractNumId="3">
    <w:nsid w:val="7545E146"/>
    <w:multiLevelType w:val="hybridMultilevel"/>
    <w:lvl w:ilvl="0">
      <w:lvlJc w:val="left"/>
      <w:lvlText w:val="(%1)"/>
      <w:numFmt w:val="lowerRoman"/>
      <w:start w:val="4"/>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2022-11-14T11:19:28Z</dcterms:created>
  <dcterms:modified xsi:type="dcterms:W3CDTF">2022-11-14T11:19:28Z</dcterms:modified>
</cp:coreProperties>
</file>