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August 1,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333-288742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Amendment No. 2 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2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2"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2840" w:type="dxa"/>
            <w:vAlign w:val="bottom"/>
          </w:tcPr>
          <w:p>
            <w:pPr>
              <w:jc w:val="center"/>
              <w:ind w:right="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60" w:type="dxa"/>
            <w:vAlign w:val="bottom"/>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9"/>
              </w:rPr>
              <w:t>3674</w:t>
            </w:r>
          </w:p>
        </w:tc>
        <w:tc>
          <w:tcPr>
            <w:tcW w:w="2200" w:type="dxa"/>
            <w:vAlign w:val="bottom"/>
          </w:tcPr>
          <w:p>
            <w:pPr>
              <w:jc w:val="center"/>
              <w:ind w:left="982"/>
              <w:spacing w:after="0"/>
              <w:rPr>
                <w:sz w:val="20"/>
                <w:szCs w:val="20"/>
                <w:color w:val="auto"/>
              </w:rPr>
            </w:pPr>
            <w:r>
              <w:rPr>
                <w:rFonts w:ascii="Times New Roman" w:cs="Times New Roman" w:eastAsia="Times New Roman" w:hAnsi="Times New Roman"/>
                <w:sz w:val="18"/>
                <w:szCs w:val="18"/>
                <w:b w:val="1"/>
                <w:bCs w:val="1"/>
                <w:color w:val="auto"/>
                <w:w w:val="98"/>
              </w:rPr>
              <w:t>86-2708752</w:t>
            </w:r>
          </w:p>
        </w:tc>
      </w:tr>
      <w:tr>
        <w:trPr>
          <w:trHeight w:val="149"/>
        </w:trPr>
        <w:tc>
          <w:tcPr>
            <w:tcW w:w="2840" w:type="dxa"/>
            <w:vAlign w:val="bottom"/>
          </w:tcPr>
          <w:p>
            <w:pPr>
              <w:jc w:val="center"/>
              <w:ind w:righ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200" w:type="dxa"/>
            <w:vAlign w:val="bottom"/>
          </w:tcPr>
          <w:p>
            <w:pPr>
              <w:jc w:val="center"/>
              <w:ind w:left="9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200" w:type="dxa"/>
            <w:vAlign w:val="bottom"/>
          </w:tcPr>
          <w:p>
            <w:pPr>
              <w:jc w:val="center"/>
              <w:ind w:left="9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4659 Golden Foothill Parkway, Suite 206El Dorado Hills, CA 95762</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(916) 347-0050</w:t>
      </w:r>
    </w:p>
    <w:p>
      <w:pPr>
        <w:spacing w:after="0" w:line="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Harminder Sehmi</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4659 Golden Foothill Parkway, Suite 206</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El Dorado Hills, CA 95762</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(916) 347-0050</w:t>
      </w:r>
    </w:p>
    <w:p>
      <w:pPr>
        <w:spacing w:after="0" w:line="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Ryan J. Maierson</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Ryan J. Lynch</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811 Main Street, Suite 3700</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Houston, TX 77002</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(713) 546-5400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the effective date of this Registration Statement.</w:t>
      </w:r>
    </w:p>
    <w:p>
      <w:pPr>
        <w:spacing w:after="0" w:line="67" w:lineRule="exact"/>
        <w:rPr>
          <w:sz w:val="24"/>
          <w:szCs w:val="24"/>
          <w:color w:val="auto"/>
        </w:rPr>
      </w:pPr>
    </w:p>
    <w:p>
      <w:pPr>
        <w:ind w:left="120"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8" w:lineRule="exact"/>
        <w:rPr>
          <w:sz w:val="24"/>
          <w:szCs w:val="24"/>
          <w:color w:val="auto"/>
        </w:rPr>
      </w:pPr>
    </w:p>
    <w:p>
      <w:pPr>
        <w:ind w:left="120" w:right="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 w:lineRule="exact"/>
        <w:rPr>
          <w:sz w:val="24"/>
          <w:szCs w:val="24"/>
          <w:color w:val="auto"/>
        </w:rPr>
      </w:pPr>
    </w:p>
    <w:p>
      <w:pPr>
        <w:ind w:left="120" w:right="3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 w:lineRule="exact"/>
        <w:rPr>
          <w:sz w:val="24"/>
          <w:szCs w:val="24"/>
          <w:color w:val="auto"/>
        </w:rPr>
      </w:pPr>
    </w:p>
    <w:p>
      <w:pPr>
        <w:ind w:left="120" w:right="3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 w:lineRule="exact"/>
        <w:rPr>
          <w:sz w:val="24"/>
          <w:szCs w:val="24"/>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20" w:type="dxa"/>
        <w:tblCellMar>
          <w:top w:w="0" w:type="dxa"/>
          <w:left w:w="0" w:type="dxa"/>
          <w:bottom w:w="0" w:type="dxa"/>
          <w:right w:w="0" w:type="dxa"/>
        </w:tblCellMar>
      </w:tblPr>
      <w:tr>
        <w:trPr>
          <w:trHeight w:val="24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 w:lineRule="exact"/>
        <w:rPr>
          <w:sz w:val="24"/>
          <w:szCs w:val="24"/>
          <w:color w:val="auto"/>
        </w:rPr>
      </w:pPr>
    </w:p>
    <w:p>
      <w:pPr>
        <w:ind w:left="120" w:right="300"/>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102870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7" w:lineRule="exact"/>
        <w:rPr>
          <w:sz w:val="24"/>
          <w:szCs w:val="24"/>
          <w:color w:val="auto"/>
        </w:rPr>
      </w:pPr>
    </w:p>
    <w:p>
      <w:pPr>
        <w:ind w:left="120" w:right="14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5" w:right="439" w:bottom="875"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0260"/>
          </w:cols>
          <w:pgMar w:left="320" w:top="482" w:right="1319" w:bottom="1440" w:gutter="0" w:footer="0" w:header="0"/>
        </w:sectPr>
      </w:pPr>
    </w:p>
    <w:p>
      <w:pPr>
        <w:spacing w:after="0" w:line="361" w:lineRule="exact"/>
        <w:rPr>
          <w:sz w:val="20"/>
          <w:szCs w:val="20"/>
          <w:color w:val="auto"/>
        </w:rPr>
      </w:pPr>
    </w:p>
    <w:tbl>
      <w:tblPr>
        <w:tblLayout w:type="fixed"/>
        <w:tblInd w:w="120" w:type="dxa"/>
        <w:tblCellMar>
          <w:top w:w="0" w:type="dxa"/>
          <w:left w:w="0" w:type="dxa"/>
          <w:bottom w:w="0" w:type="dxa"/>
          <w:right w:w="0" w:type="dxa"/>
        </w:tblCellMar>
      </w:tblPr>
      <w:tr>
        <w:trPr>
          <w:trHeight w:val="3170"/>
        </w:trPr>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rPr>
              <w:t>sold until the registration statement</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4338"/>
              </w:rPr>
              <w:t>to sell these securities and it is not</w:t>
            </w:r>
          </w:p>
        </w:tc>
        <w:tc>
          <w:tcPr>
            <w:tcW w:w="180" w:type="dxa"/>
            <w:vAlign w:val="bottom"/>
          </w:tcPr>
          <w:p>
            <w:pPr>
              <w:spacing w:after="0"/>
              <w:rPr>
                <w:sz w:val="24"/>
                <w:szCs w:val="24"/>
                <w:color w:val="auto"/>
              </w:rPr>
            </w:pPr>
          </w:p>
        </w:tc>
      </w:tr>
      <w:tr>
        <w:trPr>
          <w:trHeight w:val="8972"/>
        </w:trPr>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rPr>
              <w:t>The information in this prospectus is not complete and may be changed. These securities may not be</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4338"/>
              </w:rPr>
              <w:t>filed with the U.S. Securities and Exchange Commission is effective. This prospectus is not an offer</w:t>
            </w:r>
          </w:p>
        </w:tc>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soliciting an offer to buy these securities in any state where the offer or sale is not 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4338"/>
        </w:rPr>
        <w:t>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4338"/>
        </w:rPr>
        <w:t>Preliminary Prospectus dated August 1,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20,326,158 Shares of Common Stock by the Selling Stockholder</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769,231 Shares of Common Stock by Cantor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135890</wp:posOffset>
            </wp:positionV>
            <wp:extent cx="1234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48"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6"/>
          <w:szCs w:val="16"/>
          <w:color w:val="auto"/>
        </w:rPr>
        <w:t>This prospectus relates to the offer and sale of up to 20,326,158 shares of our Common Stock, par value $0.0001 per share (“the Common Stock”), by B. Riley Principal Capital II, LLC, whom we refer to in this prospectus as “B. Riley Principal Capital II” or the “Selling Stockholder.”</w:t>
      </w:r>
    </w:p>
    <w:p>
      <w:pPr>
        <w:spacing w:after="0" w:line="1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6"/>
          <w:szCs w:val="16"/>
          <w:color w:val="auto"/>
        </w:rPr>
        <w:t>The shares of Common Stock to which this prospectus relates have been or may be issued by us to B. Riley Principal Capital II pursuant to a common stock purchase agreement, dated as of July 14, 2025, we entered into with B. Riley Principal Capital II, which we refer to in this prospectus as the Purchase Agreement. Such shares of Common Stock include up to 20,326,158 shares of Common Stock, consisting of (i) up to 20,242,805 shares of Common Stock (the “Purchase Shares”) that we may, in our sole discretion, elect to sell to B. Riley Principal Capital II, from time to time over a period of up to 36 months from and after the Commencement Date (defined below) pursuant to the Purchase Agreement and (ii) 83,353 shares of Common Stock (the “Commitment Shares” and, together with the Purchase Shares, “BRPC Shares”) we issued to B. Riley Principal Capital II, together with our cash payment of $200,000 to B. Riley Principal Capital II, upon our execution of the Purchase Agreement on July 15, 2025, as consideration for its commitment to purchase shares of our Common Stock that we may, in our sole discretion, direct B. Riley Principal Capital II to purchase from us pursuant to the Purchase Agreement. We are not selling any securities under this prospectus and will not receive any of the proceeds from the sale of our Common Stock by the Selling Stockholder. However, we may receive up to $50,000,000 aggregate gross proceeds under the Purchase Agreement from sales of Common Stock we may elect to make to B. Riley Principal Capital II pursuant to the Purchase Agreement after the date of this prospectus. See “</w:t>
      </w:r>
      <w:r>
        <w:rPr>
          <w:rFonts w:ascii="Times New Roman" w:cs="Times New Roman" w:eastAsia="Times New Roman" w:hAnsi="Times New Roman"/>
          <w:sz w:val="16"/>
          <w:szCs w:val="16"/>
          <w:i w:val="1"/>
          <w:iCs w:val="1"/>
          <w:color w:val="auto"/>
        </w:rPr>
        <w:t>The Committed Equity Facility</w:t>
      </w:r>
      <w:r>
        <w:rPr>
          <w:rFonts w:ascii="Times New Roman" w:cs="Times New Roman" w:eastAsia="Times New Roman" w:hAnsi="Times New Roman"/>
          <w:sz w:val="16"/>
          <w:szCs w:val="16"/>
          <w:color w:val="auto"/>
        </w:rPr>
        <w:t>” for a description of the Purchase Agreement and “</w:t>
      </w:r>
      <w:r>
        <w:rPr>
          <w:rFonts w:ascii="Times New Roman" w:cs="Times New Roman" w:eastAsia="Times New Roman" w:hAnsi="Times New Roman"/>
          <w:sz w:val="16"/>
          <w:szCs w:val="16"/>
          <w:i w:val="1"/>
          <w:iCs w:val="1"/>
          <w:color w:val="auto"/>
        </w:rPr>
        <w:t>Selling Securityholders – Selling Stockholder</w:t>
      </w:r>
      <w:r>
        <w:rPr>
          <w:rFonts w:ascii="Times New Roman" w:cs="Times New Roman" w:eastAsia="Times New Roman" w:hAnsi="Times New Roman"/>
          <w:sz w:val="16"/>
          <w:szCs w:val="16"/>
          <w:color w:val="auto"/>
        </w:rPr>
        <w:t>” for additional information regarding B. Riley Principal Capital II.</w:t>
      </w:r>
    </w:p>
    <w:p>
      <w:pPr>
        <w:spacing w:after="0" w:line="3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B. Riley Principal Capital II may sell or otherwise dispose of BRPC Shares described in this prospectus in a number of different ways and at varying prices. See “</w:t>
      </w:r>
      <w:r>
        <w:rPr>
          <w:rFonts w:ascii="Times New Roman" w:cs="Times New Roman" w:eastAsia="Times New Roman" w:hAnsi="Times New Roman"/>
          <w:sz w:val="16"/>
          <w:szCs w:val="16"/>
          <w:i w:val="1"/>
          <w:iCs w:val="1"/>
          <w:color w:val="auto"/>
        </w:rPr>
        <w:t>Plan of Distribution (Conflict of Interest) – Offer and Resale of Common Stock by the Selling Stockholder</w:t>
      </w:r>
      <w:r>
        <w:rPr>
          <w:rFonts w:ascii="Times New Roman" w:cs="Times New Roman" w:eastAsia="Times New Roman" w:hAnsi="Times New Roman"/>
          <w:sz w:val="16"/>
          <w:szCs w:val="16"/>
          <w:color w:val="auto"/>
        </w:rPr>
        <w:t>” for more information about how B. Riley Principal Capital II may sell or otherwise dispose of BRPC Shares pursuant to this prospectus. B. Riley Principal Capital II is an “underwriter” within the meaning of Section 2(a)(11) of the Securities Act of 1933, as amended, or the Securities Act.</w:t>
      </w:r>
    </w:p>
    <w:p>
      <w:pPr>
        <w:spacing w:after="0" w:line="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This prospectus also relates in part to the offer and sale of up to 769,231 shares of our Common Stock by Cantor Fitzgerald &amp; Co. (“Cantor”) (including its donees, pledgees, transferees and other successors-in-interest). References herein to the “Selling Securityholders” are to B. Riley Principal Capital II and Cantor, collectively.</w:t>
      </w:r>
    </w:p>
    <w:p>
      <w:pPr>
        <w:spacing w:after="0" w:line="15" w:lineRule="exact"/>
        <w:rPr>
          <w:sz w:val="20"/>
          <w:szCs w:val="20"/>
          <w:color w:val="auto"/>
        </w:rPr>
      </w:pPr>
    </w:p>
    <w:p>
      <w:pPr>
        <w:jc w:val="both"/>
        <w:ind w:right="120"/>
        <w:spacing w:after="0" w:line="298" w:lineRule="auto"/>
        <w:rPr>
          <w:sz w:val="20"/>
          <w:szCs w:val="20"/>
          <w:color w:val="auto"/>
        </w:rPr>
      </w:pPr>
      <w:r>
        <w:rPr>
          <w:rFonts w:ascii="Times New Roman" w:cs="Times New Roman" w:eastAsia="Times New Roman" w:hAnsi="Times New Roman"/>
          <w:sz w:val="16"/>
          <w:szCs w:val="16"/>
          <w:color w:val="auto"/>
        </w:rPr>
        <w:t>On April 11, 2025, we entered into an Engagement Letter with Cantor (the “Engagement Letter”), pursuant to which, among other things, we issued 769,231 shares of our Common Stock in consideration of Cantor entering into the Engagement Letter.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not selling any securities under this prospectus and will not receive any of the proceeds from the sale of our Common Stock by Cantor.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Selling Securityholders – Cantor</w:t>
      </w:r>
      <w:r>
        <w:rPr>
          <w:rFonts w:ascii="Times New Roman" w:cs="Times New Roman" w:eastAsia="Times New Roman" w:hAnsi="Times New Roman"/>
          <w:sz w:val="16"/>
          <w:szCs w:val="16"/>
          <w:color w:val="auto"/>
        </w:rPr>
        <w:t>” for additional information regarding Cantor.</w:t>
      </w:r>
    </w:p>
    <w:p>
      <w:pPr>
        <w:spacing w:after="0" w:line="65"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6"/>
          <w:szCs w:val="16"/>
          <w:color w:val="auto"/>
        </w:rPr>
        <w:t>Cantor may sell or otherwise dispose of the Common Stock described in this prospectus in a number of different ways and at varying prices. See “</w:t>
      </w:r>
      <w:r>
        <w:rPr>
          <w:rFonts w:ascii="Times New Roman" w:cs="Times New Roman" w:eastAsia="Times New Roman" w:hAnsi="Times New Roman"/>
          <w:sz w:val="16"/>
          <w:szCs w:val="16"/>
          <w:i w:val="1"/>
          <w:iCs w:val="1"/>
          <w:color w:val="auto"/>
        </w:rPr>
        <w:t>Plan of Distribution (Conflict of Interest) – Offer and Resale of Common Stock by Cantor</w:t>
      </w:r>
      <w:r>
        <w:rPr>
          <w:rFonts w:ascii="Times New Roman" w:cs="Times New Roman" w:eastAsia="Times New Roman" w:hAnsi="Times New Roman"/>
          <w:sz w:val="16"/>
          <w:szCs w:val="16"/>
          <w:color w:val="auto"/>
        </w:rPr>
        <w:t>” for more information about how Cantor may sell or otherwise dispose of the shares of Common Stock acquired pursuant to the Engagement Letter.</w:t>
      </w:r>
    </w:p>
    <w:p>
      <w:pPr>
        <w:spacing w:after="0" w:line="15"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For the avoidance of doubt, B. Riley Principal Capital II is not involved in the offer and sale of the Common Stock by Cantor, and is not an “underwriter” within the meaning of Section 2(a)(11) of the Securities Act with respect to such offering.</w:t>
      </w:r>
    </w:p>
    <w:p>
      <w:pPr>
        <w:spacing w:after="0" w:line="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We will pay the expenses incurred in registering under the Securities Act the offer and sale of the shares of Common Stock to which this prospectus relates by the Selling Securityholders, including legal and accounting fees. See “</w:t>
      </w:r>
      <w:r>
        <w:rPr>
          <w:rFonts w:ascii="Times New Roman" w:cs="Times New Roman" w:eastAsia="Times New Roman" w:hAnsi="Times New Roman"/>
          <w:sz w:val="16"/>
          <w:szCs w:val="16"/>
          <w:i w:val="1"/>
          <w:iCs w:val="1"/>
          <w:color w:val="auto"/>
        </w:rPr>
        <w:t>Plan of Distribution (Conflict of Interest) – Offer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Resale of Common Stock by the Selling Stockholder</w:t>
      </w:r>
      <w:r>
        <w:rPr>
          <w:rFonts w:ascii="Times New Roman" w:cs="Times New Roman" w:eastAsia="Times New Roman" w:hAnsi="Times New Roman"/>
          <w:sz w:val="16"/>
          <w:szCs w:val="16"/>
          <w:color w:val="auto"/>
        </w:rPr>
        <w:t>” beginning on page 131.</w:t>
      </w:r>
    </w:p>
    <w:p>
      <w:pPr>
        <w:spacing w:after="0" w:line="15"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Our Common Stock is listed on the Nasdaq Global Market (“Nasdaq”) under the symbol “BZAI.” On July 30, 2025, the closing price of our Common Stock was $4.10 per share.</w:t>
      </w:r>
    </w:p>
    <w:p>
      <w:pPr>
        <w:spacing w:after="0" w:line="2"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We are an “emerging growth company” and a “smaller reporting company” under the federal securities laws and will be subject to reduced disclosure and public reporting requirements. See “</w:t>
      </w:r>
      <w:r>
        <w:rPr>
          <w:rFonts w:ascii="Times New Roman" w:cs="Times New Roman" w:eastAsia="Times New Roman" w:hAnsi="Times New Roman"/>
          <w:sz w:val="16"/>
          <w:szCs w:val="16"/>
          <w:i w:val="1"/>
          <w:iCs w:val="1"/>
          <w:color w:val="auto"/>
        </w:rPr>
        <w:t>Prospectus Summary – Implications of Being an Emerging Growth Company</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86995</wp:posOffset>
            </wp:positionV>
            <wp:extent cx="1234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53"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22"/>
          <w:szCs w:val="22"/>
          <w:b w:val="1"/>
          <w:bCs w:val="1"/>
          <w:color w:val="auto"/>
        </w:rPr>
        <w:t>Our business and investment in our securities involve significant risks. These risks are described in the section titled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beginning on page 12 of this prospectus.</w:t>
      </w:r>
    </w:p>
    <w:p>
      <w:pPr>
        <w:spacing w:after="0" w:line="5"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Neither the U.S. Securities and Exchange Commission (the “SEC”)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95885</wp:posOffset>
            </wp:positionV>
            <wp:extent cx="1234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0" w:space="300"/>
            <w:col w:w="9280"/>
          </w:cols>
          <w:pgMar w:left="320" w:top="482" w:right="1319" w:bottom="1440" w:gutter="0" w:footer="0" w:header="0"/>
          <w:type w:val="continuous"/>
        </w:sectPr>
      </w:pPr>
    </w:p>
    <w:p>
      <w:pPr>
        <w:spacing w:after="0" w:line="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The date of this prospectus is             , 2025</w:t>
      </w:r>
    </w:p>
    <w:p>
      <w:pPr>
        <w:sectPr>
          <w:pgSz w:w="11900" w:h="16838" w:orient="portrait"/>
          <w:cols w:equalWidth="0" w:num="1">
            <w:col w:w="10260"/>
          </w:cols>
          <w:pgMar w:left="320" w:top="482" w:right="13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97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12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MARKET AND INDUSTRY DATA</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980" w:type="dxa"/>
            <w:vAlign w:val="bottom"/>
            <w:gridSpan w:val="3"/>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196"/>
        </w:trPr>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680" w:type="dxa"/>
            <w:vAlign w:val="bottom"/>
            <w:gridSpan w:val="18"/>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THE COMMITTED EQUITY FACILITY</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6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1440" w:type="dxa"/>
            <w:vAlign w:val="bottom"/>
            <w:tcBorders>
              <w:top w:val="single" w:sz="8" w:color="0000EE"/>
            </w:tcBorders>
            <w:gridSpan w:val="8"/>
          </w:tcPr>
          <w:p>
            <w:pPr>
              <w:spacing w:after="0"/>
              <w:rPr>
                <w:sz w:val="17"/>
                <w:szCs w:val="17"/>
                <w:color w:val="auto"/>
              </w:rPr>
            </w:pPr>
          </w:p>
        </w:tc>
        <w:tc>
          <w:tcPr>
            <w:tcW w:w="6720" w:type="dxa"/>
            <w:vAlign w:val="bottom"/>
            <w:gridSpan w:val="12"/>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32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DETERMINATION OF OFFERING PRICE</w:t>
            </w:r>
          </w:p>
        </w:tc>
        <w:tc>
          <w:tcPr>
            <w:tcW w:w="6540" w:type="dxa"/>
            <w:vAlign w:val="bottom"/>
            <w:gridSpan w:val="10"/>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180" w:type="dxa"/>
            <w:vAlign w:val="bottom"/>
            <w:gridSpan w:val="21"/>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MARKET INFORMATION</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890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8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8460" w:type="dxa"/>
            <w:vAlign w:val="bottom"/>
            <w:gridSpan w:val="23"/>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r>
      <w:tr>
        <w:trPr>
          <w:trHeight w:val="196"/>
        </w:trPr>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BLAIZE’S EXECUTIVE COMPENSATION</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196"/>
        </w:trPr>
        <w:tc>
          <w:tcPr>
            <w:tcW w:w="318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BLAIZE’S DIRECTOR COMPENSATION</w:t>
            </w:r>
          </w:p>
        </w:tc>
        <w:tc>
          <w:tcPr>
            <w:tcW w:w="100" w:type="dxa"/>
            <w:vAlign w:val="bottom"/>
            <w:tcBorders>
              <w:top w:val="single" w:sz="8" w:color="0000EE"/>
            </w:tcBorders>
            <w:gridSpan w:val="2"/>
          </w:tcPr>
          <w:p>
            <w:pPr>
              <w:spacing w:after="0"/>
              <w:rPr>
                <w:sz w:val="17"/>
                <w:szCs w:val="17"/>
                <w:color w:val="auto"/>
              </w:rPr>
            </w:pPr>
          </w:p>
        </w:tc>
        <w:tc>
          <w:tcPr>
            <w:tcW w:w="6480" w:type="dxa"/>
            <w:vAlign w:val="bottom"/>
            <w:gridSpan w:val="9"/>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196"/>
        </w:trPr>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r>
      <w:tr>
        <w:trPr>
          <w:trHeight w:val="196"/>
        </w:trPr>
        <w:tc>
          <w:tcPr>
            <w:tcW w:w="23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PRINCIPAL STOCKHOLDERS</w:t>
            </w:r>
          </w:p>
        </w:tc>
        <w:tc>
          <w:tcPr>
            <w:tcW w:w="3080" w:type="dxa"/>
            <w:vAlign w:val="bottom"/>
            <w:tcBorders>
              <w:top w:val="single" w:sz="8" w:color="0000EE"/>
            </w:tcBorders>
            <w:gridSpan w:val="11"/>
          </w:tcPr>
          <w:p>
            <w:pPr>
              <w:spacing w:after="0"/>
              <w:rPr>
                <w:sz w:val="17"/>
                <w:szCs w:val="17"/>
                <w:color w:val="auto"/>
              </w:rPr>
            </w:pPr>
          </w:p>
        </w:tc>
        <w:tc>
          <w:tcPr>
            <w:tcW w:w="4300" w:type="dxa"/>
            <w:vAlign w:val="bottom"/>
            <w:gridSpan w:val="5"/>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196"/>
        </w:trPr>
        <w:tc>
          <w:tcPr>
            <w:tcW w:w="25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7260" w:type="dxa"/>
            <w:vAlign w:val="bottom"/>
            <w:gridSpan w:val="15"/>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r>
      <w:tr>
        <w:trPr>
          <w:trHeight w:val="196"/>
        </w:trPr>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SECURITIES ACT RESTRICTIONS ON RESALE OF OUR SECURITIES</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r>
      <w:tr>
        <w:trPr>
          <w:trHeight w:val="196"/>
        </w:trPr>
        <w:tc>
          <w:tcPr>
            <w:tcW w:w="4260" w:type="dxa"/>
            <w:vAlign w:val="bottom"/>
            <w:tcBorders>
              <w:top w:val="single" w:sz="8" w:color="0000EE"/>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 (CONFLICT OF INTEREST)</w:t>
            </w:r>
          </w:p>
        </w:tc>
        <w:tc>
          <w:tcPr>
            <w:tcW w:w="1260" w:type="dxa"/>
            <w:vAlign w:val="bottom"/>
            <w:tcBorders>
              <w:top w:val="single" w:sz="8" w:color="0000EE"/>
            </w:tcBorders>
            <w:gridSpan w:val="3"/>
          </w:tcPr>
          <w:p>
            <w:pPr>
              <w:spacing w:after="0"/>
              <w:rPr>
                <w:sz w:val="17"/>
                <w:szCs w:val="17"/>
                <w:color w:val="auto"/>
              </w:rPr>
            </w:pPr>
          </w:p>
        </w:tc>
        <w:tc>
          <w:tcPr>
            <w:tcW w:w="4240" w:type="dxa"/>
            <w:vAlign w:val="bottom"/>
            <w:gridSpan w:val="4"/>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r>
      <w:tr>
        <w:trPr>
          <w:trHeight w:val="196"/>
        </w:trPr>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8300" w:type="dxa"/>
            <w:vAlign w:val="bottom"/>
            <w:gridSpan w:val="22"/>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196"/>
        </w:trPr>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8"/>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r>
      <w:tr>
        <w:trPr>
          <w:trHeight w:val="20"/>
        </w:trPr>
        <w:tc>
          <w:tcPr>
            <w:tcW w:w="3800" w:type="dxa"/>
            <w:vAlign w:val="bottom"/>
            <w:gridSpan w:val="19"/>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4440" w:type="dxa"/>
            <w:vAlign w:val="bottom"/>
            <w:gridSpan w:val="21"/>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3960" w:type="dxa"/>
            <w:vAlign w:val="bottom"/>
            <w:gridSpan w:val="2"/>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F-38</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82"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any amendment or supplement to this prospectus. This prospectus is an offer to sell only the securities offered hereby, but only under the circumstances and in jurisdictions where it is lawful to do so. Neither we nor the Selling Securityholders have authorized anyone to provide you with information different from that contained in this prospectus or any amendment or supplement to this prospectus. Neither we nor the Selling Securityholders take any responsibility for, or can provide any assurance as to the reliability of, any information other than the information in this prospectus or any amendment or supplement to this prospectus. The information in this prospectus or any amendment or supplement to this prospectus is accurate only as of its date, regardless of the time of delivery of this prospectus or any amendment or supplement to this prospectus, as applicable, or any sale of the securities offered by this prospectus. Our business, financial condition, results of operations and prospects may have changed since that date.</w:t>
      </w:r>
    </w:p>
    <w:p>
      <w:pPr>
        <w:spacing w:after="0" w:line="192"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The Selling Securityholders are offering to sell, and seeking offers to buy, the securities offered by this prospectus only in jurisdictions where offers and sales are permitted. Neither we nor the Selling Securityholders have done anything that would permit this offering or the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offered by this prospectus and the distribution of this prospectus outside the United States.</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60"/>
        <w:spacing w:after="0" w:line="274" w:lineRule="auto"/>
        <w:rPr>
          <w:sz w:val="20"/>
          <w:szCs w:val="20"/>
          <w:color w:val="auto"/>
        </w:rPr>
      </w:pPr>
      <w:r>
        <w:rPr>
          <w:rFonts w:ascii="Times New Roman" w:cs="Times New Roman" w:eastAsia="Times New Roman" w:hAnsi="Times New Roman"/>
          <w:sz w:val="17"/>
          <w:szCs w:val="17"/>
          <w:color w:val="auto"/>
        </w:rPr>
        <w:t>This prospectus is part of a registration statement that we filed with the SEC using a “shelf” registration process. By using a shelf registration statement, the Selling Stockholders may, from time to time, sell the securities offered by it described in this prospectus through any means described in the section titled “</w:t>
      </w:r>
      <w:r>
        <w:rPr>
          <w:rFonts w:ascii="Times New Roman" w:cs="Times New Roman" w:eastAsia="Times New Roman" w:hAnsi="Times New Roman"/>
          <w:sz w:val="17"/>
          <w:szCs w:val="17"/>
          <w:i w:val="1"/>
          <w:iCs w:val="1"/>
          <w:color w:val="auto"/>
        </w:rPr>
        <w:t>Plan of Distribution (Conflict of Interest</w:t>
      </w:r>
      <w:r>
        <w:rPr>
          <w:rFonts w:ascii="Times New Roman" w:cs="Times New Roman" w:eastAsia="Times New Roman" w:hAnsi="Times New Roman"/>
          <w:sz w:val="17"/>
          <w:szCs w:val="17"/>
          <w:color w:val="auto"/>
        </w:rPr>
        <w:t>).” We will not receive any proceeds from the sale by the Selling Stockholder of the securities offered by them described in this prospectus. However, we may receive up to $50,000,000 in aggregate gross proceeds from the Selling Stockholder under the Purchase Agreement in connection with sales of our shares of Common Stock to the Selling Stockholder pursuant to the Purchase Agreement after the date of this prospectus. We will not receive any proceeds from the sale by Cantor of the securities offered by them described in this prospectus.</w:t>
      </w:r>
    </w:p>
    <w:p>
      <w:pPr>
        <w:spacing w:after="0" w:line="173"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We may also file a prospectus supplement or post-effective amendment to the registration statement of which this prospectus forms a part that may contain material information relating to these offerings. The prospectus supplement or post-effective amendment may also add, update or change information contained in this prospectus with respect to that offering. If there is any inconsistency between the information in this prospectus and the applicable prospectus supplement or post-effective amendment, you should rely on the prospectus supplement or post-effective amendment, as applicable. Any statement so modified will be deemed to constitute a part of this prospectus only as so modified, and any statement so superseded will be deemed not to constitute a part of this prospectus. Before purchasing any securities, you should carefully read this prospectus, any post-effective amendment, and any applicable prospectus supplement, together with the additional information described under the heading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120" w:right="320"/>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forms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20" w:right="320"/>
        <w:spacing w:after="0" w:line="282" w:lineRule="auto"/>
        <w:rPr>
          <w:sz w:val="20"/>
          <w:szCs w:val="20"/>
          <w:color w:val="auto"/>
        </w:rPr>
      </w:pPr>
      <w:r>
        <w:rPr>
          <w:rFonts w:ascii="Times New Roman" w:cs="Times New Roman" w:eastAsia="Times New Roman" w:hAnsi="Times New Roman"/>
          <w:sz w:val="18"/>
          <w:szCs w:val="18"/>
          <w:color w:val="auto"/>
        </w:rPr>
        <w:t>We own or have rights to trademarks, trade names and service marks that we use in connection with the operation of our business (including, but not limited to, our Blaize technology and units). Our name, logos and website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82"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30" w:lineRule="auto"/>
        <w:rPr>
          <w:sz w:val="20"/>
          <w:szCs w:val="20"/>
          <w:color w:val="auto"/>
        </w:rPr>
      </w:pPr>
      <w:r>
        <w:rPr>
          <w:rFonts w:ascii="Times New Roman" w:cs="Times New Roman" w:eastAsia="Times New Roman" w:hAnsi="Times New Roman"/>
          <w:sz w:val="18"/>
          <w:szCs w:val="18"/>
          <w:color w:val="auto"/>
        </w:rPr>
        <w:t>name and address are our trademarks or service marks. Solely for convenience, in some cases, the trademarks, trade names and service marks referred to in this prospectus are listed without the applicable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we will assert, to the fullest extent under applicable law, our rights to these trademarks, trade names and service marks. Other trademarks, trade names and service marks appearing in this prospectus are the property of their respective owners.</w:t>
      </w:r>
    </w:p>
    <w:p>
      <w:pPr>
        <w:spacing w:after="0" w:line="198"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As used in this prospectus, unless otherwise indicated or the context otherwise requires, references to “we,” “us,” “our,” the “Company,” “Registrant,” and “Blaize” refer to the consolidated operations of Blaize Holdings, Inc., formerly known as BurTech Acquisition Corporation (“BurTech”), and its subsidiaries. References to “Legacy Blaize” refer to Blaize, Inc., prior to the close of the Business Combination. All references herein to the “Board” refer to the board of directors of the Company.</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This prospectus includes, and any amendment or supplement to this prospectus may include, estimates regarding market and industry data and forecasts, which are based on our own estimates utilizing our management’s knowledge of and experience in, as well as information obtained from our subscribers, trade and business organizations, and other contacts in the market sectors in which we compete, and from statistical information obtained from publicly available information, industry publications and surveys, reports from government agencies and reports by market research firms. We confirm that, where such information is reproduced herein, such information has been accurately reproduced and that, so far as we are aware and are able to ascertain from information published by publicly available sources and other publications, no facts have been omitted that would render the reproduced information inaccurate or misleading. Industry publications, reports and other published data generally state that the information contained therein has been obtained from sources believed to be reliable, but we cannot assure you that the information contained in these reports, and therefore the information contained in this prospectus or any amendment or supplement to this prospectus that is derived therefrom, is accurate or complete. Our estimates of our market position may prove to be inaccurate because of the method by which we obtain some of the data for our estimates or because this information cannot always be verified with complete certainty due to the limits on the availability and reliability of raw data, the voluntary nature of the data gathering process and other limitations and uncertainties. As a result, although we believe our sources are reliable, we have not independently verified the information and cannot guarantee its accuracy and completeness.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prospectus,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“should,” “expect,” “plan,” “anticipate,” “could,” “intend,” “target,” “project,” “contemplate,” “believe,” “estimate,” “predict,”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82"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financial condition and results of operations. These forward-looking statements speak only as of the date of this prospectus and are subject to a number of important factors that could cause actual results to differ materially from those in the forward-looking statements, including the risks, uncertainties and assumptions described under the section in this prospectus titled “Risk Factors.” These forward-looking statements are subject to numerous risks, including, without limitation, the following:</w:t>
      </w:r>
    </w:p>
    <w:p>
      <w:pPr>
        <w:spacing w:after="0" w:line="85"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or sustain profitability;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anticipated benefits of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the shares of Common Stock and Warrants on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loss of one or more key employees or failure to attract and retain highly skilled employees;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software or hardware containing serious errors or defects, which may result in lost revenue and market acceptance and costs to defend or settle claims with customers;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 interruptions in service, latency or poor service from third-party data center providers;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nature of our business, including the various laws and regulations applicable to us and fluctuations between foreign currencies and the U.S. dollar, including the imposition of new or increased tariffs or export controls;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failure to acquire new customer, retain existing customers, terminate existing customer or partnership contracts or expand sales to existing customers; and</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this registration statement, including those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should read this prospectus completely and with the understanding that our actual future results may be materially different from what we expect.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00"/>
          </w:cols>
          <w:pgMar w:left="320" w:top="482"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may not contain all of the information that is important to you in making an investment decision. Before investing in our securities, you should read this entire document carefully, including our financial statements and the related notes included in this prospectus and the information set forth under the headings “Risk Factors” and “Management’s Discussion and Analysis of Financial Condition and Results of Operations.” Some of the statements in this prospectus constitute forward-looking statements. See “Cautionary Note Regarding Forward-Looking Statements.”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Blaize is an innovative semiconductor and software technology company dedicated to revolutionizing the world of artificial intelligence (“AI”). We provide AI accelerated computing solutions for the edge.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Background</w:t>
      </w:r>
    </w:p>
    <w:p>
      <w:pPr>
        <w:spacing w:after="0" w:line="121"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On January 13, 2025, subsequent to the end of fiscal year ended December 31, 2024, BurTech completed the previously announced business combination pursuant to that certain Agreement and Plan of Merger, dated as of December 22, 2023 (as amended on April 22, 2024, October 24, 2024, and November 21, 2024, the “Merger Agreement”), by and among BurTech, BurTech Merger Sub Inc., a Delaware corporation and a wholly owned subsidiary of BurTech (“Merger Sub”), Blaize, Inc., a Delaware corporation (“Legacy Blaize”) and for the limited purposes set forth therein, Burkhan Capital LLC, a Delaware limited liability company (“Burkhan”). As contemplated by the Merger Agreement, on January 13, 2025, Merger Sub merged with and into Legacy Blaize, with Legacy Blaize being the surviving company and a wholly owned subsidiary of BurTech (the “Merger”, together with the other transactions contemplated by the Merger Agreement, the “Business Combination”). We changed our name from “BurTech Acquisition Corporation” to “Blaize Holdings, Inc.,” in connection with the closing of the Business Combination. The Merger was accounted for as a reverse merger and recapitalization and BurTech was considered the acquired company for financial statement reporting purposes.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Committed Equity Facility</w:t>
      </w:r>
    </w:p>
    <w:p>
      <w:pPr>
        <w:spacing w:after="0" w:line="121"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color w:val="auto"/>
        </w:rPr>
        <w:t>On July 14, 2025, we entered into the Purchase Agreement and a related registration rights agreement, dated as of July 14, 2025 (the “Registration Rights Agreement”), with B. Riley Principal Capital II. Upon the terms and subject to the satisfaction of the conditions contained in the Purchase Agreement, we have the right, in our sole discretion, to sell to B. Riley Principal Capital II up to $50,000,000 of shares of our Common Stock (subject to certain limitations contained in the Purchase Agreement), from time to time over a period of up to 36 months from and after the date of this prospectus, through an Market Open Purchase or one or more Intraday Purchases on any Purchase Date (each term as defined below). Sales of Common Stock pursuant to the Purchase Agreement, and the timing of any sales, are solely at our option, and we are under no obligation to sell any securities to B. Riley Principal Capital II under the Purchase Agreement. In accordance with our obligations under the Registration Rights Agreement, we have filed the registration statement that includes this prospectus with the SEC to register under the Securities Act, the offer and resale by B. Riley Principal Capital II of up to 20,326,158 BRPC Shares, consisting of (i) up to 20,242,805 shares of Common Stock (the “Purchase Shares”) that we may, in our sole discretion, elect to sell to B. Riley Principal Capital II, from time to time over a period of up to 36 months from and after the Commencement Date (defined below) pursuant to the Purchase Agreement and (ii) 83,353 shares of Common Stock (the “Commitment Shares”) we issued to B. Riley Principal Capital II,</w:t>
      </w:r>
    </w:p>
    <w:p>
      <w:pPr>
        <w:spacing w:after="0" w:line="3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82"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476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447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upon our execution of the Purchase Agreement on July 15, 2025, as consideration for its commitment to purchase shares of our Common Stock that we may, in our sole discretion, direct B. Riley Principal Capital II to purchase from us pursuant to the Purchase Agreement.</w:t>
      </w:r>
    </w:p>
    <w:p>
      <w:pPr>
        <w:spacing w:after="0" w:line="162" w:lineRule="exact"/>
        <w:rPr>
          <w:sz w:val="20"/>
          <w:szCs w:val="20"/>
          <w:color w:val="auto"/>
        </w:rPr>
      </w:pPr>
    </w:p>
    <w:p>
      <w:pPr>
        <w:ind w:left="300"/>
        <w:spacing w:after="0" w:line="252" w:lineRule="auto"/>
        <w:rPr>
          <w:sz w:val="20"/>
          <w:szCs w:val="20"/>
          <w:color w:val="auto"/>
        </w:rPr>
      </w:pPr>
      <w:r>
        <w:rPr>
          <w:rFonts w:ascii="Times New Roman" w:cs="Times New Roman" w:eastAsia="Times New Roman" w:hAnsi="Times New Roman"/>
          <w:sz w:val="18"/>
          <w:szCs w:val="18"/>
          <w:color w:val="auto"/>
        </w:rPr>
        <w:t>Upon the initial satisfaction of each of the conditions to B. Riley Principal Capital II’s purchase obligations set forth in the Purchase Agreement (the initial satisfaction of all of such conditions, the “Commencement”), none of which are within B. Riley Principal Capital II’s control, including that the registration statement that includes this prospectus shall have been declared effective by the SEC, we have the right, but not the obligation, from time to time at our sole discretion for a period of up to 36 months (unless the Purchase Agreement is earlier terminated), beginning on the date on which the Commencement occurs (such date, the “Commencement Date”), to direct B. Riley Principal Capital II to purchase a specified number of shares of Common Stock (each, an “Market Open Purchase”), not to exceed the lesser of (such lesser number of shares, the “Market Open Purchase Maximum Amount”): (i) 1,000,000 shares of Common Stock and (ii) up to a certain percentage (not to exceed 25.0%), which we will specify in the applicable Market Open Purchase Notice (as defined below) for such Market Open Purchase (such specified percentage, the “Market Open Purchase Percentage”), of the total aggregate number (or volume) of shares of our Common Stock traded on Nasdaq during the applicable Market Open Purchase Valuation Period (as defined below) for such Market Open Purchase (such specified number of shares to be purchased by B. Riley Principal Capital II, adjusted as necessary to give effect to the applicable Market Open Purchase Maximum Amount as set forth in the Purchase Agreement, the “Market Open Purchase Share Amount”), by timely delivering written notice of such Market Open Purchase to B. Riley Principal Capital II (each, a “Market Open Purchase Notice”) prior to 9:00 a.m., New York City time, on any trading day (each, a “Purchase Date”), so long as (a) the closing sale price of our Common Stock on Nasdaq on the trading day immediately prior to such Purchase Date is not less than $1.00 (the “Threshold Price”), and (b) all shares of Common Stock subject to all prior Market Open Purchases and all prior Intraday Purchases (defined below) effected by us under the Purchase Agreement (as applicable) have been received by B. Riley Principal Capital II at such time and in the manner set forth in the Purchase Agreement.</w:t>
      </w:r>
    </w:p>
    <w:p>
      <w:pPr>
        <w:spacing w:after="0" w:line="193" w:lineRule="exact"/>
        <w:rPr>
          <w:sz w:val="20"/>
          <w:szCs w:val="20"/>
          <w:color w:val="auto"/>
        </w:rPr>
      </w:pPr>
    </w:p>
    <w:p>
      <w:pPr>
        <w:ind w:left="300"/>
        <w:spacing w:after="0" w:line="252" w:lineRule="auto"/>
        <w:rPr>
          <w:sz w:val="20"/>
          <w:szCs w:val="20"/>
          <w:color w:val="auto"/>
        </w:rPr>
      </w:pPr>
      <w:r>
        <w:rPr>
          <w:rFonts w:ascii="Times New Roman" w:cs="Times New Roman" w:eastAsia="Times New Roman" w:hAnsi="Times New Roman"/>
          <w:sz w:val="18"/>
          <w:szCs w:val="18"/>
          <w:color w:val="auto"/>
        </w:rPr>
        <w:t>The per share purchase price that B. Riley Principal Capital II is required to pay for shares of Common Stock in a Market Open Purchase effected by us pursuant to the Purchase Agreement, if any, will be determined by reference to the volume weighted average price of the Common Stock (the “VWAP”), calculated in accordance with the Purchase Agreement, for the period (the “Market Open Purchase Valuation Period”) beginning at the official open (or “commencement”) of the regular trading session on Nasdaq on the applicable Purchase Date for such Purchase, and ending at the earliest to occur of (i) 3:59 p.m., New York City time, on such Purchase Date or such earlier time publicly announced by the trading market as the official close of the regular trading session on such Purchase Date, (ii) such time that the total aggregate number (or volume) of shares of Common Stock traded on Nasdaq during such Market Open Purchase Valuation Period (calculated in accordance with the Purchase Agreement) reaches the applicable share volume maximum amount for such Market Open Purchase (the “Market Open Purchase Share Volume Maximum”), calculated by dividing (a) the applicable Market Open Purchase Share Amount for such Market Open Purchase, by (b) the Market Open Purchase Percentage we specified in the applicable Market Open Purchase Notice for such Market Open Purchase, and (iii) if we further specify in the applicable Market Open Purchase Notice for such Market Open Purchase that a “limit order discontinue election” (a “Limit Order Discontinue Election”) shall apply to such Market Open Purchase, such time that the trading price of our Common Stock on Nasdaq during such Market Open Purchase Valuation Period (calculated in accordance with the Purchase Agreement) falls below the applicable minimum price threshold for such Market Open Purchase specified by us in the Market Open Purchase Notice for such Market Open Purchase, or if we do not specify a minimum price threshold in such Market Open Purchase Notice, a price equal to 75.0% of the closing sale price of the Common Stock on the trading day immediately prior to the applicable Purchase Date for such purchase (the “Minimum Price Threshold”), less a fixed 3.0% discount to the VWAP for such Market Open Purchase Valuation Period (calculated in accordance with the Purchase Agreement).</w:t>
      </w:r>
    </w:p>
    <w:p>
      <w:pPr>
        <w:spacing w:after="0" w:line="31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82"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40"/>
        <w:spacing w:after="0" w:line="254" w:lineRule="auto"/>
        <w:rPr>
          <w:sz w:val="20"/>
          <w:szCs w:val="20"/>
          <w:color w:val="auto"/>
        </w:rPr>
      </w:pPr>
      <w:r>
        <w:rPr>
          <w:rFonts w:ascii="Times New Roman" w:cs="Times New Roman" w:eastAsia="Times New Roman" w:hAnsi="Times New Roman"/>
          <w:sz w:val="18"/>
          <w:szCs w:val="18"/>
          <w:color w:val="auto"/>
        </w:rPr>
        <w:t>Under the Purchase Agreement, for purposes of calculating the volume of shares of Common Stock traded during a Market Open Purchase Valuation Period, as well as the VWAP for a Market Open Purchase Valuation Period, the following transactions, to the extent they occur during such Market Open Purchase Valuation Period, shall be excluded: (x) the opening or first purchase of Common Stock at or following the official open of the regular trading session on Nasdaq on the applicable Purchase Date for such Market Open Purchase, (y) the last or closing sale of Common Stock at or prior to the official close of the regular trading session on Nasdaq on the applicable Purchase Date for such Market Open Purchase, and (z) if we have specified in the applicable Market Open Purchase Notice for such Market Open Purchase that a “limit order continue election” (a “Limit Order Continue Election”), rather than a Limit Order Discontinue Election, shall apply to such Market Open Purchase, all purchases and sales of Common Stock on Nasdaq during such Market Open Purchase Valuation Period at a price per share that is less than the applicable Minimum Price Threshold for such Market Open Purchase.</w:t>
      </w:r>
    </w:p>
    <w:p>
      <w:pPr>
        <w:spacing w:after="0" w:line="188" w:lineRule="exact"/>
        <w:rPr>
          <w:sz w:val="20"/>
          <w:szCs w:val="20"/>
          <w:color w:val="auto"/>
        </w:rPr>
      </w:pPr>
    </w:p>
    <w:p>
      <w:pPr>
        <w:ind w:left="300"/>
        <w:spacing w:after="0" w:line="252" w:lineRule="auto"/>
        <w:rPr>
          <w:sz w:val="20"/>
          <w:szCs w:val="20"/>
          <w:color w:val="auto"/>
        </w:rPr>
      </w:pPr>
      <w:r>
        <w:rPr>
          <w:rFonts w:ascii="Times New Roman" w:cs="Times New Roman" w:eastAsia="Times New Roman" w:hAnsi="Times New Roman"/>
          <w:sz w:val="18"/>
          <w:szCs w:val="18"/>
          <w:color w:val="auto"/>
        </w:rPr>
        <w:t>From and after the Commencement Date, in addition to Market Open Purchases described above, we will also have the right, but not the obligation, subject to the continued satisfaction of the conditions set forth in the Purchase Agreement, to direct B. Riley Principal Capital II to purchase, on any trading day that would qualify as a Purchase Date, whether or not a Market Open Purchase is effected on such Purchase Date, a specified number of shares of Common Stock (each, an “Intraday Purchase”), not to exceed the lesser of (such lesser number of shares, the “Intraday Purchase Maximum Amount”): (i) 1,000,000 shares of Common Stock and (ii) up to a certain percentage (not to exceed 25.0%), which we will specify in the applicable Intraday Purchase Notice (as defined below) for such Intraday Purchase (such specified percentage, the “Intraday Purchase Percentage”), of the total aggregate volume of shares of our Common Stock traded on Nasdaq during the applicable “Intraday Purchase Valuation Period” (determined in a similar manner as the Market Open Purchase Valuation Periods for a Market Open Purchase) for such Intraday Purchase (such specified number of shares to be purchased by B. Riley Principal Capital II, adjusted to the extent necessary to give effect to the applicable Intraday Purchase Maximum Amount as set forth in the Purchase Agreement, the “Intraday Purchase Share Amount”), by the delivery to B. Riley Principal Capital II of an irrevocable written purchase notice for such Intraday Purchase, after 10:00 a.m., New York City time (and after the Market Open Purchase Valuation Period for any earlier Market Open Purchase and the Intraday Purchase Valuation Period for the most recent prior Intraday Purchase effected on the same Purchase Date as such applicable Intraday Purchase, if applicable, have ended), and prior to 3:30 p.m., New York City time, on such Purchase Date (each, an “Intraday Purchase Notice”), so long as (i) the closing sale price of the Common Stock on Nasdaq on the trading day immediately prior to such Purchase Date is not less than the Threshold Price and (ii) all shares of Common Stock subject to all prior Market Open Purchases and all prior Intraday Purchases (as applicable) effected by us under the Purchase Agreement, including all prior purchases effected on the same Purchase Date as such applicable Intraday Purchase, have been received by B. Riley Principal Capital II at such time and in the manner set forth in the Purchase Agreement.</w:t>
      </w:r>
    </w:p>
    <w:p>
      <w:pPr>
        <w:spacing w:after="0" w:line="192" w:lineRule="exact"/>
        <w:rPr>
          <w:sz w:val="20"/>
          <w:szCs w:val="20"/>
          <w:color w:val="auto"/>
        </w:rPr>
      </w:pPr>
    </w:p>
    <w:p>
      <w:pPr>
        <w:ind w:left="300" w:right="60"/>
        <w:spacing w:after="0" w:line="258" w:lineRule="auto"/>
        <w:rPr>
          <w:sz w:val="20"/>
          <w:szCs w:val="20"/>
          <w:color w:val="auto"/>
        </w:rPr>
      </w:pPr>
      <w:r>
        <w:rPr>
          <w:rFonts w:ascii="Times New Roman" w:cs="Times New Roman" w:eastAsia="Times New Roman" w:hAnsi="Times New Roman"/>
          <w:sz w:val="18"/>
          <w:szCs w:val="18"/>
          <w:color w:val="auto"/>
        </w:rPr>
        <w:t>The per share purchase price for the shares of Common Stock that we elect to sell to B. Riley Principal Capital II in an Intraday Purchase pursuant to the Purchase Agreement, if any, will be calculated in the same manner as in the case of a Market Open Purchase (including the same fixed 3.0% discount to the applicable VWAP used to calculate the per share purchase price for a Market Open Purchase, as described above), provided that the VWAP for each Intraday Purchase effected on a Purchase Date will be calculated over different Intraday Purchase Valuation Periods during the regular trading session on Nasdaq on such Purchase Date, each of which will commence and end at different times on such Purchase Date.</w:t>
      </w:r>
    </w:p>
    <w:p>
      <w:pPr>
        <w:spacing w:after="0" w:line="183"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There is no upper limit on the price per share that B. Riley Principal Capital II could be obligated to pay for the Common Stock we may elect to sell to it in any Market Open Purchase or any Intraday Purchase under the Purchase Agreement. In the case of Market Open Purchases and Intraday Purchases effected by us under the Purchase Agreement, if any, all share and dollar amounts used in determining the purchase price per share of Common Stock to be purchased by B. Riley Principal Capital II in a Market Open Purchase or an Intraday Purchase (as applicable), or in determining the applicable maximum purchase share amounts or applicable</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82"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spacing w:after="0" w:line="261" w:lineRule="auto"/>
        <w:rPr>
          <w:sz w:val="20"/>
          <w:szCs w:val="20"/>
          <w:color w:val="auto"/>
        </w:rPr>
      </w:pPr>
      <w:r>
        <w:rPr>
          <w:rFonts w:ascii="Times New Roman" w:cs="Times New Roman" w:eastAsia="Times New Roman" w:hAnsi="Times New Roman"/>
          <w:sz w:val="18"/>
          <w:szCs w:val="18"/>
          <w:color w:val="auto"/>
        </w:rPr>
        <w:t>volume or price threshold amounts in connection with any such Market Open Purchase or Intraday Purchase (as applicable), in each case, will be equitably adjusted as set forth in the Purchase Agreement for any reorganization, recapitalization, non-cash dividend, stock split, reverse stock split or other similar transaction occurring during any period used to calculate such per share purchase price, maximum purchase share amounts or applicable volume or minimum price thresholds.</w:t>
      </w:r>
    </w:p>
    <w:p>
      <w:pPr>
        <w:spacing w:after="0" w:line="180" w:lineRule="exact"/>
        <w:rPr>
          <w:sz w:val="20"/>
          <w:szCs w:val="20"/>
          <w:color w:val="auto"/>
        </w:rPr>
      </w:pPr>
    </w:p>
    <w:p>
      <w:pPr>
        <w:ind w:left="300" w:right="40"/>
        <w:spacing w:after="0" w:line="258" w:lineRule="auto"/>
        <w:rPr>
          <w:sz w:val="20"/>
          <w:szCs w:val="20"/>
          <w:color w:val="auto"/>
        </w:rPr>
      </w:pPr>
      <w:r>
        <w:rPr>
          <w:rFonts w:ascii="Times New Roman" w:cs="Times New Roman" w:eastAsia="Times New Roman" w:hAnsi="Times New Roman"/>
          <w:sz w:val="18"/>
          <w:szCs w:val="18"/>
          <w:color w:val="auto"/>
        </w:rPr>
        <w:t>We will control the timing and amount of any sales of Common Stock to B. Riley Principal Capital II that we may elect, in our sole discretion, to effect from time to time from and after the Commencement Date and during the term of the Purchase Agreement. Actual sales of shares of Common Stock to B. Riley Principal Capital II under the Purchase Agreement will depend on a variety of factors to be determined by us from time to time, including, among other things, market conditions, the trading price of the Common Stock and determinations by us as to the appropriate sources of funding for our company’s business and operations.</w:t>
      </w:r>
    </w:p>
    <w:p>
      <w:pPr>
        <w:spacing w:after="0" w:line="183" w:lineRule="exact"/>
        <w:rPr>
          <w:sz w:val="20"/>
          <w:szCs w:val="20"/>
          <w:color w:val="auto"/>
        </w:rPr>
      </w:pPr>
    </w:p>
    <w:p>
      <w:pPr>
        <w:ind w:left="300" w:right="40"/>
        <w:spacing w:after="0" w:line="254" w:lineRule="auto"/>
        <w:rPr>
          <w:sz w:val="20"/>
          <w:szCs w:val="20"/>
          <w:color w:val="auto"/>
        </w:rPr>
      </w:pPr>
      <w:r>
        <w:rPr>
          <w:rFonts w:ascii="Times New Roman" w:cs="Times New Roman" w:eastAsia="Times New Roman" w:hAnsi="Times New Roman"/>
          <w:sz w:val="18"/>
          <w:szCs w:val="18"/>
          <w:color w:val="auto"/>
        </w:rPr>
        <w:t>Under the applicable Nasdaq rules, in no event may we issue to B. Riley Principal Capital II under the Purchase Agreement more than 20,326,158 shares of Common Stock, which number of shares is equal to 19.99% of the number of shares of Common Stock issued and outstanding immediately prior to the execution of the Purchase Agreement (the “Exchange Cap”), unless (i) we obtain stockholder approval to issue shares of Common Stock in excess of the Exchange Cap in accordance with applicable Nasdaq rules, or (ii) the average price per share paid by B. Riley Principal Capital II for all of the shares of Common Stock that we direct B. Riley Principal Capital II to purchase from us pursuant to the Purchase Agreement, if any, equals or exceeds $2.91 per share (representing the lower of (a) the official closing price of our Common Stock on Nasdaq immediately preceding the execution of the Purchase Agreement and (b) the average official closing price of our Common Stock on Nasdaq for the five consecutive trading days immediately preceding the execution of the Purchase Agreement, adjusted as required by Nasdaq), so that the Exchange Cap limitation will not apply to issuances and sales of Common Stock pursuant to the Purchase Agreement.</w:t>
      </w:r>
    </w:p>
    <w:p>
      <w:pPr>
        <w:spacing w:after="0" w:line="188" w:lineRule="exact"/>
        <w:rPr>
          <w:sz w:val="20"/>
          <w:szCs w:val="20"/>
          <w:color w:val="auto"/>
        </w:rPr>
      </w:pPr>
    </w:p>
    <w:p>
      <w:pPr>
        <w:ind w:left="300" w:right="40"/>
        <w:spacing w:after="0" w:line="281" w:lineRule="auto"/>
        <w:rPr>
          <w:sz w:val="20"/>
          <w:szCs w:val="20"/>
          <w:color w:val="auto"/>
        </w:rPr>
      </w:pPr>
      <w:r>
        <w:rPr>
          <w:rFonts w:ascii="Times New Roman" w:cs="Times New Roman" w:eastAsia="Times New Roman" w:hAnsi="Times New Roman"/>
          <w:sz w:val="17"/>
          <w:szCs w:val="17"/>
          <w:color w:val="auto"/>
        </w:rPr>
        <w:t>Moreover, we may not issue or sell any shares of Common Stock to B. Riley Principal Capital II under the Purchase Agreement which, when aggregated with all other shares of Common Stock then beneficially owned by B. Riley Principal Capital II and its affiliates (as calculated pursuant to Section 13(d) of the Securities Exchange Act of 1934, as amended (the “Exchange Act”), and Rule 13d-3 thereunder), would result in B. Riley Principal Capital II beneficially owning more than 4.99% of the outstanding shares of Common Stock (the “Beneficial Ownership Limitation”).</w:t>
      </w:r>
    </w:p>
    <w:p>
      <w:pPr>
        <w:spacing w:after="0" w:line="164" w:lineRule="exact"/>
        <w:rPr>
          <w:sz w:val="20"/>
          <w:szCs w:val="20"/>
          <w:color w:val="auto"/>
        </w:rPr>
      </w:pPr>
    </w:p>
    <w:p>
      <w:pPr>
        <w:ind w:left="300" w:right="240"/>
        <w:spacing w:after="0" w:line="258" w:lineRule="auto"/>
        <w:rPr>
          <w:sz w:val="20"/>
          <w:szCs w:val="20"/>
          <w:color w:val="auto"/>
        </w:rPr>
      </w:pPr>
      <w:r>
        <w:rPr>
          <w:rFonts w:ascii="Times New Roman" w:cs="Times New Roman" w:eastAsia="Times New Roman" w:hAnsi="Times New Roman"/>
          <w:sz w:val="18"/>
          <w:szCs w:val="18"/>
          <w:color w:val="auto"/>
        </w:rPr>
        <w:t>The net proceeds to us from sales that we elect to make to B. Riley Principal Capital II under the Purchase Agreement, if any, will depend on the frequency and prices at which we sell shares of our Common Stock to B. Riley Principal Capital II. We expect that any proceeds received by us from such sales of Common Stock to B. Riley Principal Capital II will be used to accelerate commercialization of the South Asia smart infrastructure contract previously announced on June 30, 2025 and investment in its next-generation chip, as well as for working capital and general corporate purposes.</w:t>
      </w:r>
    </w:p>
    <w:p>
      <w:pPr>
        <w:spacing w:after="0" w:line="183" w:lineRule="exact"/>
        <w:rPr>
          <w:sz w:val="20"/>
          <w:szCs w:val="20"/>
          <w:color w:val="auto"/>
        </w:rPr>
      </w:pPr>
    </w:p>
    <w:p>
      <w:pPr>
        <w:ind w:left="300" w:right="20"/>
        <w:spacing w:after="0" w:line="255" w:lineRule="auto"/>
        <w:rPr>
          <w:sz w:val="20"/>
          <w:szCs w:val="20"/>
          <w:color w:val="auto"/>
        </w:rPr>
      </w:pPr>
      <w:r>
        <w:rPr>
          <w:rFonts w:ascii="Times New Roman" w:cs="Times New Roman" w:eastAsia="Times New Roman" w:hAnsi="Times New Roman"/>
          <w:sz w:val="18"/>
          <w:szCs w:val="18"/>
          <w:color w:val="auto"/>
        </w:rPr>
        <w:t>There are no restrictions on future financings, rights of first refusal, participation rights, penalties or liquidated damages in the Purchase Agreement or Registration Rights Agreement, other than a prohibition (with certain limited exceptions) on entering into specified “Variable Rate Transactions” (as such term is defined in the Purchase Agreement) during the term of the Purchase Agreement. Such transactions include, among others, the issuance of convertible securities with a conversion or exercise price that is based upon or varies with the trading price of our Common Stock after the date of issuance, or our effecting or entering into an agreement to effect an “equity line of credit” or other substantially similar continuous offering with a third party, in which we may offer, issue or sell Common Stock or any securities exercisable, exchangeable or convertible into Common Stock at a future determined price.</w:t>
      </w:r>
    </w:p>
    <w:p>
      <w:pPr>
        <w:spacing w:after="0" w:line="189" w:lineRule="exact"/>
        <w:rPr>
          <w:sz w:val="20"/>
          <w:szCs w:val="20"/>
          <w:color w:val="auto"/>
        </w:rPr>
      </w:pPr>
    </w:p>
    <w:p>
      <w:pPr>
        <w:jc w:val="both"/>
        <w:ind w:left="300"/>
        <w:spacing w:after="0" w:line="266" w:lineRule="auto"/>
        <w:rPr>
          <w:sz w:val="20"/>
          <w:szCs w:val="20"/>
          <w:color w:val="auto"/>
        </w:rPr>
      </w:pPr>
      <w:r>
        <w:rPr>
          <w:rFonts w:ascii="Times New Roman" w:cs="Times New Roman" w:eastAsia="Times New Roman" w:hAnsi="Times New Roman"/>
          <w:sz w:val="18"/>
          <w:szCs w:val="18"/>
          <w:color w:val="auto"/>
        </w:rPr>
        <w:t>B. Riley Principal Capital II has agreed that, during the term of the Purchase Agreement, none of B. Riley Principal Capital II, any of its officers, or any entity managed or controlled by B. Riley Principal Capital II will engage in or effect, directly or indirectly, for its own principal account or for the principal account of any such</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82"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600"/>
        <w:spacing w:after="0" w:line="282" w:lineRule="auto"/>
        <w:rPr>
          <w:sz w:val="20"/>
          <w:szCs w:val="20"/>
          <w:color w:val="auto"/>
        </w:rPr>
      </w:pPr>
      <w:r>
        <w:rPr>
          <w:rFonts w:ascii="Times New Roman" w:cs="Times New Roman" w:eastAsia="Times New Roman" w:hAnsi="Times New Roman"/>
          <w:sz w:val="18"/>
          <w:szCs w:val="18"/>
          <w:color w:val="auto"/>
        </w:rPr>
        <w:t>entity managed or controlled by B. Riley Principal Capital II, any short sales (as such term is defined in Rule 200 of Regulation SHO of the Exchange Act) of the Common Stock or hedging transaction that establishes a net short position in the Common Stock.</w:t>
      </w:r>
    </w:p>
    <w:p>
      <w:pPr>
        <w:spacing w:after="0" w:line="162" w:lineRule="exact"/>
        <w:rPr>
          <w:sz w:val="20"/>
          <w:szCs w:val="20"/>
          <w:color w:val="auto"/>
        </w:rPr>
      </w:pPr>
    </w:p>
    <w:p>
      <w:pPr>
        <w:ind w:left="300" w:right="100"/>
        <w:spacing w:after="0" w:line="224" w:lineRule="auto"/>
        <w:rPr>
          <w:sz w:val="20"/>
          <w:szCs w:val="20"/>
          <w:color w:val="auto"/>
        </w:rPr>
      </w:pPr>
      <w:r>
        <w:rPr>
          <w:rFonts w:ascii="Times New Roman" w:cs="Times New Roman" w:eastAsia="Times New Roman" w:hAnsi="Times New Roman"/>
          <w:sz w:val="18"/>
          <w:szCs w:val="18"/>
          <w:color w:val="auto"/>
        </w:rPr>
        <w:t>The Purchase Agreement will automatically terminate on the earliest to occur of (i) the first day of the month next following the 36-month anniversary of the Commencement Date, (ii) the date on which B. Riley Principal Capital II shall have purchased from us under the Purchase Agreement shares of Common Stock for an aggregate gross purchase price of $50,000,000, (iii) the date on which the Common Stock shall have failed to be listed or quoted on Nasdaq or another U.S. national securities exchange identified as an “eligible market” in the Purchase Agreement for a period of one trading day, (iv)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after the date on which a voluntary or involuntary bankruptcy proceeding involving our company has been commenced that is not discharged or dismissed prior to such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and (v) the date on which a bankruptcy custodian is appointed for all or substantially all of our property or we make a general assignment for the benefit of creditors.</w:t>
      </w:r>
    </w:p>
    <w:p>
      <w:pPr>
        <w:spacing w:after="0" w:line="204" w:lineRule="exact"/>
        <w:rPr>
          <w:sz w:val="20"/>
          <w:szCs w:val="20"/>
          <w:color w:val="auto"/>
        </w:rPr>
      </w:pPr>
    </w:p>
    <w:p>
      <w:pPr>
        <w:ind w:left="300" w:right="40"/>
        <w:spacing w:after="0" w:line="256" w:lineRule="auto"/>
        <w:rPr>
          <w:sz w:val="20"/>
          <w:szCs w:val="20"/>
          <w:color w:val="auto"/>
        </w:rPr>
      </w:pPr>
      <w:r>
        <w:rPr>
          <w:rFonts w:ascii="Times New Roman" w:cs="Times New Roman" w:eastAsia="Times New Roman" w:hAnsi="Times New Roman"/>
          <w:sz w:val="18"/>
          <w:szCs w:val="18"/>
          <w:color w:val="auto"/>
        </w:rPr>
        <w:t>We have the right to terminate the Purchase Agreement at any time after Commencement, at no cost or penalty, upon 10 trading days’ prior written notice to B. Riley Principal Capital II. We and B. Riley Principal Capital II may also agree to terminate the Purchase Agreement by mutual written consent, provided that no termination of the Purchase Agreement will be effective during the pendency of any Market Open Purchase or any Intraday Purchase that has not then fully settled in accordance with the Purchase Agreement. Neither we nor B. Riley Principal Capital II may assign or transfer any of our respective rights or obligations under the Purchase Agreement or the Registration Rights Agreement, and no provision of the Purchase Agreement or the Registration Rights Agreement may be modified or waived by us or B. Riley Principal Capital II.</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As consideration for B. Riley Principal Capital II’s commitment to purchase shares of Common Stock at our direction upon the terms and subject to</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conditions set forth in the Purchase Agreement, upon our execution of the Purchase Agreement, we (i) paid B. Riley Principal Capital II a cash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commitment fee in the amount of $200,000 (the “Cash Commitment Fee”), which represents 0.4% of B. Riley Principal Capital II’s $50,000,000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total aggregate purchase commitment under the Purchase Agreement and (ii) delivered irrevocable instructions to the transfer agent to issue 83,353</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of Common Stock (the “Commitment Shares”), which Commitment Shares have a total aggregate value equal to 0.5% of B. Riley Principal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Capital II’s $50,000,000 total aggregate purchase commitment under the Purchase Agreement (assuming a value per Commitment Share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$2.9993, representing the VWAP for the five consecutive days immediately prior to signing of the Purchase Agreement, rounded to the nearest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whole, to B. Riley Principal Capital II no later than 4:00 p.m. (New York City time) on the trading day immediately following the closing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Purchase Agreement. The Cash Commitment Fee will be paid by wire transfer of immediately available funds to an account designated by B. Riley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Principal Capital II on or prior to the date of the Purchase Agreement.</w:t>
      </w:r>
    </w:p>
    <w:p>
      <w:pPr>
        <w:spacing w:after="0" w:line="207" w:lineRule="exact"/>
        <w:rPr>
          <w:sz w:val="20"/>
          <w:szCs w:val="20"/>
          <w:color w:val="auto"/>
        </w:rPr>
      </w:pPr>
    </w:p>
    <w:p>
      <w:pPr>
        <w:ind w:left="300" w:right="80"/>
        <w:spacing w:after="0" w:line="256" w:lineRule="auto"/>
        <w:rPr>
          <w:sz w:val="20"/>
          <w:szCs w:val="20"/>
          <w:color w:val="auto"/>
        </w:rPr>
      </w:pPr>
      <w:r>
        <w:rPr>
          <w:rFonts w:ascii="Times New Roman" w:cs="Times New Roman" w:eastAsia="Times New Roman" w:hAnsi="Times New Roman"/>
          <w:sz w:val="18"/>
          <w:szCs w:val="18"/>
          <w:color w:val="auto"/>
        </w:rPr>
        <w:t>In addition, we have agreed to reimburse B. Riley Principal Capital II for the reasonable legal fees and disbursements of B. Riley Principal Capital II’s legal counsel in connection with the transactions contemplated by the Purchase Agreement and the Registration Rights Agreement in an amount not to exceed (i) $125,000 upon our execution of the Purchase Agreement and Registration Rights Agreement (the “Initial Investor Legal Fee Reimbursement Amount”) and (ii) $5,000 per fiscal quarter (the “Additional Investor Legal Fee Reimbursement Amount”) for the reasonable legal fees and disbursements of B. Riley Principal Capital II’s legal counsel in connection with quarterly and annual bring-down due diligence investigations and related matters as contemplated by the Purchase Agreement.</w:t>
      </w:r>
    </w:p>
    <w:p>
      <w:pPr>
        <w:spacing w:after="0" w:line="187" w:lineRule="exact"/>
        <w:rPr>
          <w:sz w:val="20"/>
          <w:szCs w:val="20"/>
          <w:color w:val="auto"/>
        </w:rPr>
      </w:pPr>
    </w:p>
    <w:p>
      <w:pPr>
        <w:jc w:val="both"/>
        <w:ind w:left="300" w:right="260"/>
        <w:spacing w:after="0" w:line="266" w:lineRule="auto"/>
        <w:rPr>
          <w:sz w:val="20"/>
          <w:szCs w:val="20"/>
          <w:color w:val="auto"/>
        </w:rPr>
      </w:pPr>
      <w:r>
        <w:rPr>
          <w:rFonts w:ascii="Times New Roman" w:cs="Times New Roman" w:eastAsia="Times New Roman" w:hAnsi="Times New Roman"/>
          <w:sz w:val="18"/>
          <w:szCs w:val="18"/>
          <w:color w:val="auto"/>
        </w:rPr>
        <w:t xml:space="preserve">The Purchase Agreement and the Registration Rights Agreement contain customary representations, warranties, conditions, and indemnification obligations of the parties. Copies of the agreements have been filed as exhibits to the registration statement that includes this prospectus and are available electronically on the SEC’s website at </w:t>
      </w:r>
      <w:r>
        <w:rPr>
          <w:rFonts w:ascii="Times New Roman" w:cs="Times New Roman" w:eastAsia="Times New Roman" w:hAnsi="Times New Roman"/>
          <w:sz w:val="18"/>
          <w:szCs w:val="18"/>
          <w:i w:val="1"/>
          <w:iCs w:val="1"/>
          <w:color w:val="auto"/>
        </w:rPr>
        <w:t>www.sec.gov.</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82"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476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447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spacing w:after="0" w:line="253" w:lineRule="auto"/>
        <w:rPr>
          <w:sz w:val="20"/>
          <w:szCs w:val="20"/>
          <w:color w:val="auto"/>
        </w:rPr>
      </w:pPr>
      <w:r>
        <w:rPr>
          <w:rFonts w:ascii="Times New Roman" w:cs="Times New Roman" w:eastAsia="Times New Roman" w:hAnsi="Times New Roman"/>
          <w:sz w:val="18"/>
          <w:szCs w:val="18"/>
          <w:color w:val="auto"/>
        </w:rPr>
        <w:t>Because the per share purchase price that B. Riley Principal Capital II will pay for Purchase Shares in any Market Open Purchase or Intraday Purchase that we may elect to effect pursuant to the Purchase Agreement will be determined by reference to the VWAP during the applicable Market Open Purchase Valuation Period or Intraday Purchase Valuation Period, respectively, on the applicable Purchase Date for such Market Open Purchase or Intraday Purchase (as the case may be), as of the date of this prospectus, we cannot determine the actual purchase price per share that B. Riley Principal Capital II will be required to pay for any Purchase Shares that we may elect to sell to B. Riley Principal Capital II under the Purchase Agreement from and after Commencement and, therefore, we cannot be certain how many Purchase Shares, in the aggregate, we may issue and sell to B. Riley Principal Capital II under the Purchase Agreement from and after Commencement. As of July 14, 2025, there were 101,682,422 shares of our Common Stock outstanding, of which 53,453,601 shares were held by non-affiliates of our company. If all of the 20,242,805 Purchase Shares offered for resale by B. Riley Principal Capital II under this prospectus were issued and outstanding as of the date hereof, such shares would represent approximately 19.91% of the total number of outstanding shares of Common Stock and approximately 37.87% of the total number of outstanding shares of Common Stock held by non-affiliates of our company, in each case as of July 14, 2025.</w:t>
      </w:r>
    </w:p>
    <w:p>
      <w:pPr>
        <w:spacing w:after="0" w:line="192"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color w:val="auto"/>
        </w:rPr>
        <w:t>Although the Purchase Agreement provides that we may sell up to $50,000,000 of our Common Stock to B. Riley Principal Capital II, only 20,242,805 Purchase Shares (in addition to the 83,353 Commitment Shares, for which we have not and will not receive any cash consideration) are being registered under the Securities Act for resale by B. Riley Principal Capital II under the registration statement that includes this prospectus. If we were to issue and sell all of such 20,242,805 Purchase Shares to B. Riley Principal Capital II (without taking into account the 19.99% Exchange Cap limitation) at an assumed purchase price per share of $2.91, representing the closing sale price of our Common Stock on Nasdaq on July 14, 2025, we would only receive approximately $59,000,000 in aggregate gross proceeds from the sale of such Purchase Shares to B. Riley Principal Capital II under the Purchase Agreement. Depending on the market prices of our Common Stock on the Purchase Dates on which we elect to sell such Purchase Shares to B. Riley Principal Capital II under the Purchase Agreement, we may in the future need to register under the Securities Act additional shares of our Common Stock for resale by B. Riley Principal Capital II which, together with the 20,242,805 Purchase Shares included in this prospectus, will enable us to issue and sell to B. Riley Principal Capital II such aggregate number of shares of Common Stock under the Purchase Agreement as will be necessary in order for us to receive aggregate proceeds equal to B. Riley Principal Capital II’s $50,000,000 maximum aggregate purchase commitment available to us under the Purchase Agreement.</w:t>
      </w:r>
    </w:p>
    <w:p>
      <w:pPr>
        <w:spacing w:after="0" w:line="190"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If we elect to issue and sell to B. Riley Principal Capital II more than the 20,326,158 BRPC Shares being registered under the Securities Act for resale by B. Riley Principal Capital II under the registration statement that includes this prospectus (83,353 of which shares represent the Commitment Shares that we issued, together with our payment of the Cash Commitment Fee, to B. Riley Principal Capital II upon execution of the Purchase Agreement on July 15, 2025, for which we have not and will not receive any cash consideration), which we have the right, but not the obligation, to do, we must first (i) obtain stockholder approval to issue shares of Common Stock in excess of the Exchange Cap under the Purchase Agreement in accordance with applicable Nasdaq rules, unless the average price for all shares of our Common Stock purchased by B. Riley Principal Capital II under the Purchase Agreement equals or exceeds $2.91 per share, such that the Exchange Cap limitation would not apply under applicable Nasdaq rules, and (ii) file with the SEC one or more additional registration statements to register under the Securities Act for the offer and resale by B. Riley Principal Capital II of any such additional shares of our Common Stock we wish to sell from time to time under the Purchase Agreement, which the SEC must declare effective, in each case before we may elect to sell any additional shares of our Common Stock to B. Riley Principal Capital II under the Purchase Agreement. Any issuance and sale by us under the Purchase Agreement of a substantial amount of shares of Common Stock in addition to the 20,326,158 BRPC Shares being registered for resale by B. Riley Principal Capital II under the registration statement that includes this prospectus could cause additional substantial dilution to our stockholders.</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82"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84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4846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74" w:lineRule="auto"/>
        <w:rPr>
          <w:sz w:val="20"/>
          <w:szCs w:val="20"/>
          <w:color w:val="auto"/>
        </w:rPr>
      </w:pPr>
      <w:r>
        <w:rPr>
          <w:rFonts w:ascii="Times New Roman" w:cs="Times New Roman" w:eastAsia="Times New Roman" w:hAnsi="Times New Roman"/>
          <w:sz w:val="17"/>
          <w:szCs w:val="17"/>
          <w:color w:val="auto"/>
        </w:rPr>
        <w:t>The number of BRPC Shares ultimately offered for resale by B. Riley Principal Capital II through this prospectus is dependent upon the number of shares of Common Stock, if any, we elect to issue and/or sell to B. Riley Principal Capital II under the Purchase Agreement from and after the Commencement Date. The issuance of our Common Stock to B. Riley Principal Capital II pursuant to the Purchase Agreement will not affect the rights or privileges of our existing stockholders, except that the economic and voting interests of each of our existing stockholders will be diluted.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Sales Partner Referral Agreement</w:t>
      </w:r>
    </w:p>
    <w:p>
      <w:pPr>
        <w:spacing w:after="0" w:line="121" w:lineRule="exact"/>
        <w:rPr>
          <w:sz w:val="20"/>
          <w:szCs w:val="20"/>
          <w:color w:val="auto"/>
        </w:rPr>
      </w:pPr>
    </w:p>
    <w:p>
      <w:pPr>
        <w:ind w:left="300" w:right="480"/>
        <w:spacing w:after="0" w:line="282" w:lineRule="auto"/>
        <w:rPr>
          <w:sz w:val="20"/>
          <w:szCs w:val="20"/>
          <w:color w:val="auto"/>
        </w:rPr>
      </w:pPr>
      <w:r>
        <w:rPr>
          <w:rFonts w:ascii="Times New Roman" w:cs="Times New Roman" w:eastAsia="Times New Roman" w:hAnsi="Times New Roman"/>
          <w:sz w:val="18"/>
          <w:szCs w:val="18"/>
          <w:color w:val="auto"/>
        </w:rPr>
        <w:t>On June 30, 2025, Legacy Blaize entered into a Sales Partner Referral Agreement (the “Referral Agreement”) with Burkhan LLC (the “Sales Partner”), an affiliate of Burkhan Capital LLC (“Burkhan”).</w:t>
      </w:r>
    </w:p>
    <w:p>
      <w:pPr>
        <w:spacing w:after="0" w:line="162" w:lineRule="exact"/>
        <w:rPr>
          <w:sz w:val="20"/>
          <w:szCs w:val="20"/>
          <w:color w:val="auto"/>
        </w:rPr>
      </w:pPr>
    </w:p>
    <w:p>
      <w:pPr>
        <w:ind w:left="300" w:right="100"/>
        <w:spacing w:after="0" w:line="289" w:lineRule="auto"/>
        <w:rPr>
          <w:sz w:val="20"/>
          <w:szCs w:val="20"/>
          <w:color w:val="auto"/>
        </w:rPr>
      </w:pPr>
      <w:r>
        <w:rPr>
          <w:rFonts w:ascii="Times New Roman" w:cs="Times New Roman" w:eastAsia="Times New Roman" w:hAnsi="Times New Roman"/>
          <w:sz w:val="17"/>
          <w:szCs w:val="17"/>
          <w:color w:val="auto"/>
        </w:rPr>
        <w:t>Pursuant to the Referral Agreement, the Sales Partner will, on a non-exclusive basis, promote certain Company products and refer potential customers to Legacy Blaize. Legacy Blaize may approve or reject any customer opportunity presented by the Sales Partner in its sole discretion. For any approved customer opportunity, Legacy Blaize and Sales Partner will negotiate in good faith on commissions payable to the Sales Partner.</w:t>
      </w:r>
    </w:p>
    <w:p>
      <w:pPr>
        <w:spacing w:after="0" w:line="158" w:lineRule="exact"/>
        <w:rPr>
          <w:sz w:val="20"/>
          <w:szCs w:val="20"/>
          <w:color w:val="auto"/>
        </w:rPr>
      </w:pPr>
    </w:p>
    <w:p>
      <w:pPr>
        <w:ind w:left="300" w:right="40"/>
        <w:spacing w:after="0" w:line="266" w:lineRule="auto"/>
        <w:rPr>
          <w:sz w:val="20"/>
          <w:szCs w:val="20"/>
          <w:color w:val="auto"/>
        </w:rPr>
      </w:pPr>
      <w:r>
        <w:rPr>
          <w:rFonts w:ascii="Times New Roman" w:cs="Times New Roman" w:eastAsia="Times New Roman" w:hAnsi="Times New Roman"/>
          <w:sz w:val="18"/>
          <w:szCs w:val="18"/>
          <w:color w:val="auto"/>
        </w:rPr>
        <w:t>The Referral Agreement has a term of three years and is terminable by either party for convenience on 30 days’ written notice or on five day’s written notice in the event of a material breach by the other party. The Referral Agreement also contains certain confidentiality and indemnification provisions.</w:t>
      </w:r>
    </w:p>
    <w:p>
      <w:pPr>
        <w:spacing w:after="0" w:line="176" w:lineRule="exact"/>
        <w:rPr>
          <w:sz w:val="20"/>
          <w:szCs w:val="20"/>
          <w:color w:val="auto"/>
        </w:rPr>
      </w:pPr>
    </w:p>
    <w:p>
      <w:pPr>
        <w:ind w:left="300" w:right="60"/>
        <w:spacing w:after="0" w:line="272" w:lineRule="auto"/>
        <w:rPr>
          <w:sz w:val="20"/>
          <w:szCs w:val="20"/>
          <w:color w:val="auto"/>
        </w:rPr>
      </w:pPr>
      <w:r>
        <w:rPr>
          <w:rFonts w:ascii="Times New Roman" w:cs="Times New Roman" w:eastAsia="Times New Roman" w:hAnsi="Times New Roman"/>
          <w:sz w:val="17"/>
          <w:szCs w:val="17"/>
          <w:color w:val="auto"/>
        </w:rPr>
        <w:t>The Referral Agreement has an initial approved customer of BurTech Systems Tech LLC (“BST”), an affiliate of Burkan, as described in the referral exhibit thereto (the “Referral Exhibit”). Under the Referral Exhibit, BST will purchase up to approximately $56.5 million of products from Legacy Blaize on behalf of an unaffiliated end user, beginning in the second quarter of 2025 through 2026. BST will receive a financing fee of</w:t>
      </w:r>
    </w:p>
    <w:p>
      <w:pPr>
        <w:spacing w:after="0" w:line="2" w:lineRule="exact"/>
        <w:rPr>
          <w:sz w:val="20"/>
          <w:szCs w:val="20"/>
          <w:color w:val="auto"/>
        </w:rPr>
      </w:pPr>
    </w:p>
    <w:p>
      <w:pPr>
        <w:ind w:left="300" w:right="100"/>
        <w:spacing w:after="0" w:line="255" w:lineRule="auto"/>
        <w:rPr>
          <w:sz w:val="20"/>
          <w:szCs w:val="20"/>
          <w:color w:val="auto"/>
        </w:rPr>
      </w:pPr>
      <w:r>
        <w:rPr>
          <w:rFonts w:ascii="Times New Roman" w:cs="Times New Roman" w:eastAsia="Times New Roman" w:hAnsi="Times New Roman"/>
          <w:sz w:val="18"/>
          <w:szCs w:val="18"/>
          <w:color w:val="auto"/>
        </w:rPr>
        <w:t>2.5% of the total purchase price from the end user and Sales Partner will receive a commission payable by Legacy Blaize of up to 10%, depending on Legacy Blaize’s gross margins under the purchase order, payable in cash and, in Legacy Blaize’s discretion, partially in Common Stock, as described in the Referral Exhibit.</w:t>
      </w:r>
    </w:p>
    <w:p>
      <w:pPr>
        <w:spacing w:after="0" w:line="186" w:lineRule="exact"/>
        <w:rPr>
          <w:sz w:val="20"/>
          <w:szCs w:val="20"/>
          <w:color w:val="auto"/>
        </w:rPr>
      </w:pPr>
    </w:p>
    <w:p>
      <w:pPr>
        <w:ind w:left="300" w:right="540"/>
        <w:spacing w:after="0" w:line="282" w:lineRule="auto"/>
        <w:rPr>
          <w:sz w:val="20"/>
          <w:szCs w:val="20"/>
          <w:color w:val="auto"/>
        </w:rPr>
      </w:pPr>
      <w:r>
        <w:rPr>
          <w:rFonts w:ascii="Times New Roman" w:cs="Times New Roman" w:eastAsia="Times New Roman" w:hAnsi="Times New Roman"/>
          <w:sz w:val="18"/>
          <w:szCs w:val="18"/>
          <w:color w:val="auto"/>
        </w:rPr>
        <w:t>The terms of the Referral Agreement were reviewed and approved by the Audit Committee of the Board of Directors in accordance with the Company’s related-party transaction policy</w:t>
      </w:r>
    </w:p>
    <w:p>
      <w:pPr>
        <w:spacing w:after="0" w:line="162" w:lineRule="exact"/>
        <w:rPr>
          <w:sz w:val="20"/>
          <w:szCs w:val="20"/>
          <w:color w:val="auto"/>
        </w:rPr>
      </w:pPr>
    </w:p>
    <w:p>
      <w:pPr>
        <w:ind w:left="300" w:right="20"/>
        <w:spacing w:after="0" w:line="282" w:lineRule="auto"/>
        <w:rPr>
          <w:sz w:val="20"/>
          <w:szCs w:val="20"/>
          <w:color w:val="auto"/>
        </w:rPr>
      </w:pPr>
      <w:r>
        <w:rPr>
          <w:rFonts w:ascii="Times New Roman" w:cs="Times New Roman" w:eastAsia="Times New Roman" w:hAnsi="Times New Roman"/>
          <w:sz w:val="18"/>
          <w:szCs w:val="18"/>
          <w:color w:val="auto"/>
        </w:rPr>
        <w:t>The foregoing summary of the Referral Agreement does not purport to be complete and is qualified in its entirety by reference to the full text of the Referral Agreement, a copy of which is attached as Exhibit 10.25 hereto and incorporated herein by reference.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Capital Market Advisory Engagement</w:t>
      </w:r>
    </w:p>
    <w:p>
      <w:pPr>
        <w:spacing w:after="0" w:line="121"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auto"/>
        </w:rPr>
        <w:t>On April 11, 2025, we entered into that certain Engagement Letter, by and between the Company and Cantor Fitzgerald &amp; Co. (“Cantor”), pursuant to which, among other things, the Company issued approximately 769,231 shares of Common Stock to Cantor on July 15, 2025, in consideration for acting as the Company’s capital markets advisor. The Engagement Letter entitled Cantor to shelf registration rights with respect to such shares of Common Stock.</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300"/>
        <w:spacing w:after="0" w:line="312" w:lineRule="auto"/>
        <w:rPr>
          <w:sz w:val="20"/>
          <w:szCs w:val="20"/>
          <w:color w:val="auto"/>
        </w:rPr>
      </w:pPr>
      <w:r>
        <w:rPr>
          <w:rFonts w:ascii="Times New Roman" w:cs="Times New Roman" w:eastAsia="Times New Roman" w:hAnsi="Times New Roman"/>
          <w:sz w:val="17"/>
          <w:szCs w:val="17"/>
          <w:color w:val="auto"/>
        </w:rPr>
        <w:t>Our business is subject to a number of risks of which you should be aware before making an investment decision. In particular, you should consider the risk factors described in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beginning on page 15. Such risks include, but are not limited to, the following:</w:t>
      </w:r>
    </w:p>
    <w:p>
      <w:pPr>
        <w:spacing w:after="0" w:line="45" w:lineRule="exact"/>
        <w:rPr>
          <w:sz w:val="20"/>
          <w:szCs w:val="20"/>
          <w:color w:val="auto"/>
        </w:rPr>
      </w:pPr>
    </w:p>
    <w:p>
      <w:pPr>
        <w:jc w:val="center"/>
        <w:ind w:left="5580" w:right="500" w:hanging="4755"/>
        <w:spacing w:after="0" w:line="673" w:lineRule="auto"/>
        <w:tabs>
          <w:tab w:leader="none" w:pos="123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we may not be able to generate sufficient revenue to achieve and sustain profitability. 7</w:t>
      </w:r>
    </w:p>
    <w:p>
      <w:pPr>
        <w:sectPr>
          <w:pgSz w:w="11900" w:h="16838" w:orient="portrait"/>
          <w:cols w:equalWidth="0" w:num="1">
            <w:col w:w="10940"/>
          </w:cols>
          <w:pgMar w:left="320" w:top="482"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046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6046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36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automotive OEMs (as defined below) and Tier-1 suppliers are long-term in nature and we will not receive legally binding purchase order commitments until we deliver our auto-grade chip.</w:t>
      </w:r>
    </w:p>
    <w:p>
      <w:pPr>
        <w:spacing w:after="0" w:line="67" w:lineRule="exact"/>
        <w:rPr>
          <w:rFonts w:ascii="Times New Roman" w:cs="Times New Roman" w:eastAsia="Times New Roman" w:hAnsi="Times New Roman"/>
          <w:sz w:val="18"/>
          <w:szCs w:val="18"/>
          <w:color w:val="auto"/>
        </w:rPr>
      </w:pPr>
    </w:p>
    <w:p>
      <w:pPr>
        <w:ind w:left="1240" w:right="4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revenue and operating results will be harmed if we are unable to acquire new customers, retain existing customers or expand sales to our existing customers.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implement our growth strategy on a timely basis or at all.</w:t>
      </w:r>
    </w:p>
    <w:p>
      <w:pPr>
        <w:spacing w:after="0" w:line="130"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marketing and sales capabilities could harm our ability to increase our customer base and achieve broader market acceptance of our platform and products.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timely supply of materials sourced from a limited number of suppliers, and are directly impacted by unexpected delays or problems from our third-party manufacturers.</w:t>
      </w:r>
    </w:p>
    <w:p>
      <w:pPr>
        <w:spacing w:after="0" w:line="67"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improve and enhance the functionality, performance, reliability, design, security and scalability of our platform and products and innovate and introduce new solutions in a manner that responds to our customers’ evolving needs, our business may be adversely affected.</w:t>
      </w:r>
    </w:p>
    <w:p>
      <w:pPr>
        <w:spacing w:after="0" w:line="81"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maintain high levels of service and customer satisfaction or adequately address competitive challenges.</w:t>
      </w:r>
    </w:p>
    <w:p>
      <w:pPr>
        <w:spacing w:after="0" w:line="67" w:lineRule="exact"/>
        <w:rPr>
          <w:rFonts w:ascii="Times New Roman" w:cs="Times New Roman" w:eastAsia="Times New Roman" w:hAnsi="Times New Roman"/>
          <w:sz w:val="18"/>
          <w:szCs w:val="18"/>
          <w:color w:val="auto"/>
        </w:rPr>
      </w:pPr>
    </w:p>
    <w:p>
      <w:pPr>
        <w:ind w:left="1240" w:right="26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reduce or change our pricing model to remain competitive.</w:t>
      </w:r>
    </w:p>
    <w:p>
      <w:pPr>
        <w:spacing w:after="0" w:line="130"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and changing customer needs or preferences, our platform and products may become less competitive.</w:t>
      </w:r>
    </w:p>
    <w:p>
      <w:pPr>
        <w:spacing w:after="0" w:line="67"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the loss of one or more key employees or an inability to attract and retain highly skilled employees may adversely affect our business.</w:t>
      </w:r>
    </w:p>
    <w:p>
      <w:pPr>
        <w:spacing w:after="0" w:line="67"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software or hardware contains serious errors or defects, we may lose revenue and market acceptance and may incur costs to defend or settle claims with our customers.</w:t>
      </w:r>
    </w:p>
    <w:p>
      <w:pPr>
        <w:spacing w:after="0" w:line="67"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third parties.</w:t>
      </w:r>
    </w:p>
    <w:p>
      <w:pPr>
        <w:spacing w:after="0" w:line="130" w:lineRule="exact"/>
        <w:rPr>
          <w:rFonts w:ascii="Times New Roman" w:cs="Times New Roman" w:eastAsia="Times New Roman" w:hAnsi="Times New Roman"/>
          <w:sz w:val="18"/>
          <w:szCs w:val="18"/>
          <w:color w:val="auto"/>
        </w:rPr>
      </w:pPr>
    </w:p>
    <w:p>
      <w:pPr>
        <w:jc w:val="both"/>
        <w:ind w:left="1640" w:right="340" w:hanging="289"/>
        <w:spacing w:after="0" w:line="266" w:lineRule="auto"/>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300" w:right="140"/>
        <w:spacing w:after="0" w:line="266" w:lineRule="auto"/>
        <w:rPr>
          <w:sz w:val="20"/>
          <w:szCs w:val="20"/>
          <w:color w:val="auto"/>
        </w:rPr>
      </w:pPr>
      <w:r>
        <w:rPr>
          <w:rFonts w:ascii="Times New Roman" w:cs="Times New Roman" w:eastAsia="Times New Roman" w:hAnsi="Times New Roman"/>
          <w:sz w:val="18"/>
          <w:szCs w:val="18"/>
          <w:color w:val="auto"/>
        </w:rPr>
        <w:t>As a company with less than $1.235 billion in revenue during our last fiscal year, we qualify as an “emerging growth company” as defined in the Jumpstart Our Business Startups Act of 2012, as amended (the “JOBS Act”). An “emerging growth company” may take advantage of reduced reporting requirements that are otherwise applicable to public companies. These provisions include, but are not limited to:</w:t>
      </w:r>
    </w:p>
    <w:p>
      <w:pPr>
        <w:spacing w:after="0" w:line="79" w:lineRule="exact"/>
        <w:rPr>
          <w:sz w:val="20"/>
          <w:szCs w:val="20"/>
          <w:color w:val="auto"/>
        </w:rPr>
      </w:pPr>
    </w:p>
    <w:p>
      <w:pPr>
        <w:ind w:left="1240" w:right="340" w:hanging="415"/>
        <w:spacing w:after="0" w:line="284"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to present only two years of audited financial statements and only two years of related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w:t>
      </w:r>
      <w:r>
        <w:rPr>
          <w:rFonts w:ascii="Times New Roman" w:cs="Times New Roman" w:eastAsia="Times New Roman" w:hAnsi="Times New Roman"/>
          <w:sz w:val="18"/>
          <w:szCs w:val="18"/>
          <w:color w:val="auto"/>
        </w:rPr>
        <w:t>” in this prospectus;</w:t>
      </w:r>
    </w:p>
    <w:p>
      <w:pPr>
        <w:spacing w:after="0" w:line="65"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(the “Sarbanes-Oxley Act”);</w:t>
      </w:r>
    </w:p>
    <w:p>
      <w:pPr>
        <w:spacing w:after="0" w:line="28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0"/>
          </w:cols>
          <w:pgMar w:left="320" w:top="482" w:right="7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641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46418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0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81"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67"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of stockholders on executive compensation, stockholder approval of any golden parachute payments not previously approved and having to disclose the ratio of the compensation of our chief executive officer to the median compensation of our employees.</w:t>
      </w:r>
    </w:p>
    <w:p>
      <w:pPr>
        <w:spacing w:after="0" w:line="176" w:lineRule="exact"/>
        <w:rPr>
          <w:sz w:val="20"/>
          <w:szCs w:val="20"/>
          <w:color w:val="auto"/>
        </w:rPr>
      </w:pPr>
    </w:p>
    <w:p>
      <w:pPr>
        <w:ind w:left="300" w:right="20"/>
        <w:spacing w:after="0" w:line="270" w:lineRule="auto"/>
        <w:rPr>
          <w:sz w:val="20"/>
          <w:szCs w:val="20"/>
          <w:color w:val="auto"/>
        </w:rPr>
      </w:pPr>
      <w:r>
        <w:rPr>
          <w:rFonts w:ascii="Times New Roman" w:cs="Times New Roman" w:eastAsia="Times New Roman" w:hAnsi="Times New Roman"/>
          <w:sz w:val="17"/>
          <w:szCs w:val="17"/>
          <w:color w:val="auto"/>
        </w:rPr>
        <w:t>We may take advantage of these provisions until the last day of our fiscal year following the fifth anniversary of the completion of the initial public offering of our securities. However, if (i) our annual gross revenue exceeds $1.235 billion, (ii) we issue more than $1.0 billion of non-convertible debt in any three-year period or (iii) we become a “large accelerated filer” (as defined in Rule 12b-2 under the Exchange Act) prior to the end of such five-year period, we will cease to be an emerging growth company. We will be deemed to be a “large accelerated filer” at such time that we</w:t>
      </w:r>
    </w:p>
    <w:p>
      <w:pPr>
        <w:spacing w:after="0" w:line="3" w:lineRule="exact"/>
        <w:rPr>
          <w:sz w:val="20"/>
          <w:szCs w:val="20"/>
          <w:color w:val="auto"/>
        </w:rPr>
      </w:pPr>
    </w:p>
    <w:p>
      <w:pPr>
        <w:jc w:val="both"/>
        <w:ind w:left="300" w:right="80" w:hanging="2"/>
        <w:spacing w:after="0" w:line="255" w:lineRule="auto"/>
        <w:tabs>
          <w:tab w:leader="none" w:pos="5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aggregate worldwide market value of common equity securities held by non-affiliates of $700.0 million or more as of the last business day of our most recently completed second fiscal quarter, (b) have been required to file annual and quarterly reports under the Exchange Act, for a period of at least 12 months and (c) have filed at least one annual report pursuant to the Exchange Act.</w:t>
      </w:r>
    </w:p>
    <w:p>
      <w:pPr>
        <w:spacing w:after="0" w:line="186" w:lineRule="exact"/>
        <w:rPr>
          <w:sz w:val="20"/>
          <w:szCs w:val="20"/>
          <w:color w:val="auto"/>
        </w:rPr>
      </w:pPr>
    </w:p>
    <w:p>
      <w:pPr>
        <w:ind w:left="300" w:right="260"/>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76" w:lineRule="exact"/>
        <w:rPr>
          <w:sz w:val="20"/>
          <w:szCs w:val="20"/>
          <w:color w:val="auto"/>
        </w:rPr>
      </w:pPr>
    </w:p>
    <w:p>
      <w:pPr>
        <w:jc w:val="both"/>
        <w:ind w:left="300" w:right="40"/>
        <w:spacing w:after="0" w:line="26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We have elected to use the extended transition period for complying with new or revised accounting standards. As a result of this election, our financial statements may not be comparable to companies that comply with public company effective dates.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8"/>
          <w:szCs w:val="18"/>
          <w:color w:val="auto"/>
        </w:rPr>
        <w:t xml:space="preserve">Our Common Stock is listed on Nasdaq under the symbol “BZAI.” Our principal executive offices are located at 4659 Golden Foothill Parkway in El Dorado Hills, California, 95762, and our telephone number is (916) 347-0050. Our website address is </w:t>
      </w:r>
      <w:r>
        <w:rPr>
          <w:rFonts w:ascii="Times New Roman" w:cs="Times New Roman" w:eastAsia="Times New Roman" w:hAnsi="Times New Roman"/>
          <w:sz w:val="18"/>
          <w:szCs w:val="18"/>
          <w:i w:val="1"/>
          <w:iCs w:val="1"/>
          <w:color w:val="auto"/>
        </w:rPr>
        <w:t>www.blaize.com</w:t>
      </w:r>
      <w:r>
        <w:rPr>
          <w:rFonts w:ascii="Times New Roman" w:cs="Times New Roman" w:eastAsia="Times New Roman" w:hAnsi="Times New Roman"/>
          <w:sz w:val="18"/>
          <w:szCs w:val="18"/>
          <w:color w:val="auto"/>
        </w:rPr>
        <w:t>. The information contained in, or accessible through, our website does not constitute a part of this prospectus. We have included our website address in this prospectus solely as an inactive textual reference.</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320" w:top="482" w:right="6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13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Blaize Holdings, Inc.</w:t>
      </w:r>
    </w:p>
    <w:p>
      <w:pPr>
        <w:spacing w:after="0" w:line="26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Common Stock offered by the Selling Stockholder</w:t>
      </w:r>
      <w:r>
        <w:rPr>
          <w:sz w:val="20"/>
          <w:szCs w:val="20"/>
          <w:color w:val="auto"/>
        </w:rPr>
        <w:tab/>
      </w:r>
      <w:r>
        <w:rPr>
          <w:rFonts w:ascii="Times New Roman" w:cs="Times New Roman" w:eastAsia="Times New Roman" w:hAnsi="Times New Roman"/>
          <w:sz w:val="17"/>
          <w:szCs w:val="17"/>
          <w:color w:val="auto"/>
        </w:rPr>
        <w:t>Up to 20,326,158 shares of Common Stock that we may elect, in our sole discretion, to</w:t>
      </w:r>
    </w:p>
    <w:p>
      <w:pPr>
        <w:spacing w:after="0" w:line="27" w:lineRule="exact"/>
        <w:rPr>
          <w:sz w:val="20"/>
          <w:szCs w:val="20"/>
          <w:color w:val="auto"/>
        </w:rPr>
      </w:pPr>
    </w:p>
    <w:p>
      <w:pPr>
        <w:ind w:left="4340" w:right="900"/>
        <w:spacing w:after="0" w:line="260" w:lineRule="auto"/>
        <w:rPr>
          <w:sz w:val="20"/>
          <w:szCs w:val="20"/>
          <w:color w:val="auto"/>
        </w:rPr>
      </w:pPr>
      <w:r>
        <w:rPr>
          <w:rFonts w:ascii="Times New Roman" w:cs="Times New Roman" w:eastAsia="Times New Roman" w:hAnsi="Times New Roman"/>
          <w:sz w:val="18"/>
          <w:szCs w:val="18"/>
          <w:color w:val="auto"/>
        </w:rPr>
        <w:t>issue and sell to B. Riley Principal Capital II, from time to time from and after the Commencement Date under the Purchase Agreement.</w:t>
      </w:r>
    </w:p>
    <w:p>
      <w:pPr>
        <w:sectPr>
          <w:pgSz w:w="11900" w:h="16838" w:orient="portrait"/>
          <w:cols w:equalWidth="0" w:num="1">
            <w:col w:w="11140"/>
          </w:cols>
          <w:pgMar w:left="320" w:top="482" w:right="439" w:bottom="1440" w:gutter="0" w:footer="0" w:header="0"/>
        </w:sectPr>
      </w:pPr>
    </w:p>
    <w:p>
      <w:pPr>
        <w:spacing w:after="0" w:line="208" w:lineRule="exact"/>
        <w:rPr>
          <w:sz w:val="20"/>
          <w:szCs w:val="20"/>
          <w:color w:val="auto"/>
        </w:rPr>
      </w:pPr>
    </w:p>
    <w:p>
      <w:pPr>
        <w:ind w:left="300" w:right="880"/>
        <w:spacing w:after="0" w:line="579" w:lineRule="auto"/>
        <w:rPr>
          <w:sz w:val="20"/>
          <w:szCs w:val="20"/>
          <w:color w:val="auto"/>
        </w:rPr>
      </w:pPr>
      <w:r>
        <w:rPr>
          <w:rFonts w:ascii="Times New Roman" w:cs="Times New Roman" w:eastAsia="Times New Roman" w:hAnsi="Times New Roman"/>
          <w:sz w:val="18"/>
          <w:szCs w:val="18"/>
          <w:color w:val="auto"/>
        </w:rPr>
        <w:t>Common Stock offered by Cantor Terms of the Offering</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769,231 shares of Common Stock issued to Cantor.</w:t>
      </w:r>
    </w:p>
    <w:p>
      <w:pPr>
        <w:spacing w:after="0" w:line="26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Each Selling Securityholder, as applicable, will determine when and how it will dispose of any shares of Common Stock registered under this prospectus for resale.</w:t>
      </w:r>
    </w:p>
    <w:p>
      <w:pPr>
        <w:spacing w:after="0" w:line="189"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We will not receive any proceeds from any sale of Common Stock by the Selling Stockholder. However, we may receive up to $50,000,000 in aggregate gross proceeds from the Selling Stockholder under the Purchase Agreement in connection with sales of shares of our Common Stock to the Selling Stockholder pursuant to the Purchase Agreement after the date of this prospectus. However, the actual proceeds may be less than this amount depending on the number of shares of our Common Stock sold and the price at which the shares of Common Stock are sold. We intend to use any proceeds from the committed equity facility (the “Facility”) to accelerate commercialization of the South Asia smart infrastructure contract previously announced on June 30, 2025 and investment in its next-generation chip, as well as for working capital and general corporate purposes. We will not receive any proceeds from the sale of any Common Stock by Cantor. See “</w:t>
      </w:r>
      <w:r>
        <w:rPr>
          <w:rFonts w:ascii="Times New Roman" w:cs="Times New Roman" w:eastAsia="Times New Roman" w:hAnsi="Times New Roman"/>
          <w:sz w:val="18"/>
          <w:szCs w:val="18"/>
          <w:i w:val="1"/>
          <w:iCs w:val="1"/>
          <w:color w:val="auto"/>
        </w:rPr>
        <w:t>Use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620" w:space="720"/>
            <w:col w:w="6800"/>
          </w:cols>
          <w:pgMar w:left="320" w:top="482" w:right="439" w:bottom="1440" w:gutter="0" w:footer="0" w:header="0"/>
          <w:type w:val="continuous"/>
        </w:sectPr>
      </w:pPr>
    </w:p>
    <w:p>
      <w:pPr>
        <w:spacing w:after="0" w:line="1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Conflict of Interest</w:t>
            </w: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 Riley Principal Capital II, LLC is an affiliate of B. Riley Securities, Inc. (“BRS”), a</w:t>
            </w:r>
          </w:p>
        </w:tc>
      </w:tr>
      <w:tr>
        <w:trPr>
          <w:trHeight w:val="216"/>
        </w:trPr>
        <w:tc>
          <w:tcPr>
            <w:tcW w:w="2880" w:type="dxa"/>
            <w:vAlign w:val="bottom"/>
          </w:tcPr>
          <w:p>
            <w:pPr>
              <w:spacing w:after="0"/>
              <w:rPr>
                <w:sz w:val="18"/>
                <w:szCs w:val="18"/>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registered broker-dealer and FINRA member. BRS will act as an executing broker that will</w:t>
            </w:r>
          </w:p>
        </w:tc>
      </w:tr>
      <w:tr>
        <w:trPr>
          <w:trHeight w:val="216"/>
        </w:trPr>
        <w:tc>
          <w:tcPr>
            <w:tcW w:w="2880" w:type="dxa"/>
            <w:vAlign w:val="bottom"/>
          </w:tcPr>
          <w:p>
            <w:pPr>
              <w:spacing w:after="0"/>
              <w:rPr>
                <w:sz w:val="18"/>
                <w:szCs w:val="18"/>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effectuate resales of BRPC Shares that have been and may be acquired by B. Riley</w:t>
            </w:r>
          </w:p>
        </w:tc>
      </w:tr>
      <w:tr>
        <w:trPr>
          <w:trHeight w:val="216"/>
        </w:trPr>
        <w:tc>
          <w:tcPr>
            <w:tcW w:w="2880" w:type="dxa"/>
            <w:vAlign w:val="bottom"/>
          </w:tcPr>
          <w:p>
            <w:pPr>
              <w:spacing w:after="0"/>
              <w:rPr>
                <w:sz w:val="18"/>
                <w:szCs w:val="18"/>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Principal Capital II from us pursuant to the Purchase Agreement to the public in this</w:t>
            </w:r>
          </w:p>
        </w:tc>
      </w:tr>
      <w:tr>
        <w:trPr>
          <w:trHeight w:val="234"/>
        </w:trPr>
        <w:tc>
          <w:tcPr>
            <w:tcW w:w="2880" w:type="dxa"/>
            <w:vAlign w:val="bottom"/>
          </w:tcPr>
          <w:p>
            <w:pPr>
              <w:spacing w:after="0"/>
              <w:rPr>
                <w:sz w:val="20"/>
                <w:szCs w:val="20"/>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offering.</w:t>
            </w:r>
          </w:p>
        </w:tc>
      </w:tr>
      <w:tr>
        <w:trPr>
          <w:trHeight w:val="441"/>
        </w:trPr>
        <w:tc>
          <w:tcPr>
            <w:tcW w:w="2880" w:type="dxa"/>
            <w:vAlign w:val="bottom"/>
          </w:tcPr>
          <w:p>
            <w:pPr>
              <w:spacing w:after="0"/>
              <w:rPr>
                <w:sz w:val="24"/>
                <w:szCs w:val="24"/>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Because B. Riley Principal Capital II will receive all the net proceeds from such resales of</w:t>
            </w:r>
          </w:p>
        </w:tc>
      </w:tr>
      <w:tr>
        <w:trPr>
          <w:trHeight w:val="216"/>
        </w:trPr>
        <w:tc>
          <w:tcPr>
            <w:tcW w:w="2880" w:type="dxa"/>
            <w:vAlign w:val="bottom"/>
          </w:tcPr>
          <w:p>
            <w:pPr>
              <w:spacing w:after="0"/>
              <w:rPr>
                <w:sz w:val="18"/>
                <w:szCs w:val="18"/>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BRPC Shares made to the public through BRS, BRS is deemed to have a “conflict of</w:t>
            </w:r>
          </w:p>
        </w:tc>
      </w:tr>
      <w:tr>
        <w:trPr>
          <w:trHeight w:val="216"/>
        </w:trPr>
        <w:tc>
          <w:tcPr>
            <w:tcW w:w="2880" w:type="dxa"/>
            <w:vAlign w:val="bottom"/>
          </w:tcPr>
          <w:p>
            <w:pPr>
              <w:spacing w:after="0"/>
              <w:rPr>
                <w:sz w:val="18"/>
                <w:szCs w:val="18"/>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interest” within the meaning of Financial Industry Regulatory Authority, Inc. (“FINRA”)</w:t>
            </w:r>
          </w:p>
        </w:tc>
      </w:tr>
      <w:tr>
        <w:trPr>
          <w:trHeight w:val="234"/>
        </w:trPr>
        <w:tc>
          <w:tcPr>
            <w:tcW w:w="2880" w:type="dxa"/>
            <w:vAlign w:val="bottom"/>
          </w:tcPr>
          <w:p>
            <w:pPr>
              <w:spacing w:after="0"/>
              <w:rPr>
                <w:sz w:val="20"/>
                <w:szCs w:val="20"/>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Rule 5121.</w:t>
            </w:r>
          </w:p>
        </w:tc>
      </w:tr>
      <w:tr>
        <w:trPr>
          <w:trHeight w:val="441"/>
        </w:trPr>
        <w:tc>
          <w:tcPr>
            <w:tcW w:w="2880" w:type="dxa"/>
            <w:vAlign w:val="bottom"/>
          </w:tcPr>
          <w:p>
            <w:pPr>
              <w:spacing w:after="0"/>
              <w:rPr>
                <w:sz w:val="24"/>
                <w:szCs w:val="24"/>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In accordance with FINRA Rule 5121, BRS is not permitted to sell shares of our Common</w:t>
            </w:r>
          </w:p>
        </w:tc>
      </w:tr>
      <w:tr>
        <w:trPr>
          <w:trHeight w:val="214"/>
        </w:trPr>
        <w:tc>
          <w:tcPr>
            <w:tcW w:w="2880" w:type="dxa"/>
            <w:vAlign w:val="bottom"/>
          </w:tcPr>
          <w:p>
            <w:pPr>
              <w:spacing w:after="0"/>
              <w:rPr>
                <w:sz w:val="18"/>
                <w:szCs w:val="18"/>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Stock in this offering to an account over which it exercises discretionary authority without</w:t>
            </w:r>
          </w:p>
        </w:tc>
      </w:tr>
      <w:tr>
        <w:trPr>
          <w:trHeight w:val="216"/>
        </w:trPr>
        <w:tc>
          <w:tcPr>
            <w:tcW w:w="2880" w:type="dxa"/>
            <w:vAlign w:val="bottom"/>
          </w:tcPr>
          <w:p>
            <w:pPr>
              <w:spacing w:after="0"/>
              <w:rPr>
                <w:sz w:val="18"/>
                <w:szCs w:val="18"/>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the prior specific written approval of the account holder. See “</w:t>
            </w:r>
            <w:r>
              <w:rPr>
                <w:rFonts w:ascii="Times New Roman" w:cs="Times New Roman" w:eastAsia="Times New Roman" w:hAnsi="Times New Roman"/>
                <w:sz w:val="18"/>
                <w:szCs w:val="18"/>
                <w:i w:val="1"/>
                <w:iCs w:val="1"/>
                <w:color w:val="auto"/>
              </w:rPr>
              <w:t>Plan of Distribution</w:t>
            </w:r>
          </w:p>
        </w:tc>
      </w:tr>
      <w:tr>
        <w:trPr>
          <w:trHeight w:val="236"/>
        </w:trPr>
        <w:tc>
          <w:tcPr>
            <w:tcW w:w="2880" w:type="dxa"/>
            <w:vAlign w:val="bottom"/>
          </w:tcPr>
          <w:p>
            <w:pPr>
              <w:spacing w:after="0"/>
              <w:rPr>
                <w:sz w:val="20"/>
                <w:szCs w:val="20"/>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i w:val="1"/>
                <w:iCs w:val="1"/>
                <w:color w:val="auto"/>
              </w:rPr>
              <w:t>(Conflict of Interest) – Offer and Resale of Common Stock by the Selling Stockholder</w:t>
            </w:r>
            <w:r>
              <w:rPr>
                <w:rFonts w:ascii="Times New Roman" w:cs="Times New Roman" w:eastAsia="Times New Roman" w:hAnsi="Times New Roman"/>
                <w:sz w:val="18"/>
                <w:szCs w:val="18"/>
                <w:color w:val="auto"/>
              </w:rPr>
              <w:t>.”</w:t>
            </w:r>
          </w:p>
        </w:tc>
      </w:tr>
      <w:tr>
        <w:trPr>
          <w:trHeight w:val="172"/>
        </w:trPr>
        <w:tc>
          <w:tcPr>
            <w:tcW w:w="2880" w:type="dxa"/>
            <w:vAlign w:val="bottom"/>
            <w:tcBorders>
              <w:bottom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r>
      <w:tr>
        <w:trPr>
          <w:trHeight w:val="361"/>
        </w:trPr>
        <w:tc>
          <w:tcPr>
            <w:tcW w:w="2880" w:type="dxa"/>
            <w:vAlign w:val="bottom"/>
          </w:tcPr>
          <w:p>
            <w:pPr>
              <w:spacing w:after="0"/>
              <w:rPr>
                <w:sz w:val="24"/>
                <w:szCs w:val="24"/>
                <w:color w:val="auto"/>
              </w:rPr>
            </w:pPr>
          </w:p>
        </w:tc>
        <w:tc>
          <w:tcPr>
            <w:tcW w:w="814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140"/>
          </w:cols>
          <w:pgMar w:left="320" w:top="482" w:right="4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222250</wp:posOffset>
            </wp:positionV>
            <wp:extent cx="6998970" cy="12211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1221105"/>
                    </a:xfrm>
                    <a:prstGeom prst="rect">
                      <a:avLst/>
                    </a:prstGeom>
                    <a:noFill/>
                  </pic:spPr>
                </pic:pic>
              </a:graphicData>
            </a:graphic>
          </wp:anchor>
        </w:drawing>
      </w:r>
    </w:p>
    <w:p>
      <w:pPr>
        <w:sectPr>
          <w:pgSz w:w="11900" w:h="16838" w:orient="portrait"/>
          <w:cols w:equalWidth="0" w:num="1">
            <w:col w:w="10900"/>
          </w:cols>
          <w:pgMar w:left="320" w:top="482" w:right="67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15 and other information included in this prospectus for a discussion of factors you should carefully consider before deciding to invest in the securities being offered by this prospectus.</w:t>
      </w:r>
    </w:p>
    <w:p>
      <w:pPr>
        <w:spacing w:after="0" w:line="200" w:lineRule="exact"/>
        <w:rPr>
          <w:sz w:val="20"/>
          <w:szCs w:val="20"/>
          <w:color w:val="auto"/>
        </w:rPr>
      </w:pPr>
    </w:p>
    <w:p>
      <w:pPr>
        <w:sectPr>
          <w:pgSz w:w="11900" w:h="16838" w:orient="portrait"/>
          <w:cols w:equalWidth="0" w:num="2">
            <w:col w:w="3620" w:space="720"/>
            <w:col w:w="6560"/>
          </w:cols>
          <w:pgMar w:left="320" w:top="482" w:right="679" w:bottom="1440" w:gutter="0" w:footer="0" w:header="0"/>
          <w:type w:val="continuous"/>
        </w:sectPr>
      </w:pP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Our Common Stock is listed and traded on Nasdaq under the symbol “BZAI.”</w:t>
      </w:r>
    </w:p>
    <w:p>
      <w:pPr>
        <w:spacing w:after="0" w:line="200" w:lineRule="exact"/>
        <w:rPr>
          <w:sz w:val="20"/>
          <w:szCs w:val="20"/>
          <w:color w:val="auto"/>
        </w:rPr>
      </w:pPr>
    </w:p>
    <w:p>
      <w:pPr>
        <w:sectPr>
          <w:pgSz w:w="11900" w:h="16838" w:orient="portrait"/>
          <w:cols w:equalWidth="0" w:num="2">
            <w:col w:w="3620" w:space="720"/>
            <w:col w:w="6560"/>
          </w:cols>
          <w:pgMar w:left="320" w:top="482" w:right="679" w:bottom="1440" w:gutter="0" w:footer="0" w:header="0"/>
          <w:type w:val="continuous"/>
        </w:sectPr>
      </w:pPr>
    </w:p>
    <w:p>
      <w:pPr>
        <w:spacing w:after="0" w:line="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For additional information concerning the offering, see “</w:t>
      </w:r>
      <w:r>
        <w:rPr>
          <w:rFonts w:ascii="Times New Roman" w:cs="Times New Roman" w:eastAsia="Times New Roman" w:hAnsi="Times New Roman"/>
          <w:sz w:val="17"/>
          <w:szCs w:val="17"/>
          <w:i w:val="1"/>
          <w:iCs w:val="1"/>
          <w:color w:val="auto"/>
        </w:rPr>
        <w:t>Plan of Distribution (Conflict of Interest</w:t>
      </w:r>
      <w:r>
        <w:rPr>
          <w:rFonts w:ascii="Times New Roman" w:cs="Times New Roman" w:eastAsia="Times New Roman" w:hAnsi="Times New Roman"/>
          <w:sz w:val="17"/>
          <w:szCs w:val="17"/>
          <w:color w:val="auto"/>
        </w:rPr>
        <w:t>).”</w:t>
      </w:r>
    </w:p>
    <w:p>
      <w:pPr>
        <w:spacing w:after="0" w:line="3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320" w:top="482" w:right="67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the other information in this prospectus before making an investment in our Common Stock. Our business, financial condition, results of operations, or prospects could be materially and adversely affected if any of these risks occurs, and as a result, the market price of our Common Stock could decline and you could lose all or part of your investment. This prospectus also contains forward-looking statements that are subject to risks and uncertainties. See “Cautionary Note Regarding Forward-Looking Statements.” Our actual results could differ materially and adversely from those anticipated in these forward-looking statements as a result of certain factors, including those set forth below.</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Committed Equity Facility</w:t>
      </w:r>
    </w:p>
    <w:p>
      <w:pPr>
        <w:spacing w:after="0" w:line="117"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of Common Stock, if any, we will sell under the Purchase Agreement to B. Riley Principal Capital II, or the actual gross proceeds resulting from those sales.</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July 14, 2025, we entered into the Purchase Agreement with B. Riley Principal Capital II, pursuant to which B. Riley Principal Capital II has committed to purchase up to $50,000,000 of shares of our Common Stock, subject to certain limitations and conditions set forth in the Purchase Agreement. The shares of our Common Stock that may be issued under the Purchase Agreement may be sold by us to B. Riley Principal Capital II at our discretion from time to time for a period of up to 36 months (unless the Purchase Agreement is earlier terminated) beginning on the Commencement Date.</w:t>
      </w:r>
    </w:p>
    <w:p>
      <w:pPr>
        <w:spacing w:after="0" w:line="183"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We generally have the right to control the timing and amount of any sales of our shares of Common Stock to B. Riley Principal Capital II under the Purchase Agreement. Sales of our Common Stock, if any, to B. Riley Principal Capital II under the Purchase Agreement will depend upon market conditions and other factors to be determined by us. We may ultimately decide to sell to B. Riley Principal Capital II all, some or none of the shares of our Common Stock that may be available for us to sell to B. Riley Principal Capital II pursuant to the Purchase Agreement.</w:t>
      </w:r>
    </w:p>
    <w:p>
      <w:pPr>
        <w:spacing w:after="0" w:line="180"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Because the per share purchase price that B. Riley Principal Capital II will pay for Purchase Shares in any Market Open Purchase or Intraday Purchase that we may elect to effect pursuant to the Purchase Agreement will be determined by reference to the VWAP during the applicable Market Open Purchase Valuation Period or Intraday Purchase Valuation Period, respectively, on the applicable Purchase Date for such Market Open Purchase or Intraday Purchase (as the case may be), as of the date of this prospectus, it is not possible for us to predict the number of shares of Common Stock that we will sell to B. Riley Principal Capital II as Purchase Shares under the Purchase Agreement, the purchase price per share that B. Riley Principal Capital II will pay for Purchase Shares purchased from us under the Purchase Agreement, or the aggregate gross proceeds that we will receive from those purchases by B. Riley Principal Capital II under the Purchase Agreement.</w:t>
      </w:r>
    </w:p>
    <w:p>
      <w:pPr>
        <w:spacing w:after="0" w:line="18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Although the Purchase Agreement provides that we may sell up to an aggregate of $50,000,000 of our Common Stock to B. Riley Principal Capital II, only 20,326,158 BRPC Shares are being registered under the Securities Act for resale by B. Riley Principal Capital II under the registration statement that includes this prospectus, which include the 83,353 Commitment Shares that we issued, together with our payment of the Cash Commitment Fee, to B. Riley Principal Capital II upon our execution of the Purchase Agreement on July 15, 2025, as consideration for its commitment to purchase shares of our Common Stock at our direction from time to time under the Purchase Agreement. If it becomes necessary for us to issue and sell to B. Riley Principal Capital II under the Purchase Agreement more than the 20,242,805 Purchase Shares being registered under the Securities Act for resale by B. Riley Principal Capital II under the registration statement that includes this prospectus in order to receive aggregate gross proceeds equal to $50,000,000 under the Purchase Agreement, we must first (i) obtain stockholder approval to issue shares of Common Stock in excess of the Exchange Cap under the Purchase Agreement in accordance with applicable Nasdaq rules, unless the average price for all shares of our Common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Stock purchased by B. Riley Principal Capital II under the Purchase Agreement equals or exceeds $2.91 per share, such that the Exchange Cap limitation would not apply under applicable Nasdaq rules, and (ii) file with the SEC one or more additional registration statements to register under the Securities Act the resale by B. Riley Principal Capital II of any such additional shares of our Common Stock we wish to sell from time to time under the Purchase Agreement, which the SEC must declare effective, in each case before we may elect to sell any additional shares of our Common Stock to B. Riley Principal Capital II under the Purchase Agreement. Any issuance and sale by us under the Purchase Agreement of a substantial amount of shares of Common Stock in addition to the 20,326,158 BRPC Shares being registered for resale by B. Riley Principal Capital II under the registration statement that includes this prospectus could cause additional substantial dilution to our stockholders. The number of BRPC Shares ultimately offered for resale by B. Riley Principal Capital II through this prospectus is dependent upon the number of shares of Common Stock, if any, we elect to sell to B. Riley Principal Capital II under the Purchase Agreement from and after the Commencement Date.</w:t>
      </w:r>
    </w:p>
    <w:p>
      <w:pPr>
        <w:spacing w:after="0" w:line="292"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and issuance of our Common Stock to the Selling Stockholder will cause dilution to our existing stockholders, and the sale of BRPC Shares acquired by the Selling Stockholder, or the perception that such sales may occur, could cause the price of our Common Stock to fall.</w:t>
      </w:r>
    </w:p>
    <w:p>
      <w:pPr>
        <w:spacing w:after="0" w:line="5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purchase price for the shares that we may sell to the Selling Stockholder under the Purchase Agreement will fluctuate based on the price of our Common Stock. Depending on a number of factors, including market liquidity, sales of such shares may cause the trading price of our Common Stock to fall.</w:t>
      </w:r>
    </w:p>
    <w:p>
      <w:pPr>
        <w:spacing w:after="0" w:line="176" w:lineRule="exact"/>
        <w:rPr>
          <w:sz w:val="20"/>
          <w:szCs w:val="20"/>
          <w:color w:val="auto"/>
        </w:rPr>
      </w:pPr>
    </w:p>
    <w:p>
      <w:pPr>
        <w:jc w:val="both"/>
        <w:ind w:left="120" w:right="260"/>
        <w:spacing w:after="0" w:line="261" w:lineRule="auto"/>
        <w:rPr>
          <w:sz w:val="20"/>
          <w:szCs w:val="20"/>
          <w:color w:val="auto"/>
        </w:rPr>
      </w:pPr>
      <w:r>
        <w:rPr>
          <w:rFonts w:ascii="Times New Roman" w:cs="Times New Roman" w:eastAsia="Times New Roman" w:hAnsi="Times New Roman"/>
          <w:sz w:val="18"/>
          <w:szCs w:val="18"/>
          <w:color w:val="auto"/>
        </w:rPr>
        <w:t>The Selling Stockholder may resell all, some, or none of shares that we sell to the Selling Stockholder subsequent to the date of this prospectus at its discretion, subject to the terms of the Purchase Agreement. Therefore, sales to the Selling Stockholder by us could result in dilution to the interests of other holders of our Common Stock. Additionally, the sale of a substantial number of shares of our Common Stock to the Selling Stockholder, or the anticipation of such sales, could make it more difficult for us to sell equity or equity-related securities in the future at a desirable time and price.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BRPC Shares from the Selling Stockholder at different times will likely pay different prices.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Pursuant to the Purchase Agreement, we will have discretion, subject to market demand, to vary the timing, price and number of shares of Common Stock sold to B. Riley Principal Capital II. If and when we elect to sell Common Stock to B. Riley Principal Capital II pursuant to the Purchase Agreement, after B. Riley Principal Capital II has acquired BRPC Shares, B. Riley Principal Capital II may resell all, some or none of such shares at any time or from time to time in its sole discretion and at different prices. As a result, investors who purchase shares from B. Riley Principal Capital II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B. Riley Principal Capital II in this offering as a result of future sales made by us to B. Riley Principal Capital II at prices lower than the prices such investors paid for their shares in this offering. In addition, if we sell a substantial number of shares to B. Riley Principal Capital II under the Purchase Agreement, or if investors expect that we will do so, the actual sales of shares or the mere existence of our arrangement with B. Riley Principal Capital</w:t>
      </w:r>
    </w:p>
    <w:p>
      <w:pPr>
        <w:spacing w:after="0" w:line="6" w:lineRule="exact"/>
        <w:rPr>
          <w:sz w:val="20"/>
          <w:szCs w:val="20"/>
          <w:color w:val="auto"/>
        </w:rPr>
      </w:pPr>
    </w:p>
    <w:p>
      <w:pPr>
        <w:ind w:left="120" w:right="140" w:hanging="4"/>
        <w:spacing w:after="0" w:line="260" w:lineRule="auto"/>
        <w:tabs>
          <w:tab w:leader="none" w:pos="2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make it more difficult for us to sell equity or equity-related securities in the future at a time and at a price that we might otherwise wish to effect such sales.</w:t>
      </w:r>
    </w:p>
    <w:p>
      <w:pPr>
        <w:spacing w:after="0" w:line="285"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use the net proceeds from sales of shares of our Common Stock made pursuant to the Purchase Agreement, if any, in ways with which you may not agree or in ways which may not yield a significant return.</w:t>
      </w:r>
    </w:p>
    <w:p>
      <w:pPr>
        <w:spacing w:after="0" w:line="5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We will have broad discretion over the use of the net proceeds from sales of shares of our Common Stock made pursuant to the Purchase Agreement, if any, including for any of the purposes described in the section entitled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and you will not have the opportunity, as part of your investment decision, to assess whether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proceeds are being used appropriately. However, we have not determined the specific allocation of any net proceeds among these potential uses, and the ultimate use of the net proceeds may vary from the currently intended uses. The net proceeds may be used for corporate purposes that do not increase our operating results or enhance the value of our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we may not be able to generate sufficient revenue to achieve and sustain profitability.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not yet achieved profitability. During the years ended December 31, 2024 and 2023, we incurred operating losses of $47.6 million and</w:t>
      </w:r>
    </w:p>
    <w:p>
      <w:pPr>
        <w:spacing w:after="0" w:line="27" w:lineRule="exact"/>
        <w:rPr>
          <w:sz w:val="20"/>
          <w:szCs w:val="20"/>
          <w:color w:val="auto"/>
        </w:rPr>
      </w:pPr>
    </w:p>
    <w:p>
      <w:pPr>
        <w:ind w:left="120" w:right="60"/>
        <w:spacing w:after="0" w:line="251" w:lineRule="auto"/>
        <w:rPr>
          <w:sz w:val="20"/>
          <w:szCs w:val="20"/>
          <w:color w:val="auto"/>
        </w:rPr>
      </w:pPr>
      <w:r>
        <w:rPr>
          <w:rFonts w:ascii="Times New Roman" w:cs="Times New Roman" w:eastAsia="Times New Roman" w:hAnsi="Times New Roman"/>
          <w:sz w:val="18"/>
          <w:szCs w:val="18"/>
          <w:color w:val="auto"/>
        </w:rPr>
        <w:t>$38.5 million, respectively, and used cash in operating activities of $53.5 million and $28.0 million, respectively. As of December 31, 2024, we had an accumulated deficit of $429.3 million. In recent periods, our revenue growth has been attributed to engineering services engagements with automotive partners as well as, beginning in the fourth quarter of 2022, to limited quantities of production product shipments to customers. We intend to continue investing heavily in sales and marketing efforts, but we may not be able to sustain or increase our growth or achieve profitability in the future. In addition, we expect to incur significant additional legal, accounting and other expenses related to us being a public company as compared to when we were a private company. If our revenue declines or fails to grow at a rate faster than these increases in our operating expenses, we will not be able to achieve and maintain profitability in future periods. As a result, we may continue to generate losses. We cannot assure you that we will achieve profitability in the future or that, if we do become profitable, we will be able to sustain profitability. In 2024, we commenced a program to develop our next-generation silicon products, which are expected to remain in development for at least two years before becoming available for sale. Such chip development is a highly complex process involving specialized third-party partners, and we cannot guarantee that the chip will initially perform as designed. Additionally, we may encounter unforeseen operating expenses, difficulties, complications, delays, and other unknown factors that may result in losses in future periods. If these losses exceed our expectations or our revenue growth expectations are not met in future periods, our financial performance will be harmed.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recent growth rates may not be indicative of our future growth.</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prior years revenue has largely consisted of engineering services revenue received from our strategic partners. We have developed a customer pipeline in recent years and are commencing the delivery of hardware and software solutions based on our production chip that came to market at the end of 2022. This pipeline is expected to convert into revenues from 2025/2026 onwards but it may not convert in the timeline we expect or at all. In future periods, we may not be able to sustain customer pipeline growth consistent with recent history, or at all. The conversion of our pipeline is also not guaranteed as there are several external dependencies that we do not control, before the end customer is ready to deploy AI solutions. Furthermore, we believe our revenue growth depends on a number of factors, including our ability to:</w:t>
      </w:r>
    </w:p>
    <w:p>
      <w:pPr>
        <w:spacing w:after="0" w:line="93"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eco-system of partners for hardware and software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 retain and increase sales to existing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our relationships with our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existing platform and products, introduce new functionality to our platform and develop new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new market segments and internationally;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long-term revenue commitments from automotive Original Equipment Manufacturers (“OEMs”) and Tier-1 suppliers.</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may not accomplish any of these objectives and, as a result, it is difficult for us to forecast our future revenue or revenue growth. If our assumptions are incorrect or change in reaction to changes in our market, or if we are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82"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unable to maintain consistent revenue or revenue growth, our stock price could be volatile, and it may be difficult to achieve and maintain profitability.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should not rely on our revenue for any prior periods as any indication of our future revenue or revenue growth.</w:t>
      </w:r>
    </w:p>
    <w:p>
      <w:pPr>
        <w:spacing w:after="0" w:line="311"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independent registered public accounting firm’s report contains an explanatory paragraph that expresses substantial doubt about our ability to continue as a going concern.</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independent registered public accounting firm has included in its report for the year ended December 31, 2024 an explanatory paragraph expressing substantial doubt about our ability to continue as a going concern. Our consolidated financial statements have been prepared on a going concern basis as the Company has incurred recurring operating losses and negative cash flows from operations, has an accumulated deficit, and has historically relied on cash proceeds from founders or other investors and other financing activities to fund operations. These conditions raise substantial doubt about its ability to continue as a going concern. The Company’s ability to continue to meet its obligations, to achieve its business objectives and continue as a going concern is dependent upon several factors, including the Company’s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financing and public or private equity offerings or other means.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 These factors raise substantial doubt about our ability to continue as a going concern. If we cannot continue as a viable entity, this could materially adversely affect the value of our securities.</w:t>
      </w:r>
    </w:p>
    <w:p>
      <w:pPr>
        <w:spacing w:after="0" w:line="294" w:lineRule="exact"/>
        <w:rPr>
          <w:sz w:val="20"/>
          <w:szCs w:val="20"/>
          <w:color w:val="auto"/>
        </w:rPr>
      </w:pPr>
    </w:p>
    <w:p>
      <w:pPr>
        <w:ind w:left="120"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partnerships with certain automotive OEMs and Tier-1 suppliers are long-term in nature and we will not receive firm purchase order commitments until we deliver our auto-grade chip.</w:t>
      </w:r>
    </w:p>
    <w:p>
      <w:pPr>
        <w:spacing w:after="0" w:line="5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 have been working with automotive partners for several years and secured long term joint development agreements for revenue predicated upon the Company delivering automotive-grade chips to them. The nature of Advanced Driving Assistance Systems (“ADAS”) is still evolving with OEMs continuing to develop their strategies. We believe that our technology is well positioned to be a key contributor in the solutions that are adopted but we do not control the pace at which the industry is moving to deploy ADAS of increasing complexity into their vehicles. Additionally, in 2023 and 2024, we teamed up with one automotive OEM, Mercedes-Benz North America Corporation (“Mercedes-Benz”), and their partner vendors to evaluate their requirements for an advanced L4 platform for which we have concluded a phase 1 evaluation.</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anticipate that Blaize will be well positioned to resume this relationship with Mercedes-Benz once it has confirmed its ADAS roadmap and selected all other relevant partners for their next-level platform. However, Blaize has not yet entered into any contractual arrangements for this engagement and ADAS solutions with Mercedes-Benz based on Blaize’s technology are not expected to be in production until near the end of the decade. Our partnership with our main Tier-1 supplier, DENSO Corporation (“DENSO”) continues with projects centered around Blaize’s software and hardware offerings. Blaize intends to continue to build on our current relationships with Mercedes-Benz and DENSO and to establish new relationships with other automotive OEMs and Tier-1 and Tier-2 partners now and in the future but we do not believe Blaize is reliant on either of Mercedes-Benz or DENSO currently or in the future. Blaize’s product roadmap expects to have solutions for ADAS in production near the end of the decade and we anticipate recognizing revenues from these potential future partnerships with automotive OEMs and Tier-1 and Tier-2 partners.</w:t>
      </w:r>
    </w:p>
    <w:p>
      <w:pPr>
        <w:spacing w:after="0" w:line="192"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Our ability to continue to invest in developing automotive-grade chips and software depends upon having access to a large amount of capital that is expected to be sourced from revenues into other non-automotive markets, based on our current set of products. A shortfall in those revenues will significantly impact our automotive roadmap and automotive OEMs and Tier-1 and Tier-2 partners, including Mercedes-Benz and DENSO, may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choose to adopt competing technologies. If this occurs, it will be extremely difficult to retain our specialist automotive skills and there is a high risk of losing that expertise altogether.</w:t>
      </w:r>
    </w:p>
    <w:p>
      <w:pPr>
        <w:spacing w:after="0" w:line="26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revenue and operating results will be harmed if we are unable to acquire new customers, retain existing customers, expand sales to our existing customers, terminate existing customer or partnership contracts or expand sales to our existing customers.</w:t>
      </w:r>
    </w:p>
    <w:p>
      <w:pPr>
        <w:spacing w:after="0" w:line="51"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The majority of revenues that Blaize has generated to date are through paid proof-of-concepts or NRE concepts. Our ability to increase revenue also depends, in part, on our ability to retain existing customers and to sell additional functionality and adjacent products and services to our existing and new customers. In order for us to maintain or improve our results of operations, it is important that our customers renew their contracts with us on the same or more favorable terms to us. Our ability to increase sales to existing customers and prospective customers depends on several factors, including their experience with using our products and our pricing model. Additionally, we or our counterparty may terminate existing or future contracts to which we are party, either for convenience or due to a default, and, in the future, if the portion of contracts that are subject to termination at the election of us or counterparties are material, any such termination may increase our costs and seriously harm our business, results of operations and financial condition.</w:t>
      </w:r>
    </w:p>
    <w:p>
      <w:pPr>
        <w:spacing w:after="0" w:line="17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Our ability to generate revenue may be inconsistent across small and midsize businesses, mid-market, and large enterprise customers, including government agencies, both foreign and domestic. If we experience limited or inconsistent growth in any of these customer sets, particularly our large enterprise customers, our business, financial condition and operating results could be adversely affected.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implement our growth strategy on a timely basis or at all.</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Our future growth, profitability and cash flows depend upon our ability to successfully implement our growth strategy, which, in turn, is dependent upon a number of factors, including our ability to:</w:t>
      </w:r>
    </w:p>
    <w:p>
      <w:pPr>
        <w:spacing w:after="0" w:line="6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current customer base;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new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business model;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customer location footprint;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 consistent and timely supply chain;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presence within verticals;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innovate our product offerings;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pursue strategic and value-enhancing acquisitions.</w:t>
      </w:r>
    </w:p>
    <w:p>
      <w:pPr>
        <w:spacing w:after="0" w:line="225"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can successfully achieve any or all of the above initiatives in the manner or time period that we expect. Further, achieving these objectives will require investments which may result in short-term costs without generating any current revenue and therefore may be dilutive to our earnings. We cannot provide any assurance that we will realize, in full or in part, the anticipated benefits we expect our strategy will achieve. The failure to realize those benefits could have a material adverse effect on our business, financial condition and results of operations.</w:t>
      </w:r>
    </w:p>
    <w:p>
      <w:pPr>
        <w:spacing w:after="0" w:line="284"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and sales capabilities could harm our ability to increase our customer base and achieve broader market acceptance of our platform and products.</w:t>
      </w:r>
    </w:p>
    <w:p>
      <w:pPr>
        <w:spacing w:after="0" w:line="5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platform and products will depend on our ability to expand our marketing and sales operations. We plan to continue increasing the size of our sales force. We also plan to dedicate significant resources to sales and marketing programs, including developing an extensive third-party partner ecosystem. Our business and operating results will be harmed if our sales and marketing efforts do not generate a corresponding increase in revenue. We may not achieve anticipated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312" w:lineRule="auto"/>
        <w:rPr>
          <w:sz w:val="20"/>
          <w:szCs w:val="20"/>
          <w:color w:val="auto"/>
        </w:rPr>
      </w:pPr>
      <w:r>
        <w:rPr>
          <w:rFonts w:ascii="Times New Roman" w:cs="Times New Roman" w:eastAsia="Times New Roman" w:hAnsi="Times New Roman"/>
          <w:sz w:val="17"/>
          <w:szCs w:val="17"/>
          <w:color w:val="auto"/>
        </w:rPr>
        <w:t>revenue growth from increasing the size of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sales cycle with large enterprise customers can be long and unpredictable, and our sales efforts require considerable time and expense.</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timing of our sales with our large enterprise customers and related revenue recognition is difficult to predict because of the length and unpredictability of the sales cycle for these customers. Large enterprise customers, particularly those in highly regulated industries and those requiring customized applications, may have a lengthy sales cycle for the evaluation and implementation of our platform and/or sales of products. This may cause a delay between increasing operating expenses for such sales efforts and, upon successful sales, the generation of corresponding revenue.</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Customers often view our platform and products as a strategic decision with significant investment. As a result, customers frequently require considerable time to evaluate, test, and qualify our platform and products prior to entering into or expanding a subscription or purchase order.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85"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force as we hire and train our new salespeople to sell to large enterprise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purchasing and budget cycles and decisions;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obstacles placed by customers’ procurement process;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and other factors impacting customer budgets;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integration complexity;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familiarity with edge computing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evaluation of competing products during the purchasing process;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customer demands;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implementation of regulations that affect our ability to obtain customers in certain regions of the world outside of the United States;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implementation of regulations within the United States that impose supply chain and manufacturing location restrictions.</w:t>
      </w:r>
    </w:p>
    <w:p>
      <w:pPr>
        <w:spacing w:after="0" w:line="225"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Given these factors, it is difficult to predict whether and when a sale will be completed, and when revenue from a sale will be recognized. Consequently, a shortfall in demand for our platform and products or a decline in new or renewed contracts in a given period may not significantly reduce our revenue for that period but could negatively affect our revenue in future periods.</w:t>
      </w:r>
    </w:p>
    <w:p>
      <w:pPr>
        <w:spacing w:after="0" w:line="280"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or grow our brand recognition, our ability to expand our customer base will be impaired and our financial condition may suffer.</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believe maintaining and growing our brand is important to supporting continued acceptance of our existing and future solutions, attracting new customers to our platform and products, and retaining existing customers. We also believe that the importance of brand recognition will increase as competition in our market increases. Successfully maintaining our brand will depend largely on the effectiveness of our marketing efforts, our ability to provide a reliable and useful platform and products to meet the needs of our customers at competitive prices, our ability to maintain our customers’ trust, our ability to continue to develop new functionality and solutions 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our ability to successfully differentiate our platform and products. Brand promotion activities may not generate customer awareness or yield increased revenue. Even if they do, any increased revenue may not offset the expenses we incurred in building our brand. If we fail to successfully promote and maintain our brand, we may fail to attract enough new customers or retain our existing customers to realize a sufficient return on our brand-building efforts, and our business could suffer.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 quality support, our business and reputation could suffer.</w:t>
      </w:r>
    </w:p>
    <w:p>
      <w:pPr>
        <w:spacing w:after="0" w:line="121" w:lineRule="exact"/>
        <w:rPr>
          <w:sz w:val="20"/>
          <w:szCs w:val="20"/>
          <w:color w:val="auto"/>
        </w:rPr>
      </w:pPr>
    </w:p>
    <w:p>
      <w:pPr>
        <w:jc w:val="both"/>
        <w:ind w:left="120" w:right="160"/>
        <w:spacing w:after="0" w:line="258" w:lineRule="auto"/>
        <w:rPr>
          <w:sz w:val="20"/>
          <w:szCs w:val="20"/>
          <w:color w:val="auto"/>
        </w:rPr>
      </w:pPr>
      <w:r>
        <w:rPr>
          <w:rFonts w:ascii="Times New Roman" w:cs="Times New Roman" w:eastAsia="Times New Roman" w:hAnsi="Times New Roman"/>
          <w:sz w:val="18"/>
          <w:szCs w:val="18"/>
          <w:color w:val="auto"/>
        </w:rPr>
        <w:t>Our customers rely on our personnel for support related to our subscription and customer solutions. High-quality support is important for the renewal and expansion of our agreements with existing customers. The importance of high-quality support will increase as we expand our business and pursue new customers, particularly large enterprise customers. If we do not help our customers quickly resolve issues and provide effective ongoing support, our ability to sell new software to existing and new customers could suffer and our reputation with existing or potential customers could be harmed. In many cases, we will rely upon third-party partners to provide first-line support.</w:t>
      </w:r>
    </w:p>
    <w:p>
      <w:pPr>
        <w:spacing w:after="0" w:line="183"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Our inability to hire technical support staff in a timely manner, whether due to market conditions or our own budget constraints, would also affect the quality of support for our customers and partners and could potentially result in business and reputational harms.</w:t>
      </w:r>
    </w:p>
    <w:p>
      <w:pPr>
        <w:spacing w:after="0" w:line="266"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timely supply of materials sourced from a limited number of suppliers, and are directly impacted by unexpected delays or problems from our third-party manufacturers.</w:t>
      </w:r>
    </w:p>
    <w:p>
      <w:pPr>
        <w:spacing w:after="0" w:line="51"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Any disruption in the supply chain, such as shortages, unexpected delays or price increases, could significantly impact our manufacturing process and financial stability. Additionally, we are highly dependent on third-party manufacturers for complex processes like wafer fabrication and assembly; therefore, any problems or unexpected delays from these third-party manufacturers could also negatively impact our business and financial performance.</w:t>
      </w:r>
    </w:p>
    <w:p>
      <w:pPr>
        <w:spacing w:after="0" w:line="262"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5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Our success depends to a significant extent on our and our joint ventures’ ability to attract and retain talent, specifically in senior management and skilled technical, engineering, project management and other key roles. Macroeconomic conditions, specifically labor shortages, increased competition for employees and wage inflation could have a material impact on our ability to attract and retain talent, our turnover rate and the cost of operating our business. If we are unable to attract and retain sufficient talent, minimize employee turnover or manage wage inflation, it could have a material adverse effect on our business, financial condition, results of operations or prospects.</w:t>
      </w:r>
    </w:p>
    <w:p>
      <w:pPr>
        <w:spacing w:after="0" w:line="183"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Further, we rely on certain external partners for critical manufacturing steps, including our wafer fabrication and assembly and testing processes which exposes us to significant risks. These processes are highly sensitive, and even minor contamination or technical glitches during wafer fabrication can render a substantial portion of the component unusable. Identifying such problems early in the production cycle and resolving them in a timely manner is often difficult, expensive and time consuming. Therefore, any issues that arise from our third-party manufacturers could lead to production delays, increased costs, and could potentially lead to a compromise in the quality and performance of our products, which could significantly impact our business and financial results.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conditions could materially adversely affect our business, financial condition, results of operations, and prospects.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Macroeconomic conditions, such as persistent inflation, changes to monetary policy, high interest rates, volatile currency exchange rates, credit and debt concerns, decreasing consumer confidence and spending, including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capital spending, concerns about the stability and liquidity of certain financial institutions, the introduction of or changes in tariffs or trade barriers, pandemics and other health crises,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including tariffs, the Russian invasion of Ukraine and the conflicts in the Middle East, and monetary and financial uncertainties.</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Tariffs on equipment or materials that we may rely on or use for our products could cause our costs to increase. Other adverse impacts of recent macroeconomic conditions have been, and may continue to be, supply chain constraints, logistics challenges, liquidity concerns in the broader financial services industry, and fluctuations in labor availability.</w:t>
      </w:r>
    </w:p>
    <w:p>
      <w:pPr>
        <w:spacing w:after="0" w:line="183"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In a higher inflationary environment, we may be unable to raise the prices of our products sufficiently to keep up with the rate of inflation. A higher inflationary environment can also negatively impact equipment, material, and logistics costs that, in turn, may increase the costs of producing and distributing our products.</w:t>
      </w:r>
    </w:p>
    <w:p>
      <w:pPr>
        <w:spacing w:after="0" w:line="280"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manufacturers, including Samsung Foundry and Plexus, for producing our products, and in the event of a disruption in our supply chain, any efforts to develop alternative supply sources may not be successful or may take longer to take effect than anticipated.</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a fabless company, we do not manufacture its own semiconductor or SoC products and currently rely on third-party manufacturers, including Samsung Foundry and Plexus, to produce our products. Additionally, we have a design, manufacturing and sales agreement with VeriSilicon, Inc. (“VeriSilicon”) that provides us with design expertise, support and assistance, and certain deliverables, prototypes, products and services from VeriSilicon. We cannot be sure that these manufacturers will remain in business, or that they will not be purchased by one of our competitors or another company that is not interested in continuing to produce these products for our intended purpose. Our reliance on these third-party manufacturers subjects us to a number of risks that include, among other things:</w:t>
      </w:r>
    </w:p>
    <w:p>
      <w:pPr>
        <w:spacing w:after="0" w:line="93"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supply resulting from modifications to or discontinuation of a manufacturer’s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reliability issues or a manufacturer’s variation in a component;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long-term supply arrangements with our manufacturers;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delivery due to its suppliers’ prioritizing other customer orders over ours;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caused by defective products produced by our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delivery by our suppliers due to changes in demand from our or their other customers;</w:t>
      </w:r>
    </w:p>
    <w:p>
      <w:pPr>
        <w:spacing w:after="0" w:line="130"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shortages, delivery delays and potential discontinuation of supply as a result of any recurrence of pandemics such as COVID-19, or other reasons outside our control;</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and economic changes, crises or instability and civil unrest in the jurisdictions where our manufacturers’ plants are located, such as changes in China-Taiwan relations that may adversely affect our manufacturers’ and suppliers’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risks and exchange rate fluctuations;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requirements of U.S. customs and international trade regulations.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Although our semiconductor or SoC products could be produced by other manufacturers, any attempt to transition our supply arrangement to one or more other manufacturers could entail significant coordination and expense and could lead to delays in production. If we are unable to arrange for sufficient production capacity among our contract manufacturers or if our contract manufacturers encounter production, quality, financial, or other difficulties, we may encounter difficulty in meeting customer demands as it seeks alternative sources of supply, or it may have to make financial accommodations to such contract manufacturers or otherwise take steps to mitigate supply disruption. Any alternative manufacturers may be unable or unwilling to meet our and our customers’ specifications. In addition, we may experience supply shortages from some of its suppliers such as what it experienced as a result of the COVID-19 lockdown in China. Any disruption in supply from any supplier or manufacturing location could lead to supply delays or interruptions that could damage our business or financial condition. If any of the risks discussed above materialize, costs could significantly increase, and our ability to meet demand for its products could be impacted.</w:t>
      </w:r>
    </w:p>
    <w:p>
      <w:pPr>
        <w:spacing w:after="0" w:line="292" w:lineRule="exact"/>
        <w:rPr>
          <w:sz w:val="20"/>
          <w:szCs w:val="20"/>
          <w:color w:val="auto"/>
        </w:rPr>
      </w:pPr>
    </w:p>
    <w:p>
      <w:pPr>
        <w:ind w:left="120" w:right="5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improve and enhance the functionality, performance, reliability, design, security and scalability of our platform and products and innovate and introduce new solutions in a manner that responds to our customers’ evolving needs, our business may be adversely affected.</w:t>
      </w:r>
    </w:p>
    <w:p>
      <w:pPr>
        <w:spacing w:after="0" w:line="28"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markets in which we compete are characterized by constant change and innovation and we expect them to continue to evolve rapidly, including the potential that our industry transitions to alternative algorithmic approaches to machine learning and artificial intelligence, such as Transformer models. Our success has been based on our ability to identify and anticipate the needs of our customers and design a platform and products that provide them with the breadth of tools that are required. Our ability to attract new customers, retain revenue from existing customers and increase sales to both new and existing customers will depend in large part on our ability to continue to improve and enhance the functionality, performance, reliability, design, security and scalability of our platform and products and to innovate and introduce new solutions. Additionally, our investment in the design of new chips depends on our ability to anticipate market trends and the competitive landscape more than two years in advance.</w:t>
      </w:r>
    </w:p>
    <w:p>
      <w:pPr>
        <w:spacing w:after="0" w:line="18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expect that new services and technologies applicable to the industries in which we operate will continue to emerge and evolve, including developments in artificial intelligence and edge computing. These new products and technologies may be superior to, impair or render obsolete our platform and the products we currently offer or the technologies we currently use to provide them. We have in the past, and may experience in the future, difficulties with software development that could delay or prevent the development, introduction or implementation of new solutions and enhancements. Software development involves a significant amount of time, resources and cost for our research and development team, as it can take our developers months to update, code and test new and upgraded solutions and integrate them into our platform and products. We must also continually update, test and enhance our software platforms. The continual improvement and enhancement of our platform and products requires significant investment and we may not have the resources to make such investment. Our improvements and enhancements may not result in our ability to recoup our investments in a timely manner or at all. We may make significant investments in new solutions or enhancements that may not achieve expected returns. The success of any enhancement or new solution depends on several factors, including the timely completion and market acceptance of the enhancement or new solution. Our ability to develop new enhancements or solutions may also be inhibited by industry-wide standards, laws and regulations, resistance to change by customers, difficulties relating to integration or compatibility with third-party software or hardware or third parties’ intellectual property rights.</w:t>
      </w:r>
    </w:p>
    <w:p>
      <w:pPr>
        <w:spacing w:after="0" w:line="18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Any new solution we develop or acquire might not be introduced in a timely or cost-effective manner and might not achieve the broad market acceptance necessary to generate significant revenue. Improving and enhancing the functionality, performance, reliability, design, security and scalability of our platform and products is expensive, time-consuming and complex, and to the extent we are not able to do so in a manner that responds to our customers’ evolving needs, our business, operating results and financial condition will be adversely affected.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82"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driving the global deployment and customer adoption of digital offerings characterized by digital applications and solutions.</w:t>
      </w:r>
    </w:p>
    <w:p>
      <w:pPr>
        <w:spacing w:after="0" w:line="5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business involves cloud, edge, AI (including generative AI) and software solutions based on existing AI models, and we are devoting significant resources to develop and deploy such strategies. Our success with these solutions will depend on the level of adoption of our offerings. We incur costs to develop cloud, edge, AI and software solutions and to build and maintain infrastructure to support cloud and edge computing offerings. Success with these solutions depends on execution in many areas, including:</w:t>
      </w:r>
    </w:p>
    <w:p>
      <w:pPr>
        <w:spacing w:after="0" w:line="85" w:lineRule="exact"/>
        <w:rPr>
          <w:sz w:val="20"/>
          <w:szCs w:val="20"/>
          <w:color w:val="auto"/>
        </w:rPr>
      </w:pPr>
    </w:p>
    <w:p>
      <w:pPr>
        <w:ind w:left="1080" w:right="54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the utility, compatibility, and performance of our cloud, edge, AI and software solutions (including the reliability of our third-party software vendors, network and cloud providers) on a growing array of medical devices, software and equipment;</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the attractiveness of our solutions to our customers in the face of increasing competition from a significant number of existing and new entrants in the market, while ensuring these solutions meet their reliability and security expectations;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lasting relationships with key server and edge-AI box manufacturers;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these solutions meet regulatory requirements in a fast-moving space disrupted by changing regulations around data privacy and the need for innovation, including obtaining marketing authorizations when required;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ever-changing geopolitical regulations on advanced technologies, including AI technologies.</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It is uncertain whether our strategies will attract customers or generate revenue required to succeed in this highly competitive and rapidly changing global market. We commit substantial efforts, funds, and other resources to research and development and information technology infrastructure for our digital offerings, and the risk of failure is inherent. Even where our digital offerings satisfy applicable regulations and reimbursement policies, customers may not adopt them due to concerns about the security of personal data or the absence of digital infrastructure to support and effectively use the offerings, a hesitancy to embrace new technology, or for other reasons. We also may not effectively execute organizational and technical changes to accelerate innovation and execution. In a number of countries, certain cloud, edge, AI and software solutions are restricted areas of foreign investment. Collaborating with a domestic, qualified third party will increase costs and may create uncertainties in such jurisdictions. The legality or validity of any collaboration may be challenged or subjected to scrutiny in such jurisdictions and the relevant governmental authorities have broad discretion in addressing such arrangements. Any of these risks could have a material adverse effect on our business results, cash flows, financial condition, or prospects.</w:t>
      </w:r>
    </w:p>
    <w:p>
      <w:pPr>
        <w:spacing w:after="0" w:line="19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Additionally, we may be making significant investments in AI initiatives and are building AI into many of our digital offerings. We are planning to leverage generative AI such as large language models across our portfolios to build differentiated products and solutions and deploy those solutions through various modalities for our customers, including on the device, via edge or data centers, and/or via the cloud. Using AI in this manner presents risks and challenges that could affect its adoption, acceptance and effectiveness, including flawed AI algorithms, insufficient, overbroad or biased datasets, unauthorized access to personal data, lack of acceptance from our customers or failure to deliver positive outcomes. We contract with numerous third parties to offer our digital content to customers as well as to assist with the development of their own software applications and services, and our reliance on access to these third parties’ digital applications, which may not continue to be available to us on commercially reasonable terms, or at all, could impact our ability to offer a wide variety of our own digital offerings at reasonable prices with acceptable usage tools, or continue to expand our geographic reach. The occurrence of any of the above could have a material adverse effect on our business results, cash flows, financial condition or prospects.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service and customer satisfaction or adequately address competitive challenges.</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may experience rapid growth and organizational change, which may place significant demands on our management and our operational and financial resources. We may also experience growth in the number of customers and the amount of data that our hosting infrastructure supports. Our success will depend in part on our ability to manage this growth effectively. We will require significant capital expenditures and valuable management resources to grow without undermining our culture of innovation, teamwork and attention to customer success, which has been central to our growth so far. If we fail to manage our anticipated growth and change in a manner that preserves our corporate culture, it could negatively affect our reputation and ability to retain and attract customers and employees.</w:t>
      </w:r>
    </w:p>
    <w:p>
      <w:pPr>
        <w:spacing w:after="0" w:line="187"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We intend to expand our international operations in the future. Our expansion will continue to place a significant strain on our managerial, administrative, financial and other resources. If we are unable to manage our growth successfully, our business and results of operations could suffer. It is important that we maintain a high level of customer service and satisfaction as we expand our business. As our customer base continues to grow, we will need to expand our account management, customer service and other personnel. Failure to manage growth could result in difficulty or delays in launching improvements to our platform or our products, declines in quality or customer satisfaction, increases in costs, difficulties in introducing new features or other operational difficulties. Any of these could adversely impact our business performance and results of operations.</w:t>
      </w:r>
    </w:p>
    <w:p>
      <w:pPr>
        <w:spacing w:after="0" w:line="291"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may evaluate and consider potential strategic transactions, including acquisitions of, or investments in, businesses, technologies, services, products and other assets in the future. An acquisition, investment or business relationship may result in unforeseen operating difficulties and expenditures. In particular, we may encounter difficulties assimilating or integrating the businesses, technologies, products, personnel or operations of the acquired companies. Key personnel of the acquired companies may choose not to work for us, their software may not be easily adapted to work with ours, or we may have difficulty retaining the customers of any acquired business due to changes in ownership, management or otherwise. We may also experience difficulties integrating personnel of the acquired company into our business and culture. Acquisitions may also disrupt our business, divert our resources and require significant management attention that would otherwise be available for development of our existing business. The anticipated benefits of any acquisition, investment or business relationship may not be realized or we may be exposed to unknown risks or liabilities.</w:t>
      </w:r>
    </w:p>
    <w:p>
      <w:pPr>
        <w:spacing w:after="0" w:line="192"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Negotiating these transactions can be time-consuming, difficult and expensive, and our ability to close these transactions may often be subject to approvals that are beyond our control. Consequently, these transactions, even if undertaken and announced, may not close. For one or more of those transactions, we may:</w:t>
      </w:r>
    </w:p>
    <w:p>
      <w:pPr>
        <w:spacing w:after="0" w:line="8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equity securities that would dilute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cash that we may need in the future to operate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on terms unfavorable to us or that we are unable to repay;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charges or substantial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difficulties retaining key employees of the acquired company or integrating diverse software codes or business cultures;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subject to adverse tax consequences, substantial depreciation, or deferred compensation charges.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6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semiconductor sector is intensely competitive, marked by swift technological advancements, short product lifecycles, price erosion, and constantly evolving benchmarks. Maintaining or improving our business requires constant innovation and timely, cost-effective launches. Our success hinges on our ability to innovate and launch new products and affordably meet shifting industry demands.</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However, significant investment is needed to develop cutting-edge technologies and products, and some of our competitors may have greater resources than us. If these competitors ramp up their research and development and marketing efforts, we may struggle to compete effectively.</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market for edge computing solutions is also evolving and highly competitive. We expect competition to increase in the future from established competitors and new market entrants. With the introduction of new technologies and the entry of new companies into the market, we expect competition to persist and intensify in the future. This could harm our ability to increase sales, maintain or increase renewals, and maintain our prices. We face intense competition from other companies that may offer related platforms and products.</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Merger and acquisition activity in the technology industry could increase the likelihood that we compete with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better terms and pricing from Electronic Design Automation (“eDA”) suppliers, design partners, part suppliers and chip, board and system manufacturers, larger and more mature intellectual property portfolios and substantially greater financial, technical and other resources.</w:t>
      </w:r>
    </w:p>
    <w:p>
      <w:pPr>
        <w:spacing w:after="0" w:line="183"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and products. In addition, some of our competitors may enter into new alliances with each other or may establish or strengthen cooperative relationships with agency partners, technology and application providers in complementary categories or other parties. Any such consolidation, acquisition, alliance or cooperative relationship could lead to pricing pressure, a loss of market share or a smaller addressable share of the market. It could also result in a competitor with greater financial, technical, marketing, service and other resources, all of which could harm our ability to compete.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reduce or change our pricing model to remain competitive.</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price our platform and products based on delivering a compelling Total Cost of Ownership (“TCO”) advantage to customers. However, the completed product may have hardware and software components from our third-party ecosystem partners which affects our ability to control pricing. We expect that we may need to change our pricing from time to time. As new or existing competitors introduce products that compete with ours or reduce their prices, we may be unable to attract new customers or retain existing customers. We also must determine the appropriate price to enable us to compete effectively internationally. Large enterprise customers may demand substantial price discounts as part of the negotiation of sales contracts. As a result, we may be required or choose to reduce our prices or otherwise change our pricing model, which could adversely affect our business, operating results and financial condition.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and changing customer needs or preferences, our platform and products may become less competitive.</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edge computing industry is subject to rapid technological change, evolving industry standards and practices and changing customer needs and preferences. The success of our business will depend, in part, on our ability to adapt and respond effectively to these changes on a timely basis. We may introduce significant changes to our platform and products or develop and introduce new and unproven products, including using technologies with which we have little or no prior development or operating experience. If we are unable to develop and sell new technology, features and functionality for our platform and products that satisfy our customers and that keep pace with rapid technological and industry change, our revenue and operating results could be adversely affected. If new technologies emerge that deliver competitive solutions at lower prices, more efficiently, more conveniently or more securely, it could adversely impact our ability to compete.</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dominant market-leader in AI has proprietary software around which existing customers have developed and deployed their applications. We acknowledge that our platform must also integrate with a variety of network, hardware, mobile and software platforms and technologies. Customers may choose to continue to operate with the incumbent software which will make it hard for us to break into the market. We may decide to modify and enhance our platform and AI models to adapt to changes and innovation in these technologies. If businesses widely adopt new technologies, we would have to develop new functionality for our platform to work with those new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cost-effective manner, our platform may become less marketable and less competitive or obsolete, and our operating results may be negatively affected.</w:t>
      </w:r>
    </w:p>
    <w:p>
      <w:pPr>
        <w:spacing w:after="0" w:line="19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novelty of AI, especially as it relates to regulatory matters, safety of AI-driven technology, and security of AI-driven products, exposes us to a higher risk of unforeseen liabilities that can represent a substantial burden on Blaize’s finances to defend against lawsuits or detrimental publicity, or to comply with new regulations imposed on AI technologies or products.</w:t>
      </w:r>
    </w:p>
    <w:p>
      <w:pPr>
        <w:spacing w:after="0" w:line="176"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Our current chip was designed over 3 years ago and it is possible that in certain situations, it may not be competitive in performance and features. This will impact our ability to deliver the revenue forecast until the next-generation chip is available and we may lose key customer opportunities in the meantime.</w:t>
      </w:r>
    </w:p>
    <w:p>
      <w:pPr>
        <w:spacing w:after="0" w:line="28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prospectus may prove to be inaccurate. Even if the market in which we compete achieves the forecasted growth, our business could fail to grow at similar rates, if at all.</w:t>
      </w:r>
    </w:p>
    <w:p>
      <w:pPr>
        <w:spacing w:after="0" w:line="5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market for edge computing solutions is relatively new and will experience changes over time. Edge computing market estimates and growth forecasts are uncertain and based on assumptions and estimates that may be inaccurate. Our addressable market depends on a number of factors, including businesses’ desire to differentiate themselves through partnership opportunities, changes in the competitive landscape, technological changes, data security or privacy concerns, customer budgetary constraints, changes in business practices, changes in the regulatory environment and changes in economic conditions. Even if the market in which we compete meets the size estimates and growth rates we forecast, our business could fail to grow at similar rates, if at all.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anticipate that our operations will continue to increase in complexity as we grow, which will create management challenges.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Our business is expected to experience growth and is complex. We expect this growth would cause our operations to become increasingly complex. To manage this expected growth, we continue to make substantial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54" w:lineRule="auto"/>
        <w:rPr>
          <w:sz w:val="20"/>
          <w:szCs w:val="20"/>
          <w:color w:val="auto"/>
        </w:rPr>
      </w:pPr>
      <w:r>
        <w:rPr>
          <w:rFonts w:ascii="Times New Roman" w:cs="Times New Roman" w:eastAsia="Times New Roman" w:hAnsi="Times New Roman"/>
          <w:sz w:val="18"/>
          <w:szCs w:val="18"/>
          <w:color w:val="auto"/>
        </w:rPr>
        <w:t>investments to improve our operational, financial and management controls, as well as our reporting systems and procedures. We may not be able to implement and scale improvements to our systems and processes in a timely or efficient manner or in a manner that does not negatively affect our operating results. For example, we may not be able to effectively monitor certain extraordinary contract requirements or individually negotiated provisions as the number of transactions grows. Our systems and processes may not prevent or detect all errors, omissions or fraud. We may have difficulty managing improvements to our systems, processes and controls or in connection with third-party software. This could impair our ability to provide our platform or products to our customers, causing us to lose customers, limiting our platform or products to less significant updates or increasing our technical support costs. If we are unable to manage this complexity, our business, operations, operating results and financial condition may suffer.</w:t>
      </w:r>
    </w:p>
    <w:p>
      <w:pPr>
        <w:spacing w:after="0" w:line="192" w:lineRule="exact"/>
        <w:rPr>
          <w:sz w:val="20"/>
          <w:szCs w:val="20"/>
          <w:color w:val="auto"/>
        </w:rPr>
      </w:pPr>
    </w:p>
    <w:p>
      <w:pPr>
        <w:jc w:val="both"/>
        <w:ind w:left="120" w:right="260"/>
        <w:spacing w:after="0" w:line="258" w:lineRule="auto"/>
        <w:rPr>
          <w:sz w:val="20"/>
          <w:szCs w:val="20"/>
          <w:color w:val="auto"/>
        </w:rPr>
      </w:pPr>
      <w:r>
        <w:rPr>
          <w:rFonts w:ascii="Times New Roman" w:cs="Times New Roman" w:eastAsia="Times New Roman" w:hAnsi="Times New Roman"/>
          <w:sz w:val="18"/>
          <w:szCs w:val="18"/>
          <w:color w:val="auto"/>
        </w:rPr>
        <w:t>As our customer base grows, we will need to expand our services and other personnel, and maintain and enhance our partnerships, to provide a high level of customer service. We also will need to manage our sales processes as our sales personnel and partner network continue to grow and become more complex, and as we continue to expand into new geographies and market segments. If we do not effectively manage this increasing complexity, the quality of our platform, products and customer service could suffer, and we may not be able to adequately address competitive challenges. These factors could impair our ability to attract and retain customers and expand our customers’ use of our platform and products.</w:t>
      </w:r>
    </w:p>
    <w:p>
      <w:pPr>
        <w:spacing w:after="0" w:line="28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key employees or an inability to attract and retain highly skilled employees may adversely affect our business.</w:t>
      </w:r>
    </w:p>
    <w:p>
      <w:pPr>
        <w:spacing w:after="0" w:line="5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certain key employees, whom we rely on for research and development, marketing, sales, services and general and administrative functions. From time to time, our executive management team may change from the hiring or departure of executives, which could disrupt our business. Other than the employment agreements with our founders, we do not have employment agreements with our executive officers or other key personnel that require them to continue to work for us for any specified period; therefore, they could terminate their employment with us at any time. The loss of one or more of our executive officers or key employees could have a serious adverse effect on our business.</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To execute our growth plan, we must attract and retain highly qualified personnel. Competition for these personnel is intense. If we are unable to attract such personnel in cities where we are located, we may need to hire in other locations, which may add to the complexity and costs of our business operations.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stock awards they receive in connection with their employment. If the perceived value of our stock awards declines, it may adversely affect our ability to recruit and retain highly skilled employees. If we fail to attract new personnel or fail to retain and motivate our current personnel, it could adversely affect our business and future growth prospects.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Our ability to identify, hire, develop, motivate and retain qualified personnel will directly affect our ability to maintain and grow our business, and such efforts will require significant time, expense and attention. The inability to attract or retain qualified personnel or delays in hiring required personnel may seriously harm our business, financial condition and operating results. Our ability to continue to attract and retain highly skilled personnel, specifically employees with technical and engineering skills and employees with high levels of experience in designing and developing software and automotive solutions, will be critical to our future success. In addition,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extent we hire personnel from competitors, we may be subject to allegations that they have been improperly solicited or have divulged proprietary or other confidential information.</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Wage inflation in certain geographies in which Blaize competes for highly skilled talent has been extremely high in the past few years. Although we have managed to retain our key employees, there has still been some level of attrition and there is no guarantee that we will be able to continue to retain these key employees or respond to these conditions if these trends continue.</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While we have in the past and intend to continue to issue options or other equity awards as key components of our overall compensation and employee attraction and retention efforts, we are required under accounting principles generally accepted in the United States of America (“GAAP”) to recognize compensation expense in our operating results for employee stock-based compensation under our equity grant programs, which may increase the pressure to limit stock-based compensation.</w:t>
      </w:r>
    </w:p>
    <w:p>
      <w:pPr>
        <w:spacing w:after="0" w:line="284"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corporate culture as we grow, we could lose the innovation, teamwork, passion and focus on execution that we believe contribute to our success, and our business may be harmed.</w:t>
      </w:r>
    </w:p>
    <w:p>
      <w:pPr>
        <w:spacing w:after="0" w:line="5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We believe a portion of our success has been our corporate culture. We have invested substantial time and resources in building our team. As we grow and develop our infrastructure as a public company, our operations may become increasingly complex. We may find it difficult to maintain these important aspects of our corporate culture. Any failure to preserve our culture could negatively affect our future success, including our ability to retain and recruit personnel, and to effectively focus on and pursue our corporate objectives.</w:t>
      </w:r>
    </w:p>
    <w:p>
      <w:pPr>
        <w:spacing w:after="0" w:line="284"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software or hardware contains serious errors or defects, we may lose revenue and market acceptance and may incur costs to defend or settle claims with our customers.</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Software and hardware such as ours often contain errors, defects, security vulnerabilities or software bugs that are difficult to detect and correct, particularly when first introduced or when new versions or enhancements are released. Despite internal testing, our platform and products may contain serious errors or defects, security vulnerabilities or software bugs that we may be unable to successfully correct in a timely manner or at all, which could result in lost revenue, significant expenditures of capital, a delay or loss in market acceptance and damage to our reputation and brand, any of which could have an adverse effect on our business, financial condition and results of operations. To the extent we deploy new versions or enhancements to our platform or products that contain errors, defects, security vulnerabilities or software bugs, the consequences may be severe. Such defects could expose us to product liability claims, litigation or regulatory action.</w:t>
      </w:r>
    </w:p>
    <w:p>
      <w:pPr>
        <w:spacing w:after="0" w:line="18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Errors, defects, security vulnerabilities, service interruptions or software bugs in our platform or products could result in losses to our customers. Our customers may seek significant compensation from us for any losses they suffer or cease conducting business with us altogether. Further, a customer could share information about bad experiences on social media, which could result in damage to our reputation and loss of future sales. There can be no assurance that provisions typically included in our agreements with our customers that attempt to limit our exposure to claims would be enforceable or adequate or would otherwise protect us from liabilities or damages with respect to any particular claim. Even if not successful, a claim brought against us by any of our customers would likely be time-consuming and costly to defend and could seriously damage our reputation and brand, making it harder for us to sell our solutions.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process proprietary, confidential and personal information of our employees, as well as employees of our customers and third parties with which we do business, in addition to any personal information that may be uploaded to our services by our customers, which may subject us to certain laws regarding their privacy and security of such personal information. If we fail to comply with applicable laws or if the security of this information is compromised or is otherwise accessed without authorization, our reputation may be harmed and we may be exposed to liability and loss of business.</w:t>
      </w:r>
    </w:p>
    <w:p>
      <w:pPr>
        <w:spacing w:after="0" w:line="57"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As part of our normal business activities, we collect, transmit, use, disclose store and otherwise process proprietary, confidential and personal information (“Confidential Information”) of our employees, employees of our customers and other third parties with which we do business and any personal information that may be uploaded to our services by our customers. As such, we are subject to federal and state and foreign laws regarding cybersecurity and the protection of data. Many jurisdictions have enacted laws requiring companies to notify individuals of security breaches involving certain types of personal information. The regulatory environment surrounding information security and privacy is increasingly demanding, with frequent imposition of new and changing requirements that are subject to differing interpretations.</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use third-party service providers and subprocessors to help us deliver services to our customers. These service providers and subprocessors may also collect, transmit, use, disclose, store and otherwise process Confidential Information. Such Confidential Information, and the information technology systems (“IT Systems”) that store such information, face numerous and evolving cybersecurity risks that threaten the confidentiality, integrity and availability of such IT Systems and Confidential Information, including as a result of third-party action, employee or contractor error or malfeasance, nation state malfeasance, malware, phishing, computer hackers, system error, software, viruses, bugs or defects, process failure or otherwise. Any of these could result in the failure of our IT Systems or the loss of Confidential Information.</w:t>
      </w:r>
    </w:p>
    <w:p>
      <w:pPr>
        <w:spacing w:after="0" w:line="18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Information security risks for companies such as ours have significantly increased in recent years in part because of the proliferation of new technologies, the use of internet and telecommunications technologies to conduct financial transactions and the increased sophistication and activities of organized crime, hackers, terrorists and other external parties, as well as nation-state and nation-state-supported actors.</w:t>
      </w:r>
    </w:p>
    <w:p>
      <w:pPr>
        <w:spacing w:after="0" w:line="176"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Because the techniques and tools (including AI) used to obtain unauthorized access or sabotage systems change frequently, may originate from less regulated and remote areas of the world and be difficult to detect and generally are not identified until they are launched against a target, we may be unable to anticipate these techniques or to implement adequate preventative measures. Even if such a data breach did not arise out of our action or inaction, or even if it were to solely affect one or more of our competitors or our customers, the resulting concern could negatively affect our customers and our business. Concerns regarding data privacy and security may cause some of our customers to stop using our platform or products. In addition, failures to meet our customers’ expectations with respect to security and confidentiality of their data and information could damage our reputation and affect our ability to retain customers, attract new customers and grow our business.</w:t>
      </w:r>
    </w:p>
    <w:p>
      <w:pPr>
        <w:spacing w:after="0" w:line="18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breaches of security, we may fail to properly assess and understand the risks and cannot guarantee that these measures will be effective. Like other companies, we have been the subject of various cyber incidents. While we believe these incidents have not been material, we cannot guarantee that any future will not have a material impact.</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Our failure to comply with legal, contractual or standards-based requirements around the privacy or security of personal information could lead to significant fines and penalties, exposure to indemnification obligations, governmental investigations and enforcement actions, litigation (including class actions) or adverse publicity. These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platform and products.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82"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Further, our insurance coverage, including coverage for errors and omissions and cyber liability, may not continue to be available on acceptable terms or may not be available in sufficient amounts to cover one or more large claims. Our insurers could deny coverage as to any future claim and our cyber liability coverage may not adequately protect us against any losses, liabilities and costs that we may incur. The successful assertion of one or more large claims against us, or changes in our insurance policies, including premium increases or the imposition of large deductible or co-insurance requirements, could have an adverse effect on our business, financial condition and results of operations.</w:t>
      </w:r>
    </w:p>
    <w:p>
      <w:pPr>
        <w:spacing w:after="0" w:line="287"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6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use AI and machine learning technologies (“AI Technologies”) throughout our business and are making significant investments in this area. For example, we use AI Technologies internally to prepare data provided by customers for assisting such customers with the AI development when using AI Studio.</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party or civil claims.</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addition, we may plan to increase our investment in this area to continuously improve our use of AI Technologies and are in various stages of development in relation to our products. In particular, we will be working to incorporate generative AI Technologies (i.e., AI Technologies that can produce and output new content, software code, data and information) into our solutions. 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We will take measures designed to ensure the accuracy of such AI generated content, such as investing into development and acceleration of Small Language or Multimodal models, which are typically domain-optimized and more narrowly focused in an effort to reduce risks of hallucination. However, those measures may not always be successful, and in some cases, we may need to rely on end users to report such inaccuracies. In addition, our ability to develop proprietary AI models may be limited by our access to processing infrastructure or training data and we may be dependent on third-party providers for such resources. As such, we may not be successful in our ongoing development and maintenance of these technologies in the face of novel and evolving technical, reputational and market factors.</w:t>
      </w:r>
    </w:p>
    <w:p>
      <w:pPr>
        <w:spacing w:after="0" w:line="19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Further, 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given the long history of development of AI Technologies, other parties may have (or in the future may obtain) patents or other proprietary rights that would prevent, limit or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82"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interfere with our ability to make, use or sell our own AI Technologies. For example, our generative AI Technologies could generate output that is infringing and we could be subject to claims or lawsuits, including for infringement of third-party intellectual property rights as a result of the output of such generative AI Technologies.</w:t>
      </w:r>
    </w:p>
    <w:p>
      <w:pPr>
        <w:spacing w:after="0" w:line="176" w:lineRule="exact"/>
        <w:rPr>
          <w:sz w:val="20"/>
          <w:szCs w:val="20"/>
          <w:color w:val="auto"/>
        </w:rPr>
      </w:pPr>
    </w:p>
    <w:p>
      <w:pPr>
        <w:jc w:val="both"/>
        <w:ind w:left="120" w:right="180"/>
        <w:spacing w:after="0" w:line="261" w:lineRule="auto"/>
        <w:rPr>
          <w:sz w:val="20"/>
          <w:szCs w:val="20"/>
          <w:color w:val="auto"/>
        </w:rPr>
      </w:pPr>
      <w:r>
        <w:rPr>
          <w:rFonts w:ascii="Times New Roman" w:cs="Times New Roman" w:eastAsia="Times New Roman" w:hAnsi="Times New Roman"/>
          <w:sz w:val="18"/>
          <w:szCs w:val="18"/>
          <w:color w:val="auto"/>
        </w:rPr>
        <w:t>Finally,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For example, in the United States, the Biden administration issued a broad Executive Order on the Safe, Secure and Trustworthy Development and Use of Artificial Intelligence (the “2023 AI Order”) that sets out principles intended to guide AI design and deployment for the public and private sectors and signals the increase in governmental involvement and regulation over AI Technologies. The 2023 AI Order established certain new requirements for the training, testing and cybersecurity of sophisticated AI models and large scale compute centers used to train AI models and instructed several other federal agencies to promulgate additional regulations. Already agencies such as the Department of Commerce and the Federal Trade Commission have issued proposed rules. Legislation related to AI Technologies has also been introduced at the federal level and is advancing at the state level. For example, Colorado recently passed a AI Act, which regulates the development, deployment, and use of artificial intelligence (AI) systems and the California Privacy Protection Agency is currently in the process of finalizing regulations under the California Consumer Privacy Act regarding the use of automated decision-making.</w:t>
      </w:r>
    </w:p>
    <w:p>
      <w:pPr>
        <w:spacing w:after="0" w:line="188"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w:t>
      </w:r>
    </w:p>
    <w:p>
      <w:pPr>
        <w:spacing w:after="0" w:line="280" w:lineRule="exact"/>
        <w:rPr>
          <w:sz w:val="20"/>
          <w:szCs w:val="20"/>
          <w:color w:val="auto"/>
        </w:rPr>
      </w:pPr>
    </w:p>
    <w:p>
      <w:pPr>
        <w:jc w:val="both"/>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spacing w:after="0" w:line="67"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We currently serve the majority of our platform functions from third-party data center hosting facilities operated by Flexential Colorado Corp., located in Morrisville, North Carolina. Our platform is deployed to multiple data centers within this geography, with additional geographies available for disaster recovery. Our operations depend, in part, on our third-party providers’ protection of these facilities from natural disasters, power or telecommunications failures, criminal acts or similar events. If any third-party facility’s arrangement is terminated, or its service lapses, we could experience interruptions in our platform or higher latency, as well as delays and additional expenses in arranging new facilities and services.</w:t>
      </w:r>
    </w:p>
    <w:p>
      <w:pPr>
        <w:spacing w:after="0" w:line="183"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A significant portion of our operating cost is from our third-party data hosting and transmission services. If the costs for such services increase due to vendor consolidation, regulation, contract renegotiation or otherwise, we may not be able to increase the fees for our ecommerce platform or professional services to cover the changes. As a result, our operating results may be significantly worse than forecasted. Our servers may be unable to achieve or maintain data transmission capacity sufficient for timely service of increased traffic or order processing. Our failure to achieve or maintain sufficient and performant data transmission capacity could significantly reduce demand for our platform.</w:t>
      </w:r>
    </w:p>
    <w:p>
      <w:pPr>
        <w:spacing w:after="0" w:line="183"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Despite precautions taken at our data centers, spikes in usage volume, a natural disaster, an act of terrorism, vandalism or sabotage, closure of a facility without adequate notice or other unanticipated problems could result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lengthy interruptions or performance degradation of our platform. Any damage to, or failure of, the systems of our third-party providers could result in interruptions to our platform. Even with current and planned disaster recovery arrangements, our business could be harmed. If we experience damage or interruption, our insurance policies may not adequately compensate us for or protect us against any losses, liabilities and costs that we may incur. These factors in turn could further reduce our revenue, subject us to liability or cause customers to terminate their subscriptions, any of which could materially adversely affect our business.</w:t>
      </w:r>
    </w:p>
    <w:p>
      <w:pPr>
        <w:spacing w:after="0" w:line="28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proprietary and open source software for our platform. Our inability to obtain third-party licenses for such software, or obtain them on favorable terms, or any errors, bugs, defects or failures caused by such software could adversely affect our business, results of operations and financial condition.</w:t>
      </w:r>
    </w:p>
    <w:p>
      <w:pPr>
        <w:spacing w:after="0" w:line="6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Some of our offerings include software or other intellectual property licensed from third parties. It may be necessary in the future to renew licenses relating to various aspects of these applications or to seek new licenses for existing or new applications. Necessary licenses may not be available on acceptable terms or under open source licenses permitting redistribution in commercial offerings, if at all. Our inability to obtain certain licenses or other rights or to obtain such licenses or rights on favorable terms could result in delays in product releases until equivalent technology can be identified, licensed or developed, if at all, and integrated into our platform and products, which therefore may have a material adverse effect on our business, results of operations and financial condition. In addition, third parties may allege that additional licenses are required for our use of their software or intellectual property. We may be unable to obtain such licenses on commercially reasonable terms or at all. The inclusion in our offerings of software or other intellectual property licensed from third parties on a non-exclusive basis could limit our ability to differentiate our offerings from those of our competitors. To the extent that our platform or products depend upon the successful operation of third-party software, any undetected errors, bugs, defects or failures in such third-party software could impair the functionality of our platform and products, delay new feature introductions or result in a failure of our platform, which could adversely affect our business, results of operations and financial condition.</w:t>
      </w:r>
    </w:p>
    <w:p>
      <w:pPr>
        <w:spacing w:after="0" w:line="296"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subject us to possible litigation or cause us to subject our platform or products to unwanted open source license conditions that could negatively impact our sales.</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Our platform and products incorporate open source software, and we expect to incorporate open source software into other offerings or solutions in the future. Such open source software is generally licensed by its authors or other third parties under open source licenses. Little legal precedent governs the interpretation of these licenses; therefore, the potential impact of these terms on our business is unknown and may result in unanticipated obligations regarding our technologies. If a distributor of open source software were to allege that we had not complied with its license, we could be required to incur significant legal expenses. If we combine our proprietary software with open source software or utilize open source software in a certain manner, we could, under certain open source licenses, be required to disclose part or all of the source code of our proprietary software publicly and to allow further modification and redistribution on potentially unfavorable terms or at no cost, or otherwise be limited in the licensing of our services. This could provide an advantage to our competitors or other entrants to the market, allow them to create similar products with lower development effort and time, and ultimately result in a loss of sales for us.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rely on computer hardware, purchased or leased, and software licensed from and services rendered by third parties in order to run our business.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rely on computer hardware, purchased or leased, and software licensed from and services rendered by third parties in order to run our business, which we have incorporated into our platform and products. Third-party hardware, software and services may not continue to be available on commercially reasonable terms, or at all. Some of our agreements with our licensors may be terminated by them for convenience, or otherwise provide for a limited term. Any loss of the right to use or any failures of third-party hardware, software or services could result in delays in our ability to run our business until equivalent hardware, software or services are developed by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us or, if available, identified, obtained and integrated, which could be costly and time-consuming and may not result in an equivalent solution, any of which could cause an adverse effect on our business and operating results. Further, customers could assert claims against us in connection with service disruptions or cease conducting business with us altogether. Even if not successful, a claim brought against us by any of our customers would likely be time-consuming and costly to defend and could seriously damage our reputation and brand, making it harder for us to sell our solutions.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third parties.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anticipate that the growth of our business will continue to depend on third-party relationships, including strategic partnerships and relationships with our service providers and suppliers, consultants, app developers, theme designers, referral sources, payments processors, installation partners and other partners. In addition to growing our third-party partner ecosystem, we have entered into agreements with, and intend to pursue additional relationships with, other third parties, such as shipping partners and technology and content providers. Identifying, negotiating and documenting relationships with third parties requires significant time and resources as does integrating third-party technology and content. Some of the third parties that sell our services have direct contractual relationships with the customers, and in these circumstances, we risk the loss of such customers if those third parties fail to perform their contractual obligations, including in the event of any such third party’s business failure. Our agreements with providers of cloud hosting, technology, content and consulting services are typically non-exclusive and do not prohibit such service providers from working with our competitors or from offering competing services. In particular, we have limited providers of cloud hosting services. These third-party providers may choose to terminate their relationship with us or to make material changes to their businesses, products or services in a manner that is adverse to us.</w:t>
      </w:r>
    </w:p>
    <w:p>
      <w:pPr>
        <w:spacing w:after="0" w:line="19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success of our platform and products depends, in part, on our ability to integrate third-party applications, themes and other offerings into our third-party ecosystem. Third-party developers may also change the features of their offering of applications or alter the terms governing the use of their offerings in a manner that is adverse to us. If third-party applications change such that we do not or cannot maintain the compatibility of our platform and products with these applications, demand for our platform could decline. If we are unable to maintain technical interoperation, our customers may not be able to effectively integrate our platform with other systems and services they use. We may also be unable to maintain our relationships with certain third-party vendors if we are unable to integrate our platform and products with their offerings. In addition, third-party developers may refuse to partner with us or limit or restrict our access to their offerings. Partners may also impose additional restrictions on the ability of third parties like us and our customers to access or use data from their consumers. Such changes could functionally limit or terminate our ability to use these third-party offerings with our platform or products, which could negatively impact our solution offerings and harm our business. If we fail to integrate our platform and products with new third-party offerings that our customers need for their businesses, or to adapt to the data transfer requirements of such third-party offerings, we may not be able to offer the functionality that our customers and their clients expect, which would negatively impact our offerings and, as a result, harm our business.</w:t>
      </w:r>
    </w:p>
    <w:p>
      <w:pPr>
        <w:spacing w:after="0" w:line="19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Further, our competitors may effectively incentivize third-party developers to favor our competitors’ products or services, which could diminish our prospects for collaborations with third-parties and reduce subscriptions to our platform or purchases of our products. In addition, providers of third-party offerings may not perform as expected under our agreements or under their agreements with our customers, and we or our customers may in the future have disagreements or disputes with such providers. If any such disagreements or disputes cause us to lose access to products or services from a particular supplier, or lead us to experience a significant disruption in the supply of products or services from a current supplier, especially a single-source supplier, they could have an adverse effect on our business and operating results.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in protecting or defending our proprietary rights. Failure to adequately protect our rights could impair our competitive position and we could lose valuable assets, experience reduced revenue and incur costly litigation.</w:t>
      </w:r>
    </w:p>
    <w:p>
      <w:pPr>
        <w:spacing w:after="0" w:line="5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We rely on our confidentiality, non-compete, non-solicitation and nondisclosure agreements and a combination of trade secret laws, contractual provisions, trademarks, service marks, copyrights and patents in an effort to establish and protect our proprietary rights. However, the steps we take to protect our intellectual property may be inadequate. We make business decisions about when to seek patent protection for a particular technology and when to rely upon trade secret protection. The approach we select may ultimately prove to be inadequate.</w:t>
      </w:r>
    </w:p>
    <w:p>
      <w:pPr>
        <w:spacing w:after="0" w:line="183"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Our patents or patents issued in the future may not provide us with competitive advantages, or may be successfully challenged by third parties. Any of our patents, trademarks or other intellectual property rights may be challenged or circumvented by others or invalidated through administrative process or litigation. Others may independently develop similar products, duplicate any of our solutions or design around our patents or adopt similar or identical brands for competing platforms. Legal standards relating to the validity, enforceability and scope of protection of intellectual property rights are uncertain. Despite our precautions, it may be possible for unauthorized third parties to copy our platform and products and use information that we regard as proprietary to create products and services that compete with ours. Some license provisions restricting unauthorized use, copying, transfer and disclosure of our intellectual property may be unenforceable under the laws of jurisdictions outside the United States.</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To the extent we expand our international activities, our exposure to unauthorized copying and use of our platform, products and proprietary information may increase. Moreover, effective trademark, copyright, patent and trade secret protection may not be available or commercially feasible in every country in which we conduct business. Further, intellectual property law, including statutory and case law, particularly in the United States, is constantly developing. Changes in the law could make it harder for us to enforce our rights.</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to protect our proprietary technologies. We enter into confidentiality agreements with strategic and business partners. As such, these agreements may not be effective in controlling access to and distribution of our proprietary information since they do not prevent our competitors or partners from independently developing technologies that are equivalent or superior to our platform and products.</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may be required to spend significant resources to monitor, protect, and enforce our intellectual property rights. Litigation may be necessary in the future to enforce our intellectual property rights and protect our trade secrets. Litigation brought to protect and enforce our intellectual property rights could be costly, time-consuming and distracting to management. Such litigation could result in the impairment or loss of portions of our intellectual property. Enforcement of our intellectual property rights may be met with defenses, counterclaims and countersuits attacking the validity and enforceability of our intellectual property. An adverse determination of any litigation proceedings could put our intellectual property at risk of being invalidated or interpreted narrowly. An adverse determination could risk the issuance or cancellation of pending patent and trademark filings. Because of the substantial discovery required in connection with intellectual property litigation, our confidential or sensitive information could be compromised by disclosure in litigation. Litigation could result in public disclosure of results of hearings, motions or other interim developments. If securities analysts or investors perceive these results to be negative, it could have a substantial adverse effect on the price of our Common Stock.</w:t>
      </w:r>
    </w:p>
    <w:p>
      <w:pPr>
        <w:spacing w:after="0" w:line="188"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In addition, our inability to protect our proprietary technology against unauthorized copying or use, as well as any costly litigation or diversion of our management’s attention and resources, could delay further sales or the implementation of our platform or products, impair the functionality of our platform or products, delay introductions of new functionality to our platform, result in the substitution of inferior or more costly technologies into our platform or products or injure our reputation. We will not be able to protect our intellectual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property if we are unable to enforce our rights or if we do not detect unauthorized use of our intellectual property.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If we fail to meaningfully protect our intellectual property and proprietary rights, our business, operating results and financial condition could be adversely affected.</w:t>
      </w:r>
    </w:p>
    <w:p>
      <w:pPr>
        <w:spacing w:after="0" w:line="28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execute invention assignment agreements with our employees and contractors involved in the development of intellectual property or are unable to protect the confidentiality of our trade secrets, the value of our products and our business and competitive position could be harmed.</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generally enter into confidentiality and invention assignment agreements with our employees, consultants and third parties upon their commencement of a relationship with us. However, we may not enter into such agreements with all employees, consultants and third parties who have been involved in the development of our intellectual property. In addition, these agreements may not provide meaningful protection against the unauthorized use or disclosure of our trade secrets or other confidential information, and adequate remedies may not exist if unauthorized use or disclosure were to occur.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 Further, other parties may independently develop substantially equivalent know-how and technology.</w:t>
      </w:r>
    </w:p>
    <w:p>
      <w:pPr>
        <w:spacing w:after="0" w:line="192"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be independently developed by others in a manner that could prevent legal recourse by us. We also have agreements with our employees, consultants and third parties that obligate them to assign their inventions to us; however, these agreements may not be self-executing, not all employees or consultants may enter into such agreements or employees or consultants may breach or violate the terms of these agreements, and we may not have adequate remedies for any such breach or violation. If any of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301"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financial and economic sanctions, export controls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6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economic sanctions administered by the U.S. Treasury Department’s Office of Foreign Assets Control. We incorporate encryption technology into our platform. These encryption products and the underlying technology may be exported outside of the United States only with the required export authorizations, including by license, a license exception or other appropriate government authorizations.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that restrict regulated persons from conducting transactions or dealings with certain countries, regions, governments and persons, and are subject to U.S. export control laws that regulate (and in some cases prohibit) the export, re-export, or transfer of items subject to the U.S. Export Administration Regulations. A violation of these laws or regulations could adversely affect our business, results of operations, financial condition and reputation.</w:t>
      </w:r>
    </w:p>
    <w:p>
      <w:pPr>
        <w:spacing w:after="0" w:line="180"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Recent administrations have been critical of existing trade agreements and may impose more stringent sanctions, export and import controls. Obtaining the necessary export license or other authorization for a particular sale may be time-consuming and may result in the delay or loss of sales opportunities even if the export license ultimately may be granted. While we take precautions to prevent our AI Studio platform and hardware from being exported in violation of these laws, including obtaining authorizations for our platform, performing geolocation IP blocking and screenings against U.S. and other lists of restricted and prohibited persons, we cannot guarantee that the precautions we take will prevent violations of export control and sanctions laws. Violations of U.S. sanctions or export control laws can result in significant fines or penalties and possible incarceration for responsible employees and managers could be imposed for criminal violations of these laws, which could adversely affect our business, results of operations, financial condition and reputation.</w:t>
      </w:r>
    </w:p>
    <w:p>
      <w:pPr>
        <w:spacing w:after="0" w:line="19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If our partners fail to obtain appropriate import, export or re-export licenses or permits, we may also be adversely affected, through reputational harm as well as other negative consequences, including government investigations and penalties. We are in the process of incorporating export control compliance requirements into our strategic partner agreements; however, no assurance can be given that our partners will comply with such requirements.</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Various countries regulate the import and export of certain encryption and other technology, including import and export licensing requirements. Some countries have enacted laws that could limit our ability to distribute our AI Studio platform or could limit our customers’ ability to implement our platform in those countries. Changes in our AI Studio platform or future changes in export and import regulations may create delays in the introduction of our AI Studio platform in international markets, prevent our customers with international operations from launching our platform globally or, in some cases, prevent the export or import of our platform to certain countries, governments or persons altogether. Various governmental agencies have proposed additional regulation of encryption technology, including the escrow and government recovery of private encryption keys. Any change in export or import regulations, economic sanctions or related legislation, or change in the countries, governments, persons or technologies targeted by such regulations, could limit our ability to export or sell our platform to existing or potential customers with international operations. Any decreased use of our platform or limitation on our ability to export or sell our AI Studio platform would adversely affect our business, operating results and prospects.</w:t>
      </w:r>
    </w:p>
    <w:p>
      <w:pPr>
        <w:spacing w:after="0" w:line="292"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a portion of our business with third-party ecosystem partners to provide defensive solutions that incorporate our products to various foreign and domestic government agencies, which are subject to unique risks.</w:t>
      </w:r>
    </w:p>
    <w:p>
      <w:pPr>
        <w:spacing w:after="0" w:line="5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Contracts with the U.S. or foreign governments are subject to extensive regulations, and new regulations, or changes to existing regulations, could increase our or our third-party ecosystem partners’ compliance costs, including in the form of withheld payments and/or reduced future business if our or our third-party ecosystem partners fail to comply with these requirements in the future, or otherwise have a material impact on our or our third-party ecosystem partners’ business, which could negatively impact our financial condition and operating results.</w:t>
      </w:r>
    </w:p>
    <w:p>
      <w:pPr>
        <w:spacing w:after="0" w:line="18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Contracts with the U.S. or foreign governments are also subject to a variety of other requirements and risks including government reviews, audits, investigations, False Claims Act cases, suspensions and debarments as well as other legal actions and proceedings that generally do not apply to purely commercial contracts.</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addition, transactions involving government contractors may be subject to government review and approvals and may require the contractor to hold certain national security clearances in order to perform them.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82"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Non-compliance with such laws can subject us to criminal and/or civil liability and harm our business.</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U.S. domestic bribery statute contained in 18 U.S.C. § 201, the U.S. Travel Act, the UK Bribery Act of 2010, the UK Proceeds of Crime Act 2002, and other anti-bribery and anti-money laundering laws in the countries in which we conduct activities. Anti-corruption and anti-bribery laws have been enforced aggressively in recent years. These laws are interpreted broadly and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w:t>
      </w:r>
    </w:p>
    <w:p>
      <w:pPr>
        <w:spacing w:after="0" w:line="189" w:lineRule="exact"/>
        <w:rPr>
          <w:sz w:val="20"/>
          <w:szCs w:val="20"/>
          <w:color w:val="auto"/>
        </w:rPr>
      </w:pPr>
    </w:p>
    <w:p>
      <w:pPr>
        <w:ind w:left="120" w:right="80"/>
        <w:spacing w:after="0" w:line="277" w:lineRule="auto"/>
        <w:rPr>
          <w:sz w:val="20"/>
          <w:szCs w:val="20"/>
          <w:color w:val="auto"/>
        </w:rPr>
      </w:pPr>
      <w:r>
        <w:rPr>
          <w:rFonts w:ascii="Times New Roman" w:cs="Times New Roman" w:eastAsia="Times New Roman" w:hAnsi="Times New Roman"/>
          <w:sz w:val="17"/>
          <w:szCs w:val="17"/>
          <w:color w:val="auto"/>
        </w:rPr>
        <w:t>As we increase our international sales and business and sales to the public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Due to the expansive nature of the FCPA and other anti-corruption and anti-bribery laws, we can be held liable for corrupt or other illegal actions, even if seemingly innocent, of these third-party intermediaries, our employees, representatives, contractors, partners and agents, even if we do not explicitly authorize such activities.</w:t>
      </w:r>
    </w:p>
    <w:p>
      <w:pPr>
        <w:spacing w:after="0" w:line="168"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While we have policies and procedures to address compliance with such laws, our employees and agents could violate our policies and applicable law, for which we may be ultimately held responsible. As we increase our international sales and business, our risks under these laws may increase.</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Noncompliance with anti-corruption, anti-bribery or anti-money laundering laws could subject us to whistleblower complaints, investigations, sanctions, settlements, criminal prosecution, other enforcement actions, disgorgement of profits, significant fines, damages, including treble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imposed, or if we do not prevail in any possible civil or criminal litigation, our business, results of operations, and financial condition could be materially harmed.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operating results.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customer subscription and partner and services contracts are primarily denominated in U.S. dollars, and therefore substantially all of our revenue is not subject to foreign currency risk. However, a strengthening of the U.S. dollar could increase the real cost of our platform and products to our customers outside of the United States, which could adversely affect our operating results. In addition, an increasing portion of our operating expenses is incurred and an increasing portion of our assets is held outside the United States. These operating expenses and assets are denominated in foreign currencies and are subject to fluctuations due to changes in foreign currency exchange rates. If we are not able to successfully hedge against the risks associated with currency fluctuations, our operating results could be adversely affected.</w:t>
      </w:r>
    </w:p>
    <w:p>
      <w:pPr>
        <w:spacing w:after="0" w:line="291"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costs may increase significantly, we may be unable to obtain the same level of insurance coverage and our insurance coverage may not be adequate to cover all possible losses we may suffer.</w:t>
      </w:r>
    </w:p>
    <w:p>
      <w:pPr>
        <w:spacing w:after="0" w:line="5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We generally renew our insurance policies annually. If the cost of coverage becomes too high or if we believe certain coverage becomes inapplicable, we may need to reduce our policy limits, increase retention amounts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agree to certain exclusions from our coverage to reduce the premiums to an acceptable amount or to otherwise reduce coverage for certain occurrences. On the other hand, we may determine that we either do not have certain coverage that would be prudent for our business and the risks associated with our business or that our current coverages are too low to adequately cover such risks. In either event, we may incur additional or higher premiums for such coverage than in prior years.</w:t>
      </w:r>
    </w:p>
    <w:p>
      <w:pPr>
        <w:spacing w:after="0" w:line="180"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Among other factors, national security concerns, catastrophic events, pandemics or any changes in any applicable statutory requirement binding insurance carriers to offer certain types of coverage could also adversely affect available insurance coverage and result in, among other things, increased premiums on available coverage (which may cause us to elect to reduce our policy limits or not renew our coverage) and additional exclusions from coverage. As cyber incidents and threats continue to evolve, we may be required to expend additional, perhaps significant, resources to continue to update, modify or enhance our protective measures or to investigate and remediate any vulnerability to cyber incidents. Although we maintain and monitor our information technology systems and we have insurance coverage for protecting against cyber security risks, such systems and insurance coverage may not be sufficient to protect against or cover all the losses we may experience as a result of any cyber-attacks.</w:t>
      </w:r>
    </w:p>
    <w:p>
      <w:pPr>
        <w:spacing w:after="0" w:line="189"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We may suffer damage due to a casualty loss (such as fire, natural disasters, pandemics and acts of war or terrorism) or other losses, such as those related to labor, professional liability or certain actions or inactions by our management, directors, employees or others, that could severely disrupt its business or subject us to claims by third parties who are injured or harmed. Although we maintain insurance that we believe to be adequate, such insurance may be inadequate or unavailable to cover all the risks to which our business and assets may be exposed, including risks related to certain litigation. Should an uninsured loss (including a loss that is less than the applicable deductible or that is not covered by insurance) or loss in excess of insured limits occur, it could have a significant adverse impact on our business, results of operations or financial condition.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attributes may be subject to certain limitations.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As of December 31, 2024, we had approximately $215.5 million of U.S. federal and $149.9 million of state net operating losses, respectively. Certain of our U.S. federal and state net operating loss carryforwards may be carried forward indefinitely, while other of these loss carryforwards are subject to expiration (beginning in 2030) . As of December 31, 2024, we had federal tax credit carryforwards of $5.7 million available to offset future U.S. federal income taxes payable, which will begin to expire in the year 2035. As of December 31, 2024, we had state tax credit carryforwards of $4.3 million available to offset future state income taxes payable and foreign tax credits of $97.2 million available to offset future India income taxes payable. It is possible that we will not generate taxable income in time to use these net operating loss carryforwards before their expiration (or that we will not generate taxable income at all). Under legislative changes made in December 2017, as modified by the Coronavirus Aid, Relief, and Economic Security Act (the “CARES Act”) in March 2020,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these federal tax laws.</w:t>
      </w:r>
    </w:p>
    <w:p>
      <w:pPr>
        <w:spacing w:after="0" w:line="194"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In addition, the federal and state net operating loss carryforwards and certain tax credits may be subject to significant limitations under Section 382 and Section 383 of the Code, respectively, and similar provisions of state law, including limitations that may result from the consummation of the Business Combination. Under those sections of the Internal Revenue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not yet determined whether the Business Combination will give rise to an “ownership change” for purposes of Section 382 and Section 383 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82"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Code. Furthermore, we may have experienced ownership changes in the past and may experience ownership changes in the future as a result of subsequent shifts in our stock ownership (some of which shifts are outside our control). As a result, our ability to use our pre-change federal NOLs and other tax attributes to offset future taxable income and taxes could be subject to limitations. For these reasons, we may be unable to use a material portion of our NOLs and other tax attributes, which could adversely affect our future net income and cash flows.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to applicable tax laws and regulations or exposure to additional income tax liabilities could affect our business and future profitability.</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Blaize is a U.S. corporation and thus is subject to U.S. corporate income tax on its worldwide income. Further, since our operations and customers are located throughout the United States, we are subject to various U.S. state and local taxes. U.S. federal, state, local and non-U.S. tax laws, policies, statutes, rules, regulations or ordinances could be interpreted, changed, modified or applied adversely to us and may have an adverse effect on our business and future profitability. For example, several tax proposals have been set forth that would, if enacted, make significant changes to U.S. tax laws. Such proposals include an increase in the U.S. income tax rate applicable to corporations (such as Blaize). Congress may consider, and could include, some or all of these proposals in connection with tax reform that may be undertaken (including with retroactive effect). We are unable to predict whether these or similar changes will be enacted and, if enacted, how soon any such changes could take effect. The passage of any legislation as a result of these proposals and other similar changes in U.S. federal income tax laws could adversely affect our business and future profitability.</w:t>
      </w:r>
    </w:p>
    <w:p>
      <w:pPr>
        <w:spacing w:after="0" w:line="296"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additional obligations to collect and remit sales tax and other taxes. We may be subject to tax liability for past sales, which could harm our business.</w:t>
      </w:r>
    </w:p>
    <w:p>
      <w:pPr>
        <w:spacing w:after="0" w:line="5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State, local and foreign jurisdictions have differing rules and regulations governing sales, use, value added, and other taxes, and these rules and regulations are subject to varying interpretations that may change over time. In particular, the applicability of such taxes to our ecommerce platform in various jurisdictions is unclear. These jurisdictions’ rules regarding tax nexus are complex and vary significantly. As a result, jurisdictions in which we have not historically collected or accrued sales, use, value added, or other taxes could assert our liability for such taxes. Our liability for these taxes and associated penalties could exceed our original estimates. This could result in substantial tax liabilities and related penalties for past sales. It could also discourage customers from using our software solutions platform or otherwise harm our business and operating results.</w:t>
      </w:r>
    </w:p>
    <w:p>
      <w:pPr>
        <w:spacing w:after="0" w:line="291"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 weaknesses in our internal control over financial reporting could have a significant adverse effect on our business and the price of our common stock.</w:t>
      </w:r>
    </w:p>
    <w:p>
      <w:pPr>
        <w:spacing w:after="0" w:line="51"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comply with the rules of the SEC implementing Sections 302 and 404 of the Sarbanes-Oxley Act, which requires management to certify financial and other information in our quarterly and annual reports and provide an annual management report on the effectiveness of controls over financial reporting. When evaluating our internal control over financial reporting as of March 31, 2025, our management concluded that our disclosure controls and procedures were not effective, due solely to the material weakness in our internal control over financial reporting, identified by BurTech management when preparing the BurTech Acquisition Corp. financial statements for the year ended December 31, 2024. As of March 31, 2025, the material weakness of combined entity has not been remediated by the Company and there can be no assurance that we will not identify additional material weaknesses in the future. If we identify additional material weaknesses in our internal control over financial reporting or are unable to comply with the requirements of Section 404 in a timely manner or assert that our internal control over financial reporting is effective, investors may lose confidence in the accuracy and completeness of our financial reports and the market price of our common stock could be materially adversely affected, and we could become subject to investigations by the stock exchange on which our securities are listed, the SEC or other regulatory authorities, which could require additional financial and management resources.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82"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Capital Structure</w:t>
      </w:r>
    </w:p>
    <w:p>
      <w:pPr>
        <w:spacing w:after="0" w:line="11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shares of Common Stock, warrants or convertible securities may dilute your ownership interest in us and could adversely affect our stock price.</w:t>
      </w:r>
    </w:p>
    <w:p>
      <w:pPr>
        <w:spacing w:after="0" w:line="51"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From time to time in the future, we may issue additional shares of our Common Stock, warrants or other securities convertible into Common Stock pursuant to a variety of transactions, including acquisitions. Additional shares of our Common Stock may also be issued upon exercise of outstanding stock options and warrants. The issuance by us of additional shares of our Common Stock, warrants or other securities convertible into our Common Stock would dilute your ownership interest in us and the sale of a significant amount of such shares in the public market could adversely affect prevailing market prices of our Common Stock and warrants. Subject to the satisfaction of vesting conditions and the expiration of our lock-up, shares issuable upon exercise of options will be available for resale immediately in the public market without restriction.</w:t>
      </w:r>
    </w:p>
    <w:p>
      <w:pPr>
        <w:spacing w:after="0" w:line="187"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As a result, holders of our Common Stock and Warrants bear the risk that our future offerings may reduce the market price of our Common Stock and Warrants and dilute their percentage ownership.</w:t>
      </w:r>
    </w:p>
    <w:p>
      <w:pPr>
        <w:spacing w:after="0" w:line="277"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of our Common Stock by us or our existing securityholders in the public market could cause the market price for our Common Stock to decline.</w:t>
      </w:r>
    </w:p>
    <w:p>
      <w:pPr>
        <w:spacing w:after="0" w:line="51"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We are not restricted from issuing additional shares of Common Stock, including securities that are convertible into or exchangeable for, or that represent a right to receive, Common Stock. Any issuance of additional shares of our Common Stock or convertible securities, including the shares issued pursuant to the Purchase Agreement and Engagement Agreement, will dilute the ownership interest of our existing stockholders. Sales of a substantial number of shares of our Common Stock or other equity-related securities in the public market, or the perception that these sales could occur, could depress the market price of our Common Stock and impair our ability to raise capital through the sale of additional equity securities. We cannot predict the effect that future sales of our Common Stock or other equity-related securities would have on the market price of our Common Stock.</w:t>
      </w:r>
    </w:p>
    <w:p>
      <w:pPr>
        <w:spacing w:after="0" w:line="277"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including compliance with the reporting requirements of the Exchange Act, the requirements of the Sarbanes-Oxley Act and the requirements of Nasdaq, may strain our resources, increase our costs and distract management, and we may be unable to comply with these requirements in a timely or cost-effective manner.</w:t>
      </w:r>
    </w:p>
    <w:p>
      <w:pPr>
        <w:spacing w:after="0" w:line="67"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As a public company, we are subject to laws, regulations and requirements, certain corporate governance provisions of the Sarbanes-Oxley Act, related regulations of the SEC and the requirements of the Nasdaq, which we were not required to comply with as a private company. As a newly public company as a result of the Business Combination, complying with these statutes, regulations and requirements occupies a significant amount of time of our board of directors and management and significantly increases our costs and expenses. For example, we have to institute a more comprehensive compliance function, comply with rules promulgated by the Nasdaq, prepare and distribute periodic public reports in compliance with our obligations under the federal securities laws, and establish new internal policies, such as those relating to insider trading. We also have to</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retain and rely on outside counsel and accountants to a greater degree in these activities. In addition, being subject to these rules and regulations make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w:t>
      </w:r>
    </w:p>
    <w:p>
      <w:pPr>
        <w:spacing w:after="0" w:line="284"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2(a)(19) of the Securities Act, as modified by the JOBS Act. As an emerging growth company, we may follow reduced disclosure requirements and do not have to make all of the disclosures that public companies that are not emerging growth companies do. We will remain an emerging growth company until the earlier of (a) the last day of the fiscal year in which the market value of shares of Common Stock that are held by non-affiliates exceeds $700 million as of June 30 of that fiscal year; (b) the last day of the fiscal year in which we have a total annual gross revenue of $1.235 billion or more during such fiscal year (as indexed for inflation); (c) the date on which we have issued more than $1 billion in non-convertible debt in the prior three-year period or (d) December 31, 2026, which is the last day of the fiscal year following the fifth anniversary of the date of the first sale of Common Stock in BurTech’s initial public offering.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94"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proxy statements; and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of stockholders on executive compensation and stockholder approval of any golden parachute payments not previously approved.</w:t>
      </w:r>
    </w:p>
    <w:p>
      <w:pPr>
        <w:spacing w:after="0" w:line="16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8"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As an emerging growth company, we may choose to take advantage of certain exemptions from various reporting requirements that are applicable to other public companies that are not emerging growth companies including, but not limited to,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will rely on these exemptions. If some investors find our shares of Common Stock less attractive as a result, there may be a less active market for our shares of common stock and our share price may be more volatile.</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60"/>
          </w:cols>
          <w:pgMar w:left="320" w:top="482" w:right="5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governing documents, as well as provisions of Delaware law, could impair a takeover attempt.</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our bylaws and Delaware law each contain provisions that could have the effect of delaying or preventing changes in control or changes in our management without the consent of our board of directors. These provisions include:</w:t>
      </w:r>
    </w:p>
    <w:p>
      <w:pPr>
        <w:spacing w:after="0" w:line="67"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with or without cause by stockholders, which prevents stockholders from being able to fill vacancies on our board of directors;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chairperson of the board of directors, the chief executive officer, the president or the board of directors, which may delay the ability of our stockholders to force consideration of a proposal or to take action, including the removal of directors;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stockholder meetings;</w:t>
      </w:r>
    </w:p>
    <w:p>
      <w:pPr>
        <w:spacing w:after="0" w:line="27" w:lineRule="exact"/>
        <w:rPr>
          <w:rFonts w:ascii="Times New Roman" w:cs="Times New Roman" w:eastAsia="Times New Roman" w:hAnsi="Times New Roman"/>
          <w:sz w:val="18"/>
          <w:szCs w:val="18"/>
          <w:color w:val="auto"/>
        </w:rPr>
      </w:pPr>
    </w:p>
    <w:p>
      <w:pPr>
        <w:ind w:left="1080" w:right="20" w:hanging="424"/>
        <w:spacing w:after="0" w:line="26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the ability to remove directors with cause by the affirmative vote of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in voting power of the outstanding shares of Common Stock entitled to vote thereon;</w:t>
      </w:r>
    </w:p>
    <w:p>
      <w:pPr>
        <w:spacing w:after="0" w:line="1"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affirmative vote of at least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the voting power of the outstanding shares of Common Stock entitled to vote generally in the election of directors, voting together as a single class, to amend our bylaws or ARTICLE IV, ARTICLE V, ARTICLE VI, ARTICLE VII, ARTICLE VIII, and ARTICLE IX of our certificate of incorporation; and</w:t>
      </w:r>
    </w:p>
    <w:p>
      <w:pPr>
        <w:spacing w:after="0" w:line="82"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provisions, alone or together, could delay hostile takeovers and changes in control of us or changes in our Board and our management.</w:t>
      </w:r>
    </w:p>
    <w:p>
      <w:pPr>
        <w:spacing w:after="0" w:line="225"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DGCL, which will prevent some stockholders holding more than 15% of the Common Stock from engaging in certain business combinations without approval of the holders of substantially all of our Common Stock. Any provision of our certificate of incorporation, our bylaws or Delaware law that has the effect of delaying or deterring a change in control could limit the opportunity for our stockholders to receive a premium for their shares of Common Stock and could also affect the price that some investors are willing to pay for our Common Stock.</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82"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requires, to the fullest extent permitted by law, that derivative actions brought in our name against our directors, officers, other employees or stockholders for breach of fiduciary duty and other similar actions may be brought only in the Court of Chancery in the State of Delaware, which may have the effect of discouraging lawsuits against our directors, officers, other employees or stockholders.</w:t>
      </w:r>
    </w:p>
    <w:p>
      <w:pPr>
        <w:spacing w:after="0" w:line="6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against our directors, officers, other employees or stockholders for breach of fiduciary duty and other similar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This exclusive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their compliance with federal securities laws and the rules and regulations thereunder. However, there is no assurance that a court would enforce the choice of forum provision contained in our certificate of incorporation. If a court were to find such provision to be inapplicable or unenforceable in an action, we may incur additional costs associated with resolving such action in other jurisdictions, which could harm our business, operating results and financial condition.</w:t>
      </w:r>
    </w:p>
    <w:p>
      <w:pPr>
        <w:spacing w:after="0" w:line="19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the exclusive forum provision will be applicable to the fullest extent permitted by applicable law. Our certificate of incorporation also provides that (A) the exclusive forum provision shall not apply to claims or causes of action brought to enforce a duty or liability created by the Securities Act or the Exchange Act, or any other claim for which the federal courts have exclusive jurisdiction and (B) unless we consent in writing to the selection of an alternative forum, to the fullest extent permitted by law, the federal district courts of the United States will be the exclusive forum for the resolution of any complaint asserting a cause of action arising under the Securities Act.</w:t>
      </w:r>
    </w:p>
    <w:p>
      <w:pPr>
        <w:spacing w:after="0" w:line="183" w:lineRule="exact"/>
        <w:rPr>
          <w:sz w:val="20"/>
          <w:szCs w:val="20"/>
          <w:color w:val="auto"/>
        </w:rPr>
      </w:pPr>
    </w:p>
    <w:p>
      <w:pPr>
        <w:ind w:left="120" w:right="120"/>
        <w:spacing w:after="0" w:line="271" w:lineRule="auto"/>
        <w:rPr>
          <w:sz w:val="20"/>
          <w:szCs w:val="20"/>
          <w:color w:val="auto"/>
        </w:rPr>
      </w:pPr>
      <w:r>
        <w:rPr>
          <w:rFonts w:ascii="Times New Roman" w:cs="Times New Roman" w:eastAsia="Times New Roman" w:hAnsi="Times New Roman"/>
          <w:sz w:val="17"/>
          <w:szCs w:val="17"/>
          <w:color w:val="auto"/>
        </w:rPr>
        <w:t>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As noted above, our certificate of incorporation provides that the federal district courts of the United States will be the exclusive forum for the resolution of any complaint asserting a cause of action under the Securities Act. Due to the concurrent jurisdiction for federal and state courts created by Section 22 of the Securities Act over all suits brought to enforce any duty or liability created by the Securities Act or the rules and regulations thereunder, there is uncertainty as to whether a court would enforce the exclusive form provision. Investors also cannot waive compliance with the federal securities laws and the rules and regulations thereunder.</w:t>
      </w:r>
    </w:p>
    <w:p>
      <w:pPr>
        <w:spacing w:after="0" w:line="27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or may decline regardless of our operating performance. You may lose some or all of your investment.</w:t>
      </w:r>
    </w:p>
    <w:p>
      <w:pPr>
        <w:spacing w:after="0" w:line="5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likely to be volatile. The stock market recently has experienced extreme volatility. This volatility often has been unrelated or disproportionate to the operating performance of particular companies. You may not be able to resell your shares at an attractive price due to a number of factors such as those listed in this section and the following:</w:t>
      </w:r>
    </w:p>
    <w:p>
      <w:pPr>
        <w:spacing w:after="0" w:line="81" w:lineRule="exact"/>
        <w:rPr>
          <w:sz w:val="20"/>
          <w:szCs w:val="20"/>
          <w:color w:val="auto"/>
        </w:rPr>
      </w:pPr>
    </w:p>
    <w:p>
      <w:pPr>
        <w:ind w:left="1080" w:right="32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resulting from the invasion of Ukraine by Russia, the Israel-Hamas conflict, strategic competition and tensions between Taiwan, China and the United States and resulting sanctions, and other events (such as terrorist attacks, geopolitical unrest, natural disasters or a significant outbreak of other infectious diseases);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companies in our industry compared to market expectations;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that impact demand for our products and/or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announcements concerning our business, our clients’ businesses or our competitors’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reaction to our reduced disclosure and other requirements as a result of being an “emerging growth company” under the Jumpstart Our Business Startups Act (the “JOBS 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public float;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by or changes in financial estimates by securities analysts or failure to meet their expectations;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industry perception of our success, or lack thereof, in pursuing our growth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or restructurings;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including laws or regulations relating to environmental, health and safety matters or initiatives relating to climate change, or changes in the implementation of regulations by regulatory bodies, which adversely affect our industry or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protection laws, privacy or data breaches, or the loss of data;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exchanges or sales, or expected issuances, exchanges or sales of our capital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dividend policy;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resolution of new or pending litigation against us;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economic and political conditions in the United States and global economies or financial markets, including those resulting from natural disasters, terrorist attacks, acts of war and responses to such events.</w:t>
      </w:r>
    </w:p>
    <w:p>
      <w:pPr>
        <w:spacing w:after="0" w:line="162"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w:t>
      </w:r>
    </w:p>
    <w:p>
      <w:pPr>
        <w:spacing w:after="0" w:line="176"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pacing w:after="0" w:line="280"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reporting company, we are subject to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67" w:lineRule="exact"/>
        <w:rPr>
          <w:sz w:val="20"/>
          <w:szCs w:val="20"/>
          <w:color w:val="auto"/>
        </w:rPr>
      </w:pPr>
    </w:p>
    <w:p>
      <w:pPr>
        <w:ind w:left="120" w:right="140"/>
        <w:spacing w:after="0" w:line="289" w:lineRule="auto"/>
        <w:rPr>
          <w:sz w:val="20"/>
          <w:szCs w:val="20"/>
          <w:color w:val="auto"/>
        </w:rPr>
      </w:pPr>
      <w:r>
        <w:rPr>
          <w:rFonts w:ascii="Times New Roman" w:cs="Times New Roman" w:eastAsia="Times New Roman" w:hAnsi="Times New Roman"/>
          <w:sz w:val="17"/>
          <w:szCs w:val="17"/>
          <w:color w:val="auto"/>
        </w:rPr>
        <w:t>We are subject to the rules and regulations established from time to time by the SEC and Nasdaq.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for the foreseeable future.</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certain restrictions related to our indebtedness, industry trends and other factors that our board of directors may deem relevant. Any such decision will also be subject to compliance with contractual restrictions and covenants in the agreements governing our current and future indebtedness. In addition, we may incur additional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our Common Stock.</w:t>
      </w:r>
    </w:p>
    <w:p>
      <w:pPr>
        <w:spacing w:after="0" w:line="292"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the market price of our Common Stock could decline.</w:t>
      </w:r>
    </w:p>
    <w:p>
      <w:pPr>
        <w:spacing w:after="0" w:line="5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w:t>
      </w:r>
    </w:p>
    <w:p>
      <w:pPr>
        <w:spacing w:after="0" w:line="293"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timely raise capital in the future may be limited, or may be unavailable on acceptable terms, if at all. Our failure to raise capital when needed could harm our business, operating results and financial condition. Debt issued to raise additional capital may reduce the value of our Common Stock.</w:t>
      </w:r>
    </w:p>
    <w:p>
      <w:pPr>
        <w:spacing w:after="0" w:line="6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continued financial support from our shareholders and other related parties. We cannot be certain when or if our operations will generate sufficient cash to fund our ongoing operations or the growth of our business.</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and may require additional funds. Additional financing may not be available on favorable terms, if at all. If adequate funds are not available on acceptable terms, we may be unable to invest in future growth opportunities, which could harm our business, operating results and financial condition. If we incur debt, the terms of such debt, including the accrual of interest at fixed or variable interest rates, could restrict our operations, including our ability to pay dividends on our common stock. Moreover, as a result of widespread inflation in the global economy, certain governmental authorities responsible for administering monetary policy have recently increased, and may continue to increase, applicable central bank interest rates, which could increase the costs required to obtain debt financing in the future or refinance any such future indebtedness Furthermore, if we incur debt, the debt holders could have rights senior to holders of our Common Stock to make claims on our assets. As a result, our stockholders bear the risk of future issuances of debt securities reducing the value of our Common Stock.</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82"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COMMITTED EQUITY FACILITY</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July 14, 2025, we entered into the Purchase Agreement and the Registration Rights Agreement with B. Riley Principal Capital II. Upon the terms and subject to the satisfaction of the conditions contained in the Purchase Agreement, from and after the Commencement Date, we will have the right, in our sole discretion, to sell to B. Riley Principal Capital II up to $50,000,000 of shares of our Common Stock, subject to certain limitations set forth in the Purchase Agreement, from time to time after the date of this prospectus and during the term of the Purchase Agreement. Sales of Common Stock by us to B. Riley Principal Capital II under the Purchase Agreement, and the timing of any such sales, are solely at our option, and we are under no obligation to sell any securities to B. Riley Principal Capital II under the Purchase Agreement. In accordance with our obligations under the Registration Rights Agreement, we have filed the registration statement that includes this prospectus with the SEC to register under the Securities Act the resale by B. Riley Principal Capital II of up to 20,326,158 BRPC Shares, consisting of (i) up to 20,242,805 Purchase Shares that we may, in our sole discretion, elect to sell to B. Riley Principal Capital II, from time to time over a period of up to 36 months from and after the Commencement Date pursuant to the Purchase Agreement and (ii) the 83,353 Commitment Shares we issued, together with our payment of the Cash Commitment Fee, to B. Riley Principal Capital II upon our execution of the Purchase Agreement on July 15, 2025, as consideration for its commitment to purchase shares of our Common Stock that we may, in our sole discretion, direct B. Riley Principal Capital II to purchase from us pursuant to the Purchase Agreement.</w:t>
      </w:r>
    </w:p>
    <w:p>
      <w:pPr>
        <w:spacing w:after="0" w:line="190" w:lineRule="exact"/>
        <w:rPr>
          <w:sz w:val="20"/>
          <w:szCs w:val="20"/>
          <w:color w:val="auto"/>
        </w:rPr>
      </w:pPr>
    </w:p>
    <w:p>
      <w:pPr>
        <w:ind w:left="120" w:right="180"/>
        <w:spacing w:after="0" w:line="267" w:lineRule="auto"/>
        <w:rPr>
          <w:sz w:val="20"/>
          <w:szCs w:val="20"/>
          <w:color w:val="auto"/>
        </w:rPr>
      </w:pPr>
      <w:r>
        <w:rPr>
          <w:rFonts w:ascii="Times New Roman" w:cs="Times New Roman" w:eastAsia="Times New Roman" w:hAnsi="Times New Roman"/>
          <w:sz w:val="17"/>
          <w:szCs w:val="17"/>
          <w:color w:val="auto"/>
        </w:rPr>
        <w:t>We do not have the right to commence any sales of our Common Stock to B. Riley Principal Capital II under the Purchase Agreement until the Commencement Date, which is the date on which all of the conditions to B. Riley Principal Capital II’s purchase obligation set forth in the Purchase Agreement have initially been satisfied, none of which are in B. Riley Principal Capital II’s control, including that the registration statement that includes this prospectus shall have been declared effective by the SEC and the final form of this prospectus shall have been filed with the SEC. From and after the Commencement Date, we have the right, but not the obligation, from time to time at our sole discretion for a period of up to 36 months, unless the Purchase Agreement is earlier terminated, to direct B. Riley Principal Capital II to purchase up to a specified maximum amount of shares of Common Stock in one or more Market Open Purchases and Intraday Purchases as set forth in the Purchase Agreement, by timely delivering a written Market Open Purchase Notice for each Market Open Purchase and timely delivering a written Intraday Purchase Notice for each Intraday Purchase, if any, to B. Riley Principal Capital II in accordance with the Purchase Agreement on any trading day we select as the Purchase Date therefor, so long as</w:t>
      </w:r>
    </w:p>
    <w:p>
      <w:pPr>
        <w:spacing w:after="0" w:line="5" w:lineRule="exact"/>
        <w:rPr>
          <w:sz w:val="20"/>
          <w:szCs w:val="20"/>
          <w:color w:val="auto"/>
        </w:rPr>
      </w:pPr>
    </w:p>
    <w:p>
      <w:pPr>
        <w:ind w:left="340" w:hanging="224"/>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of our Common Stock on the trading day immediately prior to such Purchase Date is not less than the Threshold Price and</w:t>
      </w:r>
    </w:p>
    <w:p>
      <w:pPr>
        <w:spacing w:after="0" w:line="9" w:lineRule="exact"/>
        <w:rPr>
          <w:rFonts w:ascii="Times New Roman" w:cs="Times New Roman" w:eastAsia="Times New Roman" w:hAnsi="Times New Roman"/>
          <w:sz w:val="18"/>
          <w:szCs w:val="18"/>
          <w:color w:val="auto"/>
        </w:rPr>
      </w:pPr>
    </w:p>
    <w:p>
      <w:pPr>
        <w:ind w:left="120" w:right="80" w:hanging="4"/>
        <w:spacing w:after="0" w:line="255" w:lineRule="auto"/>
        <w:tabs>
          <w:tab w:leader="none" w:pos="3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subject to all prior Market Open Purchases and all prior Intraday Purchases (as applicable) effected by us under the Purchase Agreement, including all prior purchases effected on the same Purchase Date, have been received by B. Riley Principal Capital II at such time and in the manner set forth in the Purchase Agreement.</w:t>
      </w:r>
    </w:p>
    <w:p>
      <w:pPr>
        <w:spacing w:after="0" w:line="18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From and after Commencement, the Company will control the timing and amount of any sales of Common Stock to B. Riley Principal Capital II. Actual sales of shares of our Common Stock to B. Riley Principal Capital II under the Purchase Agreement will depend on a variety of factors to be determined by us from time to time, including, among other things, market conditions, the trading price of our Common Stock and determinations by us as to the appropriate sources of funding for our company and its operations.</w:t>
      </w:r>
    </w:p>
    <w:p>
      <w:pPr>
        <w:spacing w:after="0" w:line="180"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Under the applicable Nasdaq rules, in no event may we issue to B. Riley Principal Capital II under the Purchase Agreement shares of Common Stock in excess of the 19.99% Exchange Cap, unless (i) we obtain stockholder approval to issue shares of Common Stock in excess of the Exchange Cap in accordance with applicable Nasdaq rules, or (ii) the average price per share paid by B. Riley Principal Capital II for all of the shares of Common Stock that we direct B. Riley Principal Capital II to purchase from us pursuant to the Purchase Agreement, if any, equals or exceeds $2.91 per share (representing the lower of (a) the official closing price of our Common Stock on Nasdaq immediately preceding the execution of the Purchase Agreement and (b) the average official closing price of our Common Stock on Nasdaq for the five consecutive trading days immediately preceding the execution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of the Purchase Agreement, adjusted as required by Nasdaq to take into account our payment of the Cash Commitment Fee and our issuance of the Commitment Shares to B. Riley Principal Capital II for non-cash consideration), so that the Exchange Cap limitation will not apply to issuances and sales of Common Stock pursuant to the Purchase Agreement.</w:t>
      </w:r>
    </w:p>
    <w:p>
      <w:pPr>
        <w:spacing w:after="0" w:line="176"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Moreover, we may not issue or sell any shares of Common Stock to B. Riley Principal Capital II under the Purchase Agreement which, when aggregated with all other shares of Common Stock then beneficially owned by B. Riley Principal Capital II and its affiliates (as calculated pursuant to Section 13(d) of the Exchange Act and Rule 13d-3 thereunder), would result in B. Riley Principal Capital II beneficially owning shares of Common Stock in excess of the 4.99% Beneficial Ownership Limitation.</w:t>
      </w:r>
    </w:p>
    <w:p>
      <w:pPr>
        <w:spacing w:after="0" w:line="180"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The net proceeds to us from sales that we elect to make to B. Riley Principal Capital II under the Purchase Agreement, if any, will depend on the frequency and prices at which we sell shares of our Common Stock to B. Riley Principal Capital II. We expect that any proceeds received by us from such sales to B. Riley Principal Capital II will be used for working capital and general corporate purposes.</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Neither we nor B. Riley Principal Capital II may assign or transfer our respective rights and obligations under the Purchase Agreement or the Registration Rights Agreement, and no provision of the Purchase Agreement or the Registration Rights Agreement may be modified or waived by us or B. Riley Principal Capital II.</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As consideration for B. Riley Principal Capital II’s commitment to purchase shares of Common Stock at our direction upon the terms and subject to the conditions set forth in the Purchase Agreement, upon our execution of the Purchase Agreement, we (i) paid B. Riley Principal Capital II the Cash Commitment Fee in the amount of $200,000, which represents 0.4% of B. Riley Principal Capital II’s $50,000,000 total aggregate purchase commitment under the Purchase Agreement and (ii) delivered irrevocable instructions to the transfer agent to the Commitment Shares, which Commitment Shares have a total aggregate value equal to 0.5% of B. Riley Principal Capital II’s $50,000,000 total aggregate purchase commitment under the Purchase Agreement (assuming a value per Commitment Share of $2.9993, representing the VWAP for the five consecutive days immediately prior to signing of the Purchase Agreement, rounded to the nearest whole, to B. Riley Principal Capital II no later than 4:00 p.m. (New York City time) on the trading day immediately following the closing of the Purchase Agreement. The Cash Commitment Fee will be paid by wire transfer of immediately available funds to an account designated by B. Riley Principal Capital II on or prior to the date of the Purchase Agreement. See “</w:t>
      </w:r>
      <w:r>
        <w:rPr>
          <w:rFonts w:ascii="Times New Roman" w:cs="Times New Roman" w:eastAsia="Times New Roman" w:hAnsi="Times New Roman"/>
          <w:sz w:val="18"/>
          <w:szCs w:val="18"/>
          <w:i w:val="1"/>
          <w:iCs w:val="1"/>
          <w:color w:val="auto"/>
        </w:rPr>
        <w:t>Plan of Distribution (Conflict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Interest)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Offer and Resale of Common Stock by the Selling Stockholder</w:t>
      </w:r>
      <w:r>
        <w:rPr>
          <w:rFonts w:ascii="Times New Roman" w:cs="Times New Roman" w:eastAsia="Times New Roman" w:hAnsi="Times New Roman"/>
          <w:sz w:val="18"/>
          <w:szCs w:val="18"/>
          <w:color w:val="auto"/>
        </w:rPr>
        <w:t>” for more information about the Cash Commitment Fee we paid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Purchase Agreement.</w:t>
      </w:r>
    </w:p>
    <w:p>
      <w:pPr>
        <w:spacing w:after="0" w:line="192"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In addition, we have agreed to reimburse B. Riley Principal Capital II the Initial Investor Legal Fee Reimbursement Amount of $125,000 upon our execution of the Purchase Agreement and Registration Rights Agreement, and the Additional Investor Legal Fee Reimbursement Amount of up to $5,000 per fiscal quarter.</w:t>
      </w:r>
    </w:p>
    <w:p>
      <w:pPr>
        <w:spacing w:after="0" w:line="176" w:lineRule="exact"/>
        <w:rPr>
          <w:sz w:val="20"/>
          <w:szCs w:val="20"/>
          <w:color w:val="auto"/>
        </w:rPr>
      </w:pPr>
    </w:p>
    <w:p>
      <w:pPr>
        <w:jc w:val="both"/>
        <w:ind w:left="120" w:right="660"/>
        <w:spacing w:after="0" w:line="266" w:lineRule="auto"/>
        <w:rPr>
          <w:sz w:val="20"/>
          <w:szCs w:val="20"/>
          <w:color w:val="auto"/>
        </w:rPr>
      </w:pPr>
      <w:r>
        <w:rPr>
          <w:rFonts w:ascii="Times New Roman" w:cs="Times New Roman" w:eastAsia="Times New Roman" w:hAnsi="Times New Roman"/>
          <w:sz w:val="18"/>
          <w:szCs w:val="18"/>
          <w:color w:val="auto"/>
        </w:rPr>
        <w:t xml:space="preserve">The Purchase Agreement and the Registration Rights Agreement contain customary representations, warranties, conditions and indemnification obligations of the parties. Copies of the agreements have been filed as exhibits to the registration statement that includes this prospectus and are available electronically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Purchases of Common Stock Under the Purchase Agreement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Market Open Purchases</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From and after the Commencement Date, we will have the right, but not the obligation, from time to time at our sole discretion for a period of up to 36 months, unless the Purchase Agreement is earlier terminated, beginning on the Commencement Date, to direct B. Riley Principal Capital II to purchase a specified number of shares of Common Stock, not to exceed the applicable Market Open Purchase Maximum Amount, in a Market Open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Purchase under the Purchase Agreement, by timely delivering a written Market Open Purchase Notice to B. Riley Principal Capital II, prior to 9:00 a.m.,</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City time, on any trading day we select as the Purchase Date for such Market Open Purchase, so long as:</w:t>
      </w:r>
    </w:p>
    <w:p>
      <w:pPr>
        <w:spacing w:after="0" w:line="112" w:lineRule="exact"/>
        <w:rPr>
          <w:sz w:val="20"/>
          <w:szCs w:val="20"/>
          <w:color w:val="auto"/>
        </w:rPr>
      </w:pPr>
    </w:p>
    <w:p>
      <w:pPr>
        <w:ind w:left="1080" w:right="4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of our Common Stock on the trading day immediately prior to such Purchase Date is not less than the Threshold Price; and</w:t>
      </w:r>
    </w:p>
    <w:p>
      <w:pPr>
        <w:spacing w:after="0" w:line="67"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subject to all prior Market Open Purchases and all prior Intraday Purchases effected by us under the Purchase Agreement have been received by B. Riley Principal Capital II prior to the time we deliver such Market Open Purchase Notice to B. Riley Principal Capital II.</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Purchase Maximum Amount applicable to such Market Open Purchase will be equal to the lesser of:</w:t>
      </w:r>
    </w:p>
    <w:p>
      <w:pPr>
        <w:spacing w:after="0" w:line="13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Common Stock;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Open Purchase Percentage (as specified in the applicable Market Open Purchase Notice for such Purchase) of the total aggregate number (or volume) of shares of our Common Stock traded on Nasdaq during the applicable Market Open Purchase Valuation Period for such Market Open Purchase.</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actual number of shares of Common Stock that B. Riley Principal Capital II will be required to purchase in a Market Open Purchase, which we refer to as the Market Open Purchase Share Amount, will be equal to the number of shares that we specify in the applicable Market Open Purchase Notice, subject to adjustment to the extent necessary to give effect to the applicable Market Open Purchase Maximum Amount and other applicable limitations set forth in the Purchase Agreement, including the Beneficial Ownership Limitation and, if then applicable, the Exchange Cap.</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per share purchase price that B. Riley Principal Capital II will be required to pay for the Market Open Purchase Share Amount in a Market Open Purchase effected by us pursuant to the Purchase Agreement, if any, will be equal to the VWAP of our Common Stock for the applicable Market Open Purchase Valuation Period on the Purchase Date for such Market Open Purchase, less a fixed 3.0% discount to the VWAP for such Market Open Purchase Valuation Period. The Market Open Purchase Valuation Period for a Market Open Purchase is defined in the Purchase Agreement as the period beginning at the official open (or “commencement”) of the regular trading session on Nasdaq on the applicable Purchase Date for such Market Open Purchase, and ending at the earliest to occur of:</w:t>
      </w:r>
    </w:p>
    <w:p>
      <w:pPr>
        <w:spacing w:after="0" w:line="93" w:lineRule="exact"/>
        <w:rPr>
          <w:sz w:val="20"/>
          <w:szCs w:val="20"/>
          <w:color w:val="auto"/>
        </w:rPr>
      </w:pPr>
    </w:p>
    <w:p>
      <w:pPr>
        <w:ind w:left="1080" w:right="1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3:59 p.m., New York City time, on such Purchase Date or such earlier time publicly announced by the trading market as the official close of the regular trading session on such Purchase Date;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that the total aggregate number (or volume) of shares of Common Stock traded on Nasdaq during such Market Open Purchase Valuation Period reaches the applicable Market Open Purchase Share Volume Maximum for such Market Open Purchase, which will be determined by dividing (a) the applicable Market Open Purchase Share Amount for such Market Open Purchase, by (b) the Market Open Purchase Percentage we specified in the applicable Market Open Purchase Notice for such Market Open Purchase; and</w:t>
      </w:r>
    </w:p>
    <w:p>
      <w:pPr>
        <w:spacing w:after="0" w:line="85"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further specify in the applicable Market Open Purchase Notice for such Market Open Purchase that a Limit Order Discontinue Election shall apply to such Market Open Purchase, such time that the trading price of our Common Stock on Nasdaq during such Market Open Purchase Valuation Period (calculated in accordance with the Purchase Agreement) falls below the applicable Minimum Price Threshold.</w:t>
      </w:r>
    </w:p>
    <w:p>
      <w:pPr>
        <w:spacing w:after="0" w:line="180"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Under the Purchase Agreement, for purposes of calculating the volume of shares of Common Stock traded during a Market Open Purchase Valuation Period, including for purposes of determining whether the applicable Market Open Purchase Share Volume Maximum for a Market Open Purchase has been reached, for purposes of calculating the VWAP of our Common Stock for the applicable Market Open Purchase Valuation Period, and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82"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extent that we specify in the applicable Market Open Purchase Notice that the Limit Order Discontinue Election will apply, the following transactions, to the extent they occur during such Market Open Purchase Valuation Period, shall be excluded: (x) the opening or first purchase of Common Stock at or following the official open of the regular trading session on Nasdaq on the applicable Purchase Date for such Market Open Purchase, (y) the last or closing sale of Common Stock at or prior to the official close of the regular trading session on Nasdaq on the applicable Purchase Date for such Market Open Purchase, and (z) if we have specified in the applicable Market Open Purchase Notice for such Market Open Purchase that a Limit Order Continue Election, rather than a Limit Order Discontinue Election, shall apply to such Market Open Purchase, all purchases and sales of Common Stock on Nasdaq during such Market Open Purchase Valuation Period at a price per share that is less than the applicable Minimum Price Threshold for such Market Open Purchase.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Intraday Purchases</w:t>
      </w:r>
    </w:p>
    <w:p>
      <w:pPr>
        <w:spacing w:after="0" w:line="11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In addition to the Market Open Purchases described above, from and after the Commencement Date, we will also have the right, but not the obligation, subject to the continued satisfaction of the conditions set forth in the Purchase Agreement, to direct B. Riley Principal Capital II to make Intraday Purchases (whether or not a Market Open Purchase is effected on such Purchase Date), not to exceed the applicable Intraday Purchase Maximum Amount, in an Intraday Purchase under the Purchase Agreement, by timely delivering a written Intraday Purchase Notice to B. Riley Principal Capital II, after 10:00 a.m., New York City time (and after the Market Open Purchase Valuation Period for any earlier Market Open Purchase and the Intraday Purchase Valuation Period for the most recent prior Intraday Purchase effected on the same Purchase Date if applicable, have ended), and prior to 3:30 p.m., New York City time, on such Purchase Date, so long as:</w:t>
      </w:r>
    </w:p>
    <w:p>
      <w:pPr>
        <w:spacing w:after="0" w:line="94" w:lineRule="exact"/>
        <w:rPr>
          <w:sz w:val="20"/>
          <w:szCs w:val="20"/>
          <w:color w:val="auto"/>
        </w:rPr>
      </w:pPr>
    </w:p>
    <w:p>
      <w:pPr>
        <w:ind w:left="1080" w:right="3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of our Common Stock on the trading day immediately prior to such Purchase Date is not less than the Threshold Price; and</w:t>
      </w:r>
    </w:p>
    <w:p>
      <w:pPr>
        <w:spacing w:after="0" w:line="67" w:lineRule="exact"/>
        <w:rPr>
          <w:rFonts w:ascii="Times New Roman" w:cs="Times New Roman" w:eastAsia="Times New Roman" w:hAnsi="Times New Roman"/>
          <w:sz w:val="18"/>
          <w:szCs w:val="18"/>
          <w:color w:val="auto"/>
        </w:rPr>
      </w:pPr>
    </w:p>
    <w:p>
      <w:pPr>
        <w:jc w:val="both"/>
        <w:ind w:left="1080" w:right="30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subject to all prior Market Open Purchases and all prior Intraday Purchases (as applicable) effected by us under the Purchase Agreement, including all prior purchases effected on the same Purchase Date as such applicable Intraday Purchase, have been received by B. Riley Principal Capital II in the manner set forth in the Purchase Agreement, prior to the time we deliver the Intraday Purchase Notice for such applicable Intraday Purchase to B. Riley Principal Capital II.</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Intraday Purchase Maximum Amount applicable to such Intraday Purchase will be equal to the lesser of:</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Common Stock; and</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Intraday Purchase Percentage (as specified by us in the applicable Intraday Purchase Notice for such Intraday Purchase) of the total aggregate number (or volume) of shares of our Common Stock traded on Nasdaq during the applicable Intraday Purchase Valuation Period for such Intraday Purchase.</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actual number of shares of Common Stock that B. Riley Principal Capital II will be required to purchase in an Intraday Purchase, which we refer to as the Intraday Purchase Share Amount, will be equal to the number of shares that we specify in the applicable Intraday Purchase Notice, subject to adjustment to the extent necessary to give effect to the applicable Intraday Purchase Maximum Amount and other applicable limitations set forth in the Purchase Agreement, including the Beneficial Ownership Limitation and, if then applicable, the Exchange Cap.</w:t>
      </w:r>
    </w:p>
    <w:p>
      <w:pPr>
        <w:spacing w:after="0" w:line="180"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per share purchase price that B. Riley Principal Capital II will be required to pay for the Intraday Purchase Share Amount in an Intraday Purchase effected by us pursuant to the Purchase Agreement, if any, will be calculated in the same manner as in the case of a Market Open Purchase (including the same fixed percentage discounts to the applicable VWAP used to calculate the per share purchase price for a Market Open Purchase as described above), provided that the VWAP used to determine the purchase price for the Intraday Purchase Share Amount to be purchased in an Intraday Purchase will be equal to the VWAP for the applicable Intraday Purchase Valuation Period on the Purchase Date for such Intraday Purchase. The Intraday Purchase Valuation Period for an</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80"/>
          </w:cols>
          <w:pgMar w:left="320" w:top="482"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Intraday Purchase is defined in the Purchase Agreement as the period during the regular trading session on Nasdaq on such Purchase Date, beginning at the latest to occur of:</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of confirmation of B. Riley Principal Capital II’s receipt of the applicable Intraday Purchase Notice;</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that the Market Open Purchase Valuation Period for any prior Market Open Purchase effected on the same Purchase Date (if any) has ended;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that the Intraday Purchase Valuation Period for the most recent prior Intraday Purchase effected on the same Purchase Date (if any) has ended,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ending at the earliest to occur of:</w:t>
      </w:r>
    </w:p>
    <w:p>
      <w:pPr>
        <w:spacing w:after="0" w:line="131" w:lineRule="exact"/>
        <w:rPr>
          <w:sz w:val="20"/>
          <w:szCs w:val="20"/>
          <w:color w:val="auto"/>
        </w:rPr>
      </w:pPr>
    </w:p>
    <w:p>
      <w:pPr>
        <w:ind w:left="1080" w:right="1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3:59 p.m., New York City time, on such Purchase Date or such earlier time publicly announced by the trading market as the official close of the regular trading session on such Purchase Date;</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that the total aggregate number (or volume) of shares of Common Stock traded on Nasdaq during such Intraday Purchase Valuation Period reaches the applicable Intraday Purchase Share Volume Maximum for such Intraday Purchase, which will be determined by dividing (a) the applicable Intraday Purchase Share Amount for such Intraday Purchase, by (b) the Purchase Percentage we specified in the applicable Intraday Purchase Notice for determining the applicable Intraday Purchase Share Amount for such Intraday Purchase; and</w:t>
      </w:r>
    </w:p>
    <w:p>
      <w:pPr>
        <w:spacing w:after="0" w:line="85"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further specify Limit Order Discontinue Election in the applicable Intraday Purchase Notice for such Intraday Purchase, such time that the trading price of our Common Stock on Nasdaq during such Intraday Purchase Valuation Period (calculated in accordance with the Purchase Agreement) falls below the applicable Minimum Price Threshold.</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with Market Open Purchases, for purposes of calculating the volume of shares of Common Stock traded during an Intraday Purchase Valuation Period, including for purposes of determining whether the applicable Intraday Purchase Share Volume Maximum for an Intraday Purchase has been reached, for purposes of calculating the VWAP of our Common Stock for the applicable Intraday Purchase Valuation Period, the following transactions, to the extent they occur during such Intraday Purchase Valuation Period, are excluded: (x) the opening or first purchase of Common Stock at or following the official open of the regular trading session on Nasdaq on the applicable Purchase Date for such Intraday Purchase, (y) the last or closing sale of Common Stock at or prior to the official close of the regular trading session on Nasdaq on the applicable Purchase Date for such Intraday Purchase, and (z) if we have specified in the applicable Intraday Purchase Notice for such Intraday Purchase that a Limit Order Continue Election, rather than a Limit Order Discontinue Election, shall apply to such Intraday Purchase, all purchases and sales of Common Stock on Nasdaq during such Intraday Purchase Valuation Period at a price per share that is less than the applicable Minimum Price Threshold for such Intraday Purchase.</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may, in our sole discretion, timely deliver multiple Intraday Purchase Notices to B. Riley Principal Capital II prior to 3:30 p.m., New York City time, on a single Purchase Date to effect multiple Intraday Purchases on such same Purchase Date, provided that the Market Open Purchase Valuation Period for any earlier Market Open Purchase effected on the same Purchase Date (as applicable) and the Intraday Purchase Valuation Period for the most recent prior Intraday Purchase effected on the same Purchase Date have ended prior to 3:30 p.m., New York City time, on such Purchase Date, and so long as all shares of Common Stock subject to all prior Market Open Purchases and all prior Intraday Purchases (as applicable) effected by us under the Purchase Agreement, including all prior purchases effected on the same Purchase Date as such applicable Intraday Purchase, have been received by B. Riley Principal Capital II prior to the time we deliver to B. Riley Principal Capital II a new Intraday Purchase Notice to effect an additional Intraday Purchase on the same Purchase Date as an earlier Market Open Purchase (as applicable) and one or more earlier Intraday Purchases effected on such same Purchase Date.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82"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The terms and limitations that will apply to each subsequent additional Intraday Purchase effected on the same Purchase Date will be the same as those applicable to any earlier Market Open Purchase (as applicable) and any earlier Intraday Purchase effected on the same Purchase Date as such subsequent additional Intraday Purchase, and the per share purchase price for the shares of Common Stock that we elect to sell to B. Riley Principal Capital II in each subsequent additional Intraday Purchase effected on the same Purchase Date as an earlier Market Open Purchase (as applicable) and/or earlier Intraday Purchase(s) effected on such Purchase Date will be calculated in the same manner as in the case of such earlier Market Open Purchase (as applicable) and such earlier Intraday Purchase(s) effected on the same Purchase Date as such subsequent additional Intraday Purchase, with the exception that the Intraday Purchase Valuation Period for each subsequent additional Intraday Purchase will begin and end at different times (and may vary in duration) during the regular trading session on such Purchase Date, in each case as determined in accordance with the Purchase Agreement.</w:t>
      </w:r>
    </w:p>
    <w:p>
      <w:pPr>
        <w:spacing w:after="0" w:line="172"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 the case of Market Open Purchases and Intraday Purchases effected by us under the Purchase Agreement, if any, all share and dollar amounts used in determining the purchase price per share of Common Stock to be purchased by B. Riley Principal Capital II in a Market Open Purchase or an Intraday Purchase (as applicable), or in determining the applicable maximum purchase share amounts or applicable volume or minimum price threshold in connection with any such Market Open Purchase or Intraday Purchase (as applicable), in each case, will be equitably adjusted for any reorganization, recapitalization, non-cash dividend, stock split, reverse stock split or other similar transaction occurring during any period used to calculate such per share purchase price, maximum purchase share amounts or applicable volume or minimum price thresholds.</w:t>
      </w:r>
    </w:p>
    <w:p>
      <w:pPr>
        <w:spacing w:after="0" w:line="187"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At or prior to 5:30 p.m., New York City time, on the applicable Purchase Date for a Market Open Purchase and/or Intraday Purchase, B. Riley Principal Capital II will provide us with a written confirmation for such Market Open Purchase and/or Intraday Purchase, as applicable, setting forth the applicable purchase price (both on a per share basis and the total aggregate purchase price) to be paid by B. Riley Principal Capital II for the shares of Common Stock purchased by B. Riley Principal Capital II in such Market Open Purchase and/or Intraday Purchase, as applicable.</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payment for, against delivery of, shares of Common Stock purchased by B. Riley Principal Capital II in any Market Open Purchase or any Intraday Purchase under the Purchase Agreement will be fully settled on the trading day immediately following the applicable Purchase Date for such Market Open Purchase or such Intraday Purchase (as applicable), as set forth in the Purchase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Precedent to Commencement and Each Purchase</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B. Riley Principal Capital II’s obligation to accept Market Open Purchase Notices and Intraday Purchase Notices that are timely delivered by us under the Purchase Agreement and to purchase shares of our Common Stock in Market Open Purchases and Intraday Purchases under the Purchase Agreement, are subject to (i) the initial satisfaction, at the Commencement, and (ii) the satisfaction, at the applicable “Purchase Condition Satisfaction Time” (as such term is defined in the Purchase Agreement) on the applicable Purchase Date for each Market Open Purchase and Intraday Purchase after the Commencement Date, of the conditions precedent thereto set forth in the Purchase Agreement, all of which are entirely outside of B. Riley Principal Capital II’s control, which conditions including the following:</w:t>
      </w:r>
    </w:p>
    <w:p>
      <w:pPr>
        <w:spacing w:after="0" w:line="93"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of the representations and warranties of the Company included in the Purchase Agreement;</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having performed, satisfied and complied in all material respects with all covenants, agreements and conditions required by the Purchase Agreement to be performed, satisfied or complied with by the Company;</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that includes this prospectus (and any one or more additional registration statements filed with the SEC that include shares of Common Stock that may be issued and sold by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82"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right="220"/>
        <w:spacing w:after="0" w:line="261" w:lineRule="auto"/>
        <w:rPr>
          <w:sz w:val="20"/>
          <w:szCs w:val="20"/>
          <w:color w:val="auto"/>
        </w:rPr>
      </w:pPr>
      <w:r>
        <w:rPr>
          <w:rFonts w:ascii="Times New Roman" w:cs="Times New Roman" w:eastAsia="Times New Roman" w:hAnsi="Times New Roman"/>
          <w:sz w:val="18"/>
          <w:szCs w:val="18"/>
          <w:color w:val="auto"/>
        </w:rPr>
        <w:t>Company to B. Riley Principal Capital II under the Purchase Agreement) having been declared effective under the Securities Act by the SEC, and B. Riley Principal Capital II being able to utilize this prospectus (and the prospectus included in any one or more additional registration statements filed with the SEC under the Registration Rights Agreement) to resell all of BRPC Shares included in this prospectus (and included in any such additional prospectuses);</w:t>
      </w:r>
    </w:p>
    <w:p>
      <w:pPr>
        <w:spacing w:after="0" w:line="85" w:lineRule="exact"/>
        <w:rPr>
          <w:sz w:val="20"/>
          <w:szCs w:val="20"/>
          <w:color w:val="auto"/>
        </w:rPr>
      </w:pPr>
    </w:p>
    <w:p>
      <w:pPr>
        <w:ind w:left="1080" w:hanging="424"/>
        <w:spacing w:after="0" w:line="25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shall not have issued any stop order suspending the effectiveness of the registration statement that includes this prospectus (or any one or more additional registration statements filed with the SEC that include shares of Common Stock that may be issued and sold by the Company to B. Riley Principal Capital II under the Purchase Agreement) or prohibiting or suspending the use of this prospectus (or the prospectus included in any one or more additional registration statements filed with the SEC under the Registration Rights Agreement), and the absence of any suspension of qualification or exemption from qualification of the Common Stock for offering or sale in any jurisdiction;</w:t>
      </w:r>
    </w:p>
    <w:p>
      <w:pPr>
        <w:spacing w:after="0" w:line="92"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not have provided an objection to, and shall have confirmed in writing that it has determined not to raise any objections with respect to the fairness and reasonableness of, the terms and arrangements of the transactions contemplated by the Purchase Agreement and the Registration Rights Agreement;</w:t>
      </w:r>
    </w:p>
    <w:p>
      <w:pPr>
        <w:spacing w:after="0" w:line="81"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event and there shall not exist any condition or state of facts, which makes any statement of a material fact made in the registration statement that includes this prospectus (or in any one or more additional registration statements filed with the SEC that include shares of Common Stock that may be issued and sold by the Company to B. Riley Principal Capital II under the Purchase Agreement) untrue or which requires the making of any additions to or changes to the statements contained therein in order to state a material fact required by the Securities Act to be stated therein or necessary in order to make the statements then made therein (in the case of this prospectus or the prospectus included in any one or more additional registration statements filed with the SEC under the Registration Rights Agreement, in the light of the circumstances under which they were made) not misleading;</w:t>
      </w:r>
    </w:p>
    <w:p>
      <w:pPr>
        <w:spacing w:after="0" w:line="94"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prospectus, in final form, shall have been filed with the SEC under the Securities Act prior to Commencement, and all reports, schedules, registrations, forms, statements, information and other documents required to have been filed by the Company with the SEC pursuant to the reporting requirements of the Exchange Act shall have been filed with the SEC;</w:t>
      </w:r>
    </w:p>
    <w:p>
      <w:pPr>
        <w:spacing w:after="0" w:line="81"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the Common Stock shall not have been suspended by the SEC or Nasdaq, the Company shall not have received any final and non-appealable notice that the listing or quotation of the Common Stock on Nasdaq, shall be terminated on a date certain (unless, prior to such date, the Common Stock is listed or quoted on any other Eligible Market, as such term is defined in the Purchase Agreement), and there shall be no suspension of, or restriction on, accepting additional deposits of the Common Stock, electronic trading or book-entry services by The Depository Trust Company with respect to the Common Stock;</w:t>
      </w:r>
    </w:p>
    <w:p>
      <w:pPr>
        <w:spacing w:after="0" w:line="88"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complied with all applicable federal, state and local governmental laws, rules, regulations and ordinances in connection with the execution, delivery and performance of the Purchase Agreement and the Registration Rights Agreement;</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statute, regulation, order, decree, writ, ruling or injunction by any court or governmental authority of competent jurisdiction which prohibits the consummation of or that would materially modify or delay any of the transactions contemplated by the Purchase Agreement or the Registration Rights Agreement;</w:t>
      </w:r>
    </w:p>
    <w:p>
      <w:pPr>
        <w:spacing w:after="0" w:line="81" w:lineRule="exact"/>
        <w:rPr>
          <w:rFonts w:ascii="Times New Roman" w:cs="Times New Roman" w:eastAsia="Times New Roman" w:hAnsi="Times New Roman"/>
          <w:sz w:val="18"/>
          <w:szCs w:val="18"/>
          <w:color w:val="auto"/>
        </w:rPr>
      </w:pPr>
    </w:p>
    <w:p>
      <w:pPr>
        <w:jc w:val="both"/>
        <w:ind w:left="1080" w:right="22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action, suit or proceeding before any arbitrator or any court or governmental authority seeking to restrain, prevent or change the transactions contemplated by the Purchase Agreement or the Registration Rights Agreement, or seeking material damages in connection with such transactions;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82"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1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shares of Common Stock and all of the Commitment Shares that may be issued pursuant to the Purchase Agreement shall have been approved for listing or quotation on Nasdaq (or if the Common Stock or Commitment Shares are not then listed on Nasdaq, then on any Eligible Market), subject only to notice of issuance;</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condition, occurrence, state of facts or event constituting a Material Adverse Effect (as such term is defined in the Purchase Agreement) shall have occurred and be continuing;</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bankruptcy proceeding against the Company commenced by a third party, and the Company shall not have commenced a voluntary bankruptcy proceeding, consented to the entry of an order for relief against it in an involuntary bankruptcy case, consented to the appointment of a custodian of the Company or for all or substantially all of its property in any bankruptcy proceeding, or made a general assignment for the benefit of its creditors;</w:t>
      </w:r>
    </w:p>
    <w:p>
      <w:pPr>
        <w:spacing w:after="0" w:line="85"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B. Riley Principal Capital II of the legal opinions and negative assurances, bring-down legal opinions and negative assurances, and audit comfort letters, in each case as required under the Purchase Agreement;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having caused the Company’s transfer agent to credit to B. Riley Principal Capital II’s or its designee’s account at DTC as DWAC Shares such number of shares of Common Stock equal to the number of Commitment Shares issued to B. Riley Principal Capital II.</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of the Purchase Agreement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Unless earlier terminated as provided in the Purchase Agreement, the Purchase Agreement will terminate automatically on the earliest to occur of:</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of the month next following the 36-month anniversary of the Commencement Date;</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B. Riley Principal Capital II shall have purchased shares of Common Stock under the Purchase Agreement for an aggregate gross purchase price equal to $50,000,000;</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Common Stock shall have failed to be listed or quoted on Nasdaq or any other Eligible Market for a period of one trading day;</w:t>
      </w:r>
    </w:p>
    <w:p>
      <w:pPr>
        <w:spacing w:after="0" w:line="67" w:lineRule="exact"/>
        <w:rPr>
          <w:rFonts w:ascii="Times New Roman" w:cs="Times New Roman" w:eastAsia="Times New Roman" w:hAnsi="Times New Roman"/>
          <w:sz w:val="18"/>
          <w:szCs w:val="18"/>
          <w:color w:val="auto"/>
        </w:rPr>
      </w:pPr>
    </w:p>
    <w:p>
      <w:pPr>
        <w:ind w:left="1080" w:hanging="424"/>
        <w:spacing w:after="0" w:line="230"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after the date on which a voluntary or involuntary bankruptcy proceeding involving our company has been commenced that is not discharged or dismissed prior to such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and</w:t>
      </w:r>
    </w:p>
    <w:p>
      <w:pPr>
        <w:ind w:left="1080" w:right="140" w:hanging="424"/>
        <w:spacing w:after="0" w:line="258"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 bankruptcy custodian is appointed for all or substantially all of our property, or we make a general assignment for the benefit of our creditors.</w:t>
      </w:r>
    </w:p>
    <w:p>
      <w:pPr>
        <w:spacing w:after="0" w:line="183"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We have the right to terminate the Purchase Agreement at any time after Commencement, at no cost or penalty, upon 10 trading days’ prior written notice to B. Riley Principal Capital II. We and B. Riley Principal Capital II may also terminate the Purchase Agreement at any time by mutual written consent.</w:t>
      </w:r>
    </w:p>
    <w:p>
      <w:pPr>
        <w:spacing w:after="0" w:line="176"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B. Riley Principal Capital II also has the right to terminate the Purchase Agreement upon 10 trading days’ prior written notice to us, but only upon the occurrence of certain events, including:</w:t>
      </w:r>
    </w:p>
    <w:p>
      <w:pPr>
        <w:spacing w:after="0" w:line="67"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and continuation of a Material Adverse Effect (as such term is defined in the Purchase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Fundamental Transaction (as such term defined in the Purchase Agreement) involving our company;</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registration statement is not filed by the applicable Filing Deadline (as defined in the Registration Rights Agreement) or declared effective by the SEC by the applicable Effectiveness Deadline (as defined in the Registration Rights Agreement), or the Company is otherwise in breach or default in 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82"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100"/>
        <w:spacing w:after="0" w:line="266" w:lineRule="auto"/>
        <w:rPr>
          <w:sz w:val="20"/>
          <w:szCs w:val="20"/>
          <w:color w:val="auto"/>
        </w:rPr>
      </w:pPr>
      <w:r>
        <w:rPr>
          <w:rFonts w:ascii="Times New Roman" w:cs="Times New Roman" w:eastAsia="Times New Roman" w:hAnsi="Times New Roman"/>
          <w:sz w:val="18"/>
          <w:szCs w:val="18"/>
          <w:color w:val="auto"/>
        </w:rPr>
        <w:t>material respect under any of the other provisions of the Registration Rights Agreement, and, if such failure, breach or default is capable of being cured, such failure, breach or default is not cured within 10 trading days after notice of such failure, breach or default is delivered to us;</w:t>
      </w:r>
    </w:p>
    <w:p>
      <w:pPr>
        <w:spacing w:after="0" w:line="81" w:lineRule="exact"/>
        <w:rPr>
          <w:sz w:val="20"/>
          <w:szCs w:val="20"/>
          <w:color w:val="auto"/>
        </w:rPr>
      </w:pPr>
    </w:p>
    <w:p>
      <w:pPr>
        <w:ind w:left="1080" w:right="46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in breach or default in any material respect of any of our covenants and agreements in the Purchase Agreement or in the Registration Rights Agreement, and, if such breach or default is capable of being cured, such breach or default is not cured within 10 trading days after notice of such breach or default is delivered to us;</w:t>
      </w:r>
    </w:p>
    <w:p>
      <w:pPr>
        <w:spacing w:after="0" w:line="81"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registration statement that includes this prospectus or any additional registration statement we file with the SEC pursuant to the Registration Rights Agreement lapses for any reason (including the issuance of a stop order by the SEC), or this prospectus or the prospectus included in any additional registration statement we file with the SEC pursuant to the Registration Rights Agreement otherwise becomes unavailable to B. Riley Principal Capital II for the resale of all of BRPC Shares included therein, and such lapse or unavailability continues for a period of 45 consecutive trading days or for more than an aggregate of 90 trading days in any 365-day period, other than due to acts of B. Riley Principal Capital II; or</w:t>
      </w:r>
    </w:p>
    <w:p>
      <w:pPr>
        <w:spacing w:after="0" w:line="92"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the Common Stock on Nasdaq (or if the Common Stock is then listed on an Eligible Market, trading in the Common Stock on such Eligible Market) has been suspended for a period of five consecutive trading days.</w:t>
      </w:r>
    </w:p>
    <w:p>
      <w:pPr>
        <w:spacing w:after="0" w:line="16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No termination of the Purchase Agreement by us or by B. Riley Principal Capital II will become effective prior to the fifth trading day immediately following the date on which any pending Market Open Purchase and any pending Intraday Purchase has been fully settled in accordance with the terms and conditions of the Purchase Agreement, and no termination will affect any of our respective rights and obligations under the Purchase Agreement with respect to any pending Market Open Purchase, any pending Intraday Purchase, the Commitment Shares, and any fees and disbursements of B. Riley Principal Capital II’s legal counsel in connection with the transactions contemplated by the Purchase Agreement and the Registration Rights Agreement. Both we and B. Riley Principal Capital II have agreed to complete our respective obligations with respect to any such pending Market Open Purchase and any pending Intraday Purchase under the Purchase Agreement. Furthermore, no termination of the Purchase Agreement will affect the Registration Rights Agreement, which will survive any termination of the Purchase Agreement.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Short-Selling or Hedging by B. Riley Principal Capital II</w:t>
      </w:r>
    </w:p>
    <w:p>
      <w:pPr>
        <w:spacing w:after="0" w:line="121"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B. Riley Principal Capital II has represented to us that at no time prior to the date of the Purchase Agreement has B. Riley Principal Capital II, any of its officers, or any entity managed or controlled by B. Riley Principal Capital II, engaged in or effected, in any manner whatsoever, directly or indirectly, for B. Riley Principal Capital II’s own principal account or for the principal account of any such entity managed or controlled by B. Riley Principal Capital II, any short sale (as such term is defined in Rule 200 of Regulation SHO of the Exchange Act) of our Common Stock or any hedging transaction, which establishes a net short position with respect to our Common Stock that remained in effect as of the date of the Purchase Agreement. B. Riley Principal Capital II has agreed that, during the term of the Purchase Agreement, none of B. Riley Principal Capital II, any of its officers, or any entity managed or controlled by B. Riley Principal Capital II will engage in or effect, directly or indirectly, any of the foregoing transactions either for B. Riley Principal Capital II’s own principal account or for the principal account of any such entity managed or controlled by B. Riley Principal Capital II.</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Prohibition on Variable Rate Transactions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Subject to specified exceptions included in the Purchase Agreement, we are limited in our ability to enter into specified “Variable Rate Transactions” (as such term is defined in the Purchase Agreement) during the term of the Purchase Agreement. Such transactions include, among others, the issuance of convertible securities with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82"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conversion or exercise price that is based upon or varies with the trading price of our Common Stock after the date of issuance, or our effecting or entering into an agreement to effect an “equity line of credit” or other substantially similar continuous offering with a third party, in which we may offer, issue or sell Common Stock or any securities exercisable, exchangeable or convertible into Common Stock at a future determined price.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Sales of our Common Stock under the Purchase Agreement on our Stockholders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Commitment Shares that we issued, and the Purchase Shares to be issued or sold by us, to B. Riley Principal Capital II under the Purchase Agreement that are being registered under the Securities Act for resale by B. Riley Principal Capital II in this offering are expected to be freely tradable. The 20,242,805 Purchase Shares being registered for resale in this offering may be issued and sold by us to B. Riley Principal Capital II from time to time at our discretion over a period of up to 36 months (unless the Purchase Agreement is earlier terminated), beginning on the Commencement Date. The resale by B. Riley Principal Capital II of a significant amount of BRPC Shares registered for resale in this offering at any given time, or the perception that these sales may occur, could cause the market price of our Common Stock to decline and to be highly volatile. Sales of our Common Stock, if any, to B. Riley Principal Capital II under the Purchase Agreement will depend upon market conditions and other factors to be determined by us. We may ultimately decide to sell to B. Riley Principal Capital II all, some or none of the shares of our Common Stock that may be available for us to sell to B. Riley Principal Capital II pursuant to the Purchase Agreement.</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and when we do elect to sell shares of our Common Stock to B. Riley Principal Capital II pursuant to the Purchase Agreement, after B. Riley Principal Capital II has acquired such shares, B. Riley Principal Capital II may resell all, some or none of such shares at any time or from time to time in its discretion and at different prices. As a result, investors who purchase shares from B. Riley Principal Capital II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B. Riley Principal Capital II in this offering as a result of future sales made by us to B. Riley Principal Capital II at prices lower than the prices such investors paid for their shares in this offering. In addition, if we sell a substantial number of shares of our Common Stock to B. Riley Principal Capital II under the Purchase Agreement, or if investors expect that we will do so, the actual sales of shares or the mere existence of our arrangement with B. Riley Principal Capital II may make it more difficult for us to sell equity or equity-related securities in the future at a time and at a price that we might otherwise wish to effect such sales.</w:t>
      </w:r>
    </w:p>
    <w:p>
      <w:pPr>
        <w:spacing w:after="0" w:line="188"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Because the per share purchase price that B. Riley Principal Capital II will pay for Purchase Shares in any Market Open Purchase or Intraday Purchase that we may elect to effect pursuant to the Purchase Agreement will be determined by reference to the VWAP during the applicable Market Open Purchase Valuation Period or Intraday Purchase Valuation Period, respectively, on the applicable Purchase Date for such Market Open Purchase or Intraday Purchase (as the case may be), as of the date of this prospectus, we cannot determine the actual purchase price per share that B. Riley Principal Capital II will be required to pay for any Purchase Shares that we may elect to sell to B. Riley Principal Capital II under the Purchase Agreement from and after Commencement and, therefore, we cannot be certain how many Purchase Shares, in the aggregate, we may issue and sell to B. Riley Principal Capital II under the Purchase Agreement from and after Commencement. As of July 14, 2025, there were 101,682,422 shares of our Common Stock outstanding, of which 53,453,601 shares were held by non-affiliates of our company. If all of the 20,242,805 Purchase Shares offered for resale by B. Riley Principal Capital II under this prospectus were issued and outstanding as of the date hereof, such shares would represent approximately 19.91% of the total number of outstanding shares of Common Stock and approximately 37.87% of the total number of outstanding shares of Common Stock held by non-affiliates of our company, in each case as of July 14, 2025.</w:t>
      </w:r>
    </w:p>
    <w:p>
      <w:pPr>
        <w:spacing w:after="0" w:line="19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Although the Purchase Agreement provides that we may sell up to $50,000,000 of our Common Stock to B. Riley Principal Capital II, only 20,242,805 Purchase Shares (in addition to the 83,353 Commitment Shares, for which we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82"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have not and will not receive any cash consideration) are being registered under the Securities Act for resale by B. Riley Principal Capital II under the registration statement that includes this prospectus. If we were to issue and sell all of such 20,242,805 Purchase Shares to B. Riley Principal Capital II (without taking into account the 19.99% Exchange Cap limitation) at an assumed purchase price per share of $2.91, representing the closing sale price of our Common Stock on Nasdaq on July 14, 2025, we would only receive approximately $59,000,000 in aggregate gross proceeds from the sale of such Purchase Shares to B. Riley Principal Capital II under the Purchase Agreement. Depending on the market prices of our Common Stock on the Purchase Dates on which we elect to sell such Purchase Shares to B. Riley Principal Capital II under the Purchase Agreement, we may in the future need to register under the Securities Act additional shares of our Common Stock for resale by B. Riley Principal Capital II which, together with the 20,242,805 Purchase Shares included in this prospectus, will enable us to issue and sell to B. Riley Principal Capital II such aggregate number of shares of Common Stock under the Purchase Agreement as will be necessary in order for us to receive aggregate proceeds equal to B. Riley Principal Capital II’s $50,000,000 maximum aggregate purchase commitment available to us under the Purchase Agreement.</w:t>
      </w:r>
    </w:p>
    <w:p>
      <w:pPr>
        <w:spacing w:after="0" w:line="19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If we elect to issue and sell to B. Riley Principal Capital II more than the 20,326,158 BRPC Shares being registered under the Securities Act for resale by B. Riley Principal Capital II under the registration statement that includes this prospectus (83,353 of which shares represent the Commitment Shares that we issued to B. Riley Principal Capital II, together with our payment of the $200,000 Cash Commitment Fee to B. Riley Principal Capital II, upon execution of the Purchase Agreement on July 15, 2025, for which we have not and will not receive any cash consideration), which we have the right, but not the obligation, to do, we must first (i) obtain stockholder approval to issue shares of Common Stock in excess of the Exchange Cap under the Purchase Agreement in accordance with applicable Nasdaq rules, unless the average price for all shares of our Common Stock purchased by B. Riley Principal Capital II under the Purchase Agreement equals or exceeds $2.91 per share, such that the Exchange Cap limitation would not apply under applicable Nasdaq rules, and (ii) file with the SEC one or more additional registration statements to register under the Securities Act for the offer and resale by B. Riley Principal Capital II of any such additional shares of our Common Stock we wish to sell from time to time under the Purchase Agreement, which the SEC must declare effective, in each case before we may elect to sell any additional shares of our Common Stock to B. Riley Principal Capital II under the Purchase Agreement. Any issuance and sale by us under the Purchase Agreement of a substantial amount of shares of Common Stock in addition to the 20,326,158 BRPC Shares being registered for resale by B. Riley Principal Capital II under the registration statement that includes this prospectus could cause additional substantial dilution to our stockholders.</w:t>
      </w:r>
    </w:p>
    <w:p>
      <w:pPr>
        <w:spacing w:after="0" w:line="18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number of BRPC Shares ultimately offered for resale by B. Riley Principal Capital II through this prospectus is dependent upon the number of shares of Common Stock, if any, we elect to sell to B. Riley Principal Capital II under the Purchase Agreement from and after the Commencement Date. The issuance of our Common Stock to B. Riley Principal Capital II pursuant to the Purchase Agreement will not affect the rights or privileges of our existing stockholders, except that the economic and voting interests of each of our existing stockholders will be diluted.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82"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amount of gross proceeds we would receive from B. Riley Principal Capital II from our sale of BRPC Shares (which are being registered for resale by B. Riley Principal Capital II under the registration statement that includes this prospectus) to B. Riley Principal Capital II as Purchase Shares under the Purchase Agreement at varying purchase prices: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80" w:type="dxa"/>
            <w:vAlign w:val="bottom"/>
            <w:gridSpan w:val="3"/>
            <w:vMerge w:val="restart"/>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6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Proceeds</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1300" w:type="dxa"/>
            <w:vAlign w:val="bottom"/>
            <w:gridSpan w:val="3"/>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from the Sale of</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After Giving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to B. Riley</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Registered</w:t>
            </w:r>
          </w:p>
        </w:tc>
        <w:tc>
          <w:tcPr>
            <w:tcW w:w="6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Effect to the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6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Issuance to</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Capital II</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6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B. Riley</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49"/>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Assumed Average Purchase Price Per Share</w:t>
            </w:r>
          </w:p>
        </w:tc>
        <w:tc>
          <w:tcPr>
            <w:tcW w:w="24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If</w:t>
            </w:r>
          </w:p>
        </w:tc>
        <w:tc>
          <w:tcPr>
            <w:tcW w:w="6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65"/>
        </w:trPr>
        <w:tc>
          <w:tcPr>
            <w:tcW w:w="2700" w:type="dxa"/>
            <w:vAlign w:val="bottom"/>
            <w:tcBorders>
              <w:bottom w:val="single" w:sz="8" w:color="auto"/>
            </w:tcBorders>
            <w:vMerge w:val="continue"/>
          </w:tcPr>
          <w:p>
            <w:pPr>
              <w:spacing w:after="0"/>
              <w:rPr>
                <w:sz w:val="13"/>
                <w:szCs w:val="13"/>
                <w:color w:val="auto"/>
              </w:rPr>
            </w:pPr>
          </w:p>
        </w:tc>
        <w:tc>
          <w:tcPr>
            <w:tcW w:w="3380" w:type="dxa"/>
            <w:vAlign w:val="bottom"/>
            <w:gridSpan w:val="2"/>
          </w:tcPr>
          <w:p>
            <w:pPr>
              <w:jc w:val="center"/>
              <w:ind w:left="2293"/>
              <w:spacing w:after="0" w:line="160" w:lineRule="exact"/>
              <w:rPr>
                <w:sz w:val="20"/>
                <w:szCs w:val="20"/>
                <w:color w:val="auto"/>
              </w:rPr>
            </w:pPr>
            <w:r>
              <w:rPr>
                <w:rFonts w:ascii="Times New Roman" w:cs="Times New Roman" w:eastAsia="Times New Roman" w:hAnsi="Times New Roman"/>
                <w:sz w:val="14"/>
                <w:szCs w:val="14"/>
                <w:b w:val="1"/>
                <w:bCs w:val="1"/>
                <w:color w:val="auto"/>
              </w:rPr>
              <w:t>Full Purchase</w:t>
            </w:r>
            <w:r>
              <w:rPr>
                <w:rFonts w:ascii="Times New Roman" w:cs="Times New Roman" w:eastAsia="Times New Roman" w:hAnsi="Times New Roman"/>
                <w:sz w:val="10"/>
                <w:szCs w:val="10"/>
                <w:b w:val="1"/>
                <w:bCs w:val="1"/>
                <w:color w:val="auto"/>
              </w:rPr>
              <w:t>(1)</w:t>
            </w:r>
          </w:p>
        </w:tc>
        <w:tc>
          <w:tcPr>
            <w:tcW w:w="640" w:type="dxa"/>
            <w:vAlign w:val="bottom"/>
          </w:tcPr>
          <w:p>
            <w:pPr>
              <w:spacing w:after="0"/>
              <w:rPr>
                <w:sz w:val="13"/>
                <w:szCs w:val="13"/>
                <w:color w:val="auto"/>
              </w:rPr>
            </w:pPr>
          </w:p>
        </w:tc>
        <w:tc>
          <w:tcPr>
            <w:tcW w:w="124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Capital II</w:t>
            </w:r>
            <w:r>
              <w:rPr>
                <w:rFonts w:ascii="Times New Roman" w:cs="Times New Roman" w:eastAsia="Times New Roman" w:hAnsi="Times New Roman"/>
                <w:sz w:val="10"/>
                <w:szCs w:val="10"/>
                <w:b w:val="1"/>
                <w:bCs w:val="1"/>
                <w:color w:val="auto"/>
              </w:rPr>
              <w:t>(2)</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Agreement</w:t>
            </w:r>
          </w:p>
        </w:tc>
        <w:tc>
          <w:tcPr>
            <w:tcW w:w="0" w:type="dxa"/>
            <w:vAlign w:val="bottom"/>
          </w:tcPr>
          <w:p>
            <w:pPr>
              <w:spacing w:after="0"/>
              <w:rPr>
                <w:sz w:val="1"/>
                <w:szCs w:val="1"/>
                <w:color w:val="auto"/>
              </w:rPr>
            </w:pPr>
          </w:p>
        </w:tc>
      </w:tr>
      <w:tr>
        <w:trPr>
          <w:trHeight w:val="20"/>
        </w:trPr>
        <w:tc>
          <w:tcPr>
            <w:tcW w:w="2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c>
          <w:tcPr>
            <w:tcW w:w="24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vMerge w:val="continue"/>
            <w:shd w:val="clear" w:color="auto" w:fill="CCEEFF"/>
          </w:tcPr>
          <w:p>
            <w:pPr>
              <w:spacing w:after="0"/>
              <w:rPr>
                <w:sz w:val="17"/>
                <w:szCs w:val="17"/>
                <w:color w:val="auto"/>
              </w:rPr>
            </w:pPr>
          </w:p>
        </w:tc>
        <w:tc>
          <w:tcPr>
            <w:tcW w:w="2400" w:type="dxa"/>
            <w:vAlign w:val="bottom"/>
            <w:vMerge w:val="continue"/>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20,242,805</w:t>
            </w:r>
          </w:p>
        </w:tc>
        <w:tc>
          <w:tcPr>
            <w:tcW w:w="640" w:type="dxa"/>
            <w:vAlign w:val="bottom"/>
            <w:vMerge w:val="continue"/>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203" w:lineRule="exact"/>
              <w:rPr>
                <w:sz w:val="20"/>
                <w:szCs w:val="20"/>
                <w:color w:val="auto"/>
              </w:rPr>
            </w:pPr>
            <w:r>
              <w:rPr>
                <w:rFonts w:ascii="Times New Roman" w:cs="Times New Roman" w:eastAsia="Times New Roman" w:hAnsi="Times New Roman"/>
                <w:sz w:val="18"/>
                <w:szCs w:val="18"/>
                <w:color w:val="auto"/>
              </w:rPr>
              <w:t>16.58%</w:t>
            </w:r>
          </w:p>
        </w:tc>
        <w:tc>
          <w:tcPr>
            <w:tcW w:w="2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20,242,805</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$2.00</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20,242,805</w:t>
            </w:r>
          </w:p>
        </w:tc>
        <w:tc>
          <w:tcPr>
            <w:tcW w:w="1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16.58%</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40,485,610</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16,666,667</w:t>
            </w:r>
          </w:p>
        </w:tc>
        <w:tc>
          <w:tcPr>
            <w:tcW w:w="1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13.65%</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16"/>
        </w:trPr>
        <w:tc>
          <w:tcPr>
            <w:tcW w:w="27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$4.10</w:t>
            </w:r>
            <w:r>
              <w:rPr>
                <w:rFonts w:ascii="Times New Roman" w:cs="Times New Roman" w:eastAsia="Times New Roman" w:hAnsi="Times New Roman"/>
                <w:sz w:val="25"/>
                <w:szCs w:val="25"/>
                <w:color w:val="auto"/>
                <w:vertAlign w:val="superscript"/>
              </w:rPr>
              <w:t>(3)</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12,195,122</w:t>
            </w:r>
          </w:p>
        </w:tc>
        <w:tc>
          <w:tcPr>
            <w:tcW w:w="1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9.99%</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$5.00</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8.19%</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$6.00</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8,333,333</w:t>
            </w:r>
          </w:p>
        </w:tc>
        <w:tc>
          <w:tcPr>
            <w:tcW w:w="1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6.83%</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$7.00</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7,142,857</w:t>
            </w:r>
          </w:p>
        </w:tc>
        <w:tc>
          <w:tcPr>
            <w:tcW w:w="1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5.85%</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line="25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the 83,353 Commitment Shares that we issued, together with our payment of the Cash Commitment Fee, to B. Riley Principal Capital II upon our execution of the Purchase Agreement on July 15, 2025, as consideration for its commitment to purchase shares of Common Stock at our direction upon the terms and subject to the conditions set forth in the Purchase Agreement. We have not and will not receive any cash consideration in exchange for issuing the Commitment Shares to B. Riley Principal Capital II. Although the Purchase Agreement provides that we may sell up to $50,000,000 of our Common Stock to B. Riley Principal Capital II, we are only registering 20,326,158 shares under the registration statement that includes this prospectus, consisting of the 83,353 Commitment Shares (for which we have not and will not receive any cash consideration and 20,242,805 Purchase Shares, which may or may not cover all of the shares of Common Stock we ultimately sell to B. Riley Principal Capital II under the Purchase Agreement. We will not issue more than an aggregate of 20,326,158 shares of our Common Stock (i.e., the Exchange Cap), unless (i) we obtain stockholder approval to issue shares of Common Stock in excess of the Exchange Cap in accordance with applicable Nasdaq rules, or (ii) the average price per share paid by B. Riley Principal Capital II for all of the shares of Common Stock that we direct B. Riley Principal Capital II to purchase from us pursuant to the Purchase Agreement, if any, equals or exceeds $2.91 per share (in which case the Exchange Cap limitation will not apply to issuances and sales of Common Stock pursuant to the Purchase Agreement). The number of shares to be issued as set forth in this column (i) does not give effect to the Exchange Cap and (ii) is without regard for the Beneficial Ownership Limitation.</w:t>
      </w:r>
    </w:p>
    <w:p>
      <w:pPr>
        <w:spacing w:after="0" w:line="102" w:lineRule="exact"/>
        <w:rPr>
          <w:rFonts w:ascii="Times New Roman" w:cs="Times New Roman" w:eastAsia="Times New Roman" w:hAnsi="Times New Roman"/>
          <w:sz w:val="18"/>
          <w:szCs w:val="18"/>
          <w:color w:val="auto"/>
        </w:rPr>
      </w:pPr>
    </w:p>
    <w:p>
      <w:pPr>
        <w:ind w:left="540" w:right="140" w:hanging="424"/>
        <w:spacing w:after="0" w:line="258"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is based on 101,765,775 shares of Common Stock outstanding as of July 14, 2025 (which, for these purposes, includes the 83,353 Commitment Shares we issued to B. Riley Principal Capital II on July 15, 2025), adjusted to include the issuance of the number of Purchase Shares set forth in the adjacent column that we would have sold to B. Riley Principal Capital II, assuming the average purchase price in the first column. The numerator is based on the number of Purchase Shares issuable under the Purchase Agreement (which are included in this prospectus) at the corresponding assumed average purchase price set forth in the first column.</w:t>
      </w:r>
    </w:p>
    <w:p>
      <w:pPr>
        <w:spacing w:after="0" w:line="88"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of our Common Stock on Nasdaq on July 30, 2025.</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not receive any proceeds from the sale of BRPC Shares by the Selling Stockholder.</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may receive up to $50,000,000 aggregate gross proceeds under the Purchase Agreement from any sales we make to B. Riley Principal Capital II pursuant to the Purchase Agreement. The net proceeds from sales, if any, under the Purchase Agreement, will depend on the frequency and prices at which we sell our Common Stock to B. Riley Principal Capital II after the date of this prospectus. See the section titled “</w:t>
      </w:r>
      <w:r>
        <w:rPr>
          <w:rFonts w:ascii="Times New Roman" w:cs="Times New Roman" w:eastAsia="Times New Roman" w:hAnsi="Times New Roman"/>
          <w:sz w:val="18"/>
          <w:szCs w:val="18"/>
          <w:i w:val="1"/>
          <w:iCs w:val="1"/>
          <w:color w:val="auto"/>
        </w:rPr>
        <w:t>The Committed Equity Facility</w:t>
      </w:r>
      <w:r>
        <w:rPr>
          <w:rFonts w:ascii="Times New Roman" w:cs="Times New Roman" w:eastAsia="Times New Roman" w:hAnsi="Times New Roman"/>
          <w:sz w:val="18"/>
          <w:szCs w:val="18"/>
          <w:color w:val="auto"/>
        </w:rPr>
        <w:t>” in this prospectus for more information.</w:t>
      </w:r>
    </w:p>
    <w:p>
      <w:pPr>
        <w:spacing w:after="0" w:line="180"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All of the Common Stock offered by Cantor pursuant to this prospectus will be sold by Cantor for its respective account. We will not receive any proceeds from the sale of shares of Common Stock by Cantor.</w:t>
      </w:r>
    </w:p>
    <w:p>
      <w:pPr>
        <w:spacing w:after="0" w:line="162"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We expect to use any proceeds that we receive under the Purchase Agreement to accelerate commercialization of the South Asia smart infrastructure contract previously announced on June 30, 2025 and investment in its next-generation chip, as well as for working capital and general corporate purposes. As of the date of this prospectus, we cannot specify with certainty all of the particular uses, and the respective amounts we may allocate to those uses, for any net proceeds we receive. Accordingly, we will retain broad discretion over the use of these proceeds.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82"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cannot currently determine the price or prices at which shares of Common Stock may be sold by the Selling Securityholders under this prospectus.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520"/>
          </w:cols>
          <w:pgMar w:left="320" w:top="482" w:right="10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future earnings, if any, to fund the development and growth of the business, and therefore, do not anticipate declaring or paying any cash dividends on our Common Stock in the foreseeable future. Any future determination related to our dividend policy will be made at the discretion of our board of directors after considering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of directors deems relevant.</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60"/>
          </w:cols>
          <w:pgMar w:left="320" w:top="482" w:right="5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Common Stock is currently listed on Nasdaq under the symbol “BZAI”. Prior to the consummation of the Business Combination, the Class A common stock was listed on Nasdaq under the symbol “BRKH”. As of July 30, 2025, there were 323 holders of record of our Common Stock and the closing sale price of our Common Stock was $4.10 per share. The actual number of stockholders of our Common Stock is greater than the number of record holders and includes holders of our Common Stock whose shares of Common Stock are held in street name by brokers and other nominees.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80"/>
          </w:cols>
          <w:pgMar w:left="320" w:top="482"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financial condition and results of operations together with the consolidated financial statements and the related notes and other financial information of Blaize included elsewhere in this prospectus, including our unaudited condensed consolidated financial statements for the three months ended March 31, 2025 and 2024 as well as our audited consolidated financial statements for the years ended December 31, 2024 and 2023. Some of the information contained in this discussion and analysis contains forward-looking statements that involve risks and uncertainties. As a result of many factors, such as those set forth in the section of the prospectus captioned “Risk Factors” and elsewhere in this prospectus, actual results may differ materially from those anticipated in these forward-looking statements.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Blaize is a provider of purpose-built, transformative artificial intelligence (AI)-enabled edge computing solutions that unite software and silicon to optimize AI from the edge to the core. 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Our mission is to enable enterprises to harness the power of AI at the edge, delivering real-time insights and decision- making capabilities with compelling speed and efficiency. With our innovative hardware and software solutions, we believe we are at the forefront of transforming industries and unlocking new possibilities in an increasingly connected and data-driven world.</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portfolio includes highly efficient programmable AI processors in a broad range of form factors, deployable across several verticals, including enterprise, commercial, industrial, defense and automotive. Blaize’s accelerated AI computing platforms enable applications such as computer vision, advanced video analytics and AI inference. The use of industry standards ensures rapid integration into existing workflows and systems by our customers. Our unique and rich set of software tools empower non-expert practitioners to deploy existing and novel AI applications on our hardware, with ease and speed, without the need to learn or use source code. All of this is combined into integrated AI solutions which are designed to deliver real-time insights and decision-making capabilities with substantial speed and efficiency.</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believe we are well positioned to empower organizations to process and analyze data in real time at the edge of the network, thereby enabling them to make informed decisions, unlock new business opportunities, and gain a competitive advantage in the rapidly evolving AI landscape. With a strong focus on innovation, performance, and partnership, we believe we will help to drive the future of AI accelerated computing at the edge.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Growth Strategy and Outlook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key elements of our strategy for growth include focusing on the following areas:</w:t>
      </w:r>
    </w:p>
    <w:p>
      <w:pPr>
        <w:spacing w:after="0" w:line="13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through expansion of our current products to reach deeper into our own industry’s verticals and expanding into adjacent verticals.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ecosystem of hardware manufacturers and independent software vendors specializing across a variety of industry verticals and form new partnerships with them to bring innovative turn-key solutions to market.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the features available in AI Studio in order to target a wider community of developers, including universities and other institutes of higher education.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market AI trends into the design of our next-generation SoC to further expand our total addressable market.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82"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Our pipeline continues to expand, driven by strong and accelerating market interest in Edge AI, and ongoing engagement with high-quality prospective customers across key sectors, including, but not limited to, Smart Cities, defense, and the automotive industry.</w:t>
      </w:r>
    </w:p>
    <w:p>
      <w:pPr>
        <w:spacing w:after="0" w:line="67" w:lineRule="exact"/>
        <w:rPr>
          <w:sz w:val="20"/>
          <w:szCs w:val="20"/>
          <w:color w:val="auto"/>
        </w:rPr>
      </w:pPr>
    </w:p>
    <w:p>
      <w:pPr>
        <w:ind w:left="1080" w:right="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technology agreement with KAIST to produce new edge AI computing applications across biomedical, neuromorphic, photovoltaics, thermoelectrics and green hydrogen.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with alwaysAI to revolutionize real-time insights with AI Edge Computing and advanced computer vision applications.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with VSBLTY to develop new AI-enabled hybrid technology for large-scale global safety and security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with Turbo Federal to procure contracts to accelerate AI solutions for the U.S. Department of Defense.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Merger and Reverse Recapitalization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January 13, 2025 (the “Closing Date”), we consummated the transactions (the “Merger”) contemplated by the Agreement and Plan of Merger dated December 22, 2023 (as amended on April 22, 2024, October 24, 2024 and November 21, 2024) with BurTech Acquisition Corp (“BurTech”), BurTech Merger Sub, Inc (“Merger Sub”), Blaize, Inc. (“Legacy Blaize”), and solely for the limited purposes of the transaction, Burkhan Capital LLC (“Burkhan”), a Delaware limited liability company and affiliate of BurTech, On the Closing Date, Merger Sub merged with and into Legacy Blaize, with Legacy Blaize surviving the Business Combination as a wholly owned subsidiary of the Company.</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Merger is accounted for as a reverse recapitalization, with BurTech being treated as the acquired company and Legacy Blaize was treated as the acquirer for financial reporting purposes. This accounting treatment is equivalent to Legacy Blaize issuing stock for the net assets of BurTech, accompanied by a recapitalization whereby no goodwill or other intangible assets are recorded. Operations prior to the Merger are those of Legacy Blaize. For periods prior to the Merger, the reported share and per share amounts have been retroactively converted (“Retroactive Conversion”) by applying the Exchange Ratio. Legacy Blaize shareholders were issued 87,314,968 shares of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Blaize Redeemable Convertible Preferred Stock, Convertible Promissory Notes and Warrants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Merger, all outstanding convertible notes, inclusive of accrued and unpaid interest, each of the issued and outstanding shares of redeemable convertible preferred stock, and all outstanding warrants of Legacy Blaize were automatically converted into shares of Company common stock.</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Upon the consummation of the Merger, (i) each outstanding stock option to purchase Legacy Blaize common stock was converted into a stock option of the Company, upon substantially the same terms and conditions as in effect with respect to the corresponding Legacy Blaize option, and the right to receive a number of earnout shares. Additionally, each Legacy Blaize restricted stock unit (“RSU”) was converted into an RSU of the Company, upon substantially the same terms and conditions as in effect with respect to the corresponding Legacy Blaize RSU, and the right to receive a number of earnout shares.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Arrangements entered into at time of Merger or assumed upon the consummation of the Merger: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Public and Private Placement Warrants</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BurTech’s 28,750,000 public warrants and 898,250 private warrants, both outstanding immediately prior to the consummation of the Merger, became warrants of the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2"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Shareholder Note Receivable</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Upon the consummation of the Merger, BurTech LP, LLC (“BurTech LP”) issued a secured promissory note and pledge agreement (the “Shareholder Note”) to BurTech in the principal amount of $8,753,744 in exchange for 750,000 shares of Company common stock. The principal of the Shareholder Note will decrease when BurTech LP pays for transaction costs that the Company assumed from BurTech in the Merger. The Shareholder Note bears interest at 7.0%, compounding annually on December 31 of each year and is secured by 2,000,000 shares of the Company’s common stock owned by BurTech LP.</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119" w:lineRule="exact"/>
        <w:rPr>
          <w:sz w:val="20"/>
          <w:szCs w:val="20"/>
          <w:color w:val="auto"/>
        </w:rPr>
      </w:pPr>
    </w:p>
    <w:p>
      <w:pPr>
        <w:ind w:left="120" w:right="280" w:firstLine="440"/>
        <w:spacing w:after="0" w:line="276" w:lineRule="auto"/>
        <w:rPr>
          <w:sz w:val="20"/>
          <w:szCs w:val="20"/>
          <w:color w:val="auto"/>
        </w:rPr>
      </w:pPr>
      <w:r>
        <w:rPr>
          <w:rFonts w:ascii="Times New Roman" w:cs="Times New Roman" w:eastAsia="Times New Roman" w:hAnsi="Times New Roman"/>
          <w:sz w:val="17"/>
          <w:szCs w:val="17"/>
          <w:color w:val="auto"/>
        </w:rPr>
        <w:t>On the Closing Date, in connection with the consummation of the Business Combination and as contemplated by the Merger Agreement, we entered into lock-up agreements (the “Lock-up Agreements”) with (i) certain of Blaize’s directors and officers, (ii) certain stockholders of Blaize and</w:t>
      </w:r>
    </w:p>
    <w:p>
      <w:pPr>
        <w:spacing w:after="0" w:line="1" w:lineRule="exact"/>
        <w:rPr>
          <w:sz w:val="20"/>
          <w:szCs w:val="20"/>
          <w:color w:val="auto"/>
        </w:rPr>
      </w:pPr>
    </w:p>
    <w:p>
      <w:pPr>
        <w:ind w:left="120" w:hanging="4"/>
        <w:spacing w:after="0" w:line="253" w:lineRule="auto"/>
        <w:tabs>
          <w:tab w:leader="none" w:pos="4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Burkhan, in each case, restricting the transfer of Company common stock and any shares of Company common stock issuable upon the exercise or settlement, as applicable, of stock options or restricted stock units held immediately after the Merger. The restrictions under the Lock-up Agreements began at Closing and end on the earlier of (x) the date that is 180 days after the Closing Date, (y) the last reported sale price of Blaize common stock reaching $12.00 per share (as adjusted for stock splits, stock dividends, reorganizations, recapitalizations and the like) for any 20 trading days within any 30-trading day period commencing at least 150 days after the Closing and (z) the liquidation of Blaize.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Non-Redemption Agreement</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December 31, 2024 and through January 13, 2025, BurTech, BurTech LP and Legacy Blaize entered into agreements (each, a “Non-Redemption Agreement” and collectively, the “Non-Redemption Agreements”) with one or more unaffiliated stockholders of BurTech (each, an “Investor”) who agreed not to redeem (or validly rescind any redemption requests on) their shares of BurTech Class A common stock, par value $0.0001 per share of the Company (“Non-Redeemed Shares”). On the Closing Date, such Class A common stock shares were exchanged for shares of the Company’s common stock and placed into an escrow account. In exchange for the foregoing commitments not to redeem the Non-Redeemed Shares, the Company and BurTech LP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Entering into the Non-Redemption Agreement is expected to increase the amount of funds that remain in the Company’s trust account following the Merger.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PIPE Subscription Agreements</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From December 31, 2024 and through January 13, 2025, BurTech and certain other subscribers (collectively, the “Subscribers”) entered into subscription agreements under which BurTech agreed to issue and sell to the Subscribers, immediately before the Closing Date, 1,529,500 shares of BurTech’s Class A common stock, par value $0.0001 per share (“PIPE Shares”) at a purchase price of $10.00 per share for an aggregate purchase price of $15,295,000, in a private placement. Such PIPE shares that were outstanding immediately prior to the Merger became shares of Company common stock.</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Earnout Arrangement</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Legacy Blaize shareholders and outstanding equity award holders (including stock options and RSUs) are entitled to Earnout Shares in four tranches upon the occurrence of four separate Triggering Events (defined below) during the Earnout Period, which commences on January 13, 2025 and ends on January 13, 2030. The Triggering Events are driven by whether our closing share price on 20 trading days out of 30 consecutive trading days equals or exceeds defined per share thresholds in each tranche as follows:</w:t>
      </w:r>
    </w:p>
    <w:p>
      <w:pPr>
        <w:spacing w:after="0" w:line="85" w:lineRule="exact"/>
        <w:rPr>
          <w:sz w:val="20"/>
          <w:szCs w:val="20"/>
          <w:color w:val="auto"/>
        </w:rPr>
      </w:pPr>
    </w:p>
    <w:p>
      <w:pPr>
        <w:ind w:left="5540" w:right="1660" w:hanging="4884"/>
        <w:spacing w:after="0" w:line="454" w:lineRule="auto"/>
        <w:tabs>
          <w:tab w:leader="none" w:pos="109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common stock price is greater than or equal to $12.50 per share, 3,750,000 Earnout Shares will be issued; and 62</w:t>
      </w:r>
    </w:p>
    <w:p>
      <w:pPr>
        <w:sectPr>
          <w:pgSz w:w="11900" w:h="16838" w:orient="portrait"/>
          <w:cols w:equalWidth="0" w:num="1">
            <w:col w:w="11120"/>
          </w:cols>
          <w:pgMar w:left="320" w:top="482"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common stock price is greater than or equal to $15.00 per share, an additional 3,750,000 Earnout Shares will be issued;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common stock price is greater than or equal to $17.50 per share, an additional 3,750,000 Earnout Shares will be issued;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common stock price is greater than or equal to $20.00 per share, an additional 3,750,000 Earnout Shares will be issued.</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Employees entitled to receive Earnout Shares with respect to options and RSUs, must provide service through the date the target is achieved and if an employee departs, the Earnout Shares are reallocated to the remaining pool of recipients who received the right to the Earnout Shares on the Closing Date.</w:t>
      </w:r>
    </w:p>
    <w:p>
      <w:pPr>
        <w:spacing w:after="0" w:line="176"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Additionally, Burkhan has the right to receive up to an aggregate amount of 2,600,000 shares of Blaize Class A Common Stock, 650,000 following the occurrence of each of the Triggering Events stated above (the “Burkhan Earnout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Proof of Concept Stage</w:t>
      </w:r>
    </w:p>
    <w:p>
      <w:pPr>
        <w:spacing w:after="0" w:line="11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 proof-of-concept stage (“POC”) represents that a proposal for a proof of concept has either been initiated or is in progress with a potential customer or partner. We utilize POCs to demonstrate the Blaize technology’s significant value proposition along with its tailored use scenarios and satisfaction of customer and/or partner requirements. As of March 31, 2025, a total of 40 POCs have been initiated or are in progress with a potential customer.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Partners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partner (“Partner”) consists of either an independent software vendor or independent hardware vendor with whom Blaize is working to integrate Blaize products and services into the vendor’s offerings for their customers. Such vendors may include OEMs, original design manufacturers, system integrators or hardware resellers or distributors, among others. As of March 31, 2025, Blaize has a total of 34 Partners.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Design Wins</w:t>
      </w:r>
    </w:p>
    <w:p>
      <w:pPr>
        <w:spacing w:after="0" w:line="119"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 design win (“Design Win”) represents that a Partner or a customer has selected Blaize’s products and/or services to be incorporated into a product that it intends to produce or consume, as applicable, and has confirmed that Blaize’s offerings integrate into such product accordingly. As of March 31, 2025, a total of 21 Design Wins have been confirmed with a Partner or customer.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Financial Definitions/Components of Results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currently derive revenue through a combination of:</w:t>
      </w:r>
    </w:p>
    <w:p>
      <w:pPr>
        <w:spacing w:after="0" w:line="13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services revenue, this involves providing customized design services to our customers, tailored to their specific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 — this encompasses the sale of our semiconductor products through various supply agreements.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21"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classify our costs and expenses into the following categories: Cost of revenue (exclusive of depreciation and amortization), Research and development expenses, Selling, general and administrative expenses, Depreciation and amortization expenses, Loss on purchase commitments and Transaction costs.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00"/>
          </w:cols>
          <w:pgMar w:left="320" w:top="482"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is primarily comprised of the cost of semiconductors purchased from subcontractors, including wafer fabrication, assembly, testing and packaging, board and device costs as well as indirect costs such as inventory carrying costs and inventory valuation reserves. In addition, cost of revenue (exclusive of depreciation and amortization) also includes direct labor costs associated with the servicing of our engineering services revenue contracts.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primarily consists of personnel costs for our research and development activities. Research and development expense also includes costs associated with the design and development of our application-specific integrated circuit and intellectual property (IP) solutions, such as third-party foundry costs, third party computer-aided tools and software licenses, third party IP licenses, reference design development, and allocated costs, such as facilities and information technology costs.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1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primarily consists of personnel-related expenses for our finance, human resources, information technology, and legal organizations. These expenses also include non-personnel costs, such as legal, audit, accounting services, advertising expenses, other professional fees as well as certain tax, corporate software licenses, and insurance-related expenses.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depreciation and amortization on long-lived assets such as computer equipment, capitalized software licenses, furniture and fixtures, leasehold improvements, office equipment and vehicles.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Loss on purchase commitments</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Loss on purchase commitments consists of contractual obligations to procure inventory from our third-party contract manufacturer and other suppliers that are in excess of expected demand and where the value of these purchase commitments may not be recoverable.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Transaction costs primarily consist of legal fees, consultant fees and other direct costs incurred to explore prior potential merger transactions.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2025 compared to the three months ended March 31, 2024</w:t>
      </w:r>
    </w:p>
    <w:p>
      <w:pPr>
        <w:spacing w:after="0" w:line="121"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following tables set forth Blaize’s condensed consolidated statements of operations data for the three months ended March 31, 2025 and 2024, respectively, as well as changes between periods. The period-to-period comparison of financial results is not necessarily indicative of future results.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3260" w:type="dxa"/>
            <w:vAlign w:val="bottom"/>
          </w:tcPr>
          <w:p>
            <w:pPr>
              <w:spacing w:after="0"/>
              <w:rPr>
                <w:sz w:val="15"/>
                <w:szCs w:val="15"/>
                <w:color w:val="auto"/>
              </w:rPr>
            </w:pPr>
          </w:p>
        </w:tc>
        <w:tc>
          <w:tcPr>
            <w:tcW w:w="1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60" w:type="dxa"/>
            <w:vAlign w:val="bottom"/>
            <w:tcBorders>
              <w:bottom w:val="single" w:sz="8" w:color="CCEEFF"/>
            </w:tcBorders>
            <w:vMerge w:val="continue"/>
          </w:tcPr>
          <w:p>
            <w:pPr>
              <w:spacing w:after="0"/>
              <w:rPr>
                <w:sz w:val="12"/>
                <w:szCs w:val="12"/>
                <w:color w:val="auto"/>
              </w:rPr>
            </w:pPr>
          </w:p>
        </w:tc>
        <w:tc>
          <w:tcPr>
            <w:tcW w:w="32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$1,007</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$549</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$458</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365"/>
        </w:trPr>
        <w:tc>
          <w:tcPr>
            <w:tcW w:w="3860" w:type="dxa"/>
            <w:vAlign w:val="bottom"/>
          </w:tcPr>
          <w:p>
            <w:pPr>
              <w:spacing w:after="0"/>
              <w:rPr>
                <w:sz w:val="24"/>
                <w:szCs w:val="24"/>
                <w:color w:val="auto"/>
              </w:rPr>
            </w:pPr>
          </w:p>
        </w:tc>
        <w:tc>
          <w:tcPr>
            <w:tcW w:w="326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64</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Revenue increased 83% to $1.0 million for the three months ended March 31, 2025 compared to approximately $0.5 million for the three months ended March 31, 2024. The increase was primarily due to sales of hardware product of $1.0 million, partially offset by a decrease of $0.5 million due to the end of our multi-year license and development contract with a strategic investor and the completion of a contract during the year ended December 31, 2024.</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Blaize’s revenue by customer geographical location:</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7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5"/>
                <w:szCs w:val="15"/>
                <w:color w:val="auto"/>
              </w:rPr>
            </w:pPr>
          </w:p>
        </w:tc>
        <w:tc>
          <w:tcPr>
            <w:tcW w:w="178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17"/>
        </w:trPr>
        <w:tc>
          <w:tcPr>
            <w:tcW w:w="58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5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top w:val="single" w:sz="8" w:color="auto"/>
            </w:tcBorders>
            <w:gridSpan w:val="2"/>
            <w:vMerge w:val="restart"/>
          </w:tcPr>
          <w:p>
            <w:pPr>
              <w:spacing w:after="0"/>
              <w:rPr>
                <w:sz w:val="10"/>
                <w:szCs w:val="10"/>
                <w:color w:val="auto"/>
              </w:rPr>
            </w:pPr>
          </w:p>
        </w:tc>
        <w:tc>
          <w:tcPr>
            <w:tcW w:w="620" w:type="dxa"/>
            <w:vAlign w:val="bottom"/>
            <w:tcBorders>
              <w:top w:val="single" w:sz="8" w:color="auto"/>
            </w:tcBorders>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620" w:type="dxa"/>
            <w:vAlign w:val="bottom"/>
          </w:tcPr>
          <w:p>
            <w:pPr>
              <w:spacing w:after="0"/>
              <w:rPr>
                <w:sz w:val="10"/>
                <w:szCs w:val="10"/>
                <w:color w:val="auto"/>
              </w:rPr>
            </w:pPr>
          </w:p>
        </w:tc>
        <w:tc>
          <w:tcPr>
            <w:tcW w:w="5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top w:val="single" w:sz="8" w:color="auto"/>
            </w:tcBorders>
            <w:vMerge w:val="restart"/>
          </w:tcPr>
          <w:p>
            <w:pPr>
              <w:spacing w:after="0"/>
              <w:rPr>
                <w:sz w:val="10"/>
                <w:szCs w:val="10"/>
                <w:color w:val="auto"/>
              </w:rPr>
            </w:pPr>
          </w:p>
        </w:tc>
        <w:tc>
          <w:tcPr>
            <w:tcW w:w="620" w:type="dxa"/>
            <w:vAlign w:val="bottom"/>
            <w:tcBorders>
              <w:top w:val="single" w:sz="8" w:color="auto"/>
            </w:tcBorders>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40" w:type="dxa"/>
            <w:vAlign w:val="bottom"/>
            <w:tcBorders>
              <w:bottom w:val="single" w:sz="8" w:color="CCEEFF"/>
            </w:tcBorders>
            <w:vMerge w:val="continue"/>
          </w:tcPr>
          <w:p>
            <w:pPr>
              <w:spacing w:after="0"/>
              <w:rPr>
                <w:sz w:val="15"/>
                <w:szCs w:val="15"/>
                <w:color w:val="auto"/>
              </w:rPr>
            </w:pPr>
          </w:p>
        </w:tc>
        <w:tc>
          <w:tcPr>
            <w:tcW w:w="560" w:type="dxa"/>
            <w:vAlign w:val="bottom"/>
            <w:tcBorders>
              <w:bottom w:val="single" w:sz="8" w:color="auto"/>
            </w:tcBorders>
            <w:gridSpan w:val="2"/>
            <w:vMerge w:val="continue"/>
          </w:tcPr>
          <w:p>
            <w:pPr>
              <w:spacing w:after="0"/>
              <w:rPr>
                <w:sz w:val="15"/>
                <w:szCs w:val="15"/>
                <w:color w:val="auto"/>
              </w:rPr>
            </w:pPr>
          </w:p>
        </w:tc>
        <w:tc>
          <w:tcPr>
            <w:tcW w:w="560" w:type="dxa"/>
            <w:vAlign w:val="bottom"/>
            <w:tcBorders>
              <w:bottom w:val="single" w:sz="8" w:color="CCEEFF"/>
            </w:tcBorders>
            <w:gridSpan w:val="2"/>
            <w:vMerge w:val="continue"/>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gridSpan w:val="2"/>
            <w:vMerge w:val="continue"/>
          </w:tcPr>
          <w:p>
            <w:pPr>
              <w:spacing w:after="0"/>
              <w:rPr>
                <w:sz w:val="15"/>
                <w:szCs w:val="15"/>
                <w:color w:val="auto"/>
              </w:rPr>
            </w:pPr>
          </w:p>
        </w:tc>
        <w:tc>
          <w:tcPr>
            <w:tcW w:w="560" w:type="dxa"/>
            <w:vAlign w:val="bottom"/>
            <w:tcBorders>
              <w:bottom w:val="single" w:sz="8" w:color="CCEEFF"/>
            </w:tcBorders>
            <w:vMerge w:val="continue"/>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spacing w:after="0"/>
              <w:rPr>
                <w:sz w:val="18"/>
                <w:szCs w:val="18"/>
                <w:color w:val="auto"/>
              </w:rPr>
            </w:pPr>
          </w:p>
        </w:tc>
        <w:tc>
          <w:tcPr>
            <w:tcW w:w="1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215</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560" w:type="dxa"/>
            <w:vAlign w:val="bottom"/>
            <w:vMerge w:val="continue"/>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62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8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30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13,118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3"/>
              </w:rPr>
              <w:t>4,094</w:t>
            </w:r>
          </w:p>
        </w:tc>
        <w:tc>
          <w:tcPr>
            <w:tcW w:w="118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9,024</w:t>
            </w:r>
          </w:p>
        </w:tc>
        <w:tc>
          <w:tcPr>
            <w:tcW w:w="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13,357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3"/>
              </w:rPr>
              <w:t>3,988</w:t>
            </w:r>
          </w:p>
        </w:tc>
        <w:tc>
          <w:tcPr>
            <w:tcW w:w="118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9,369</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118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11,990</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26,644%</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39,028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8,686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30,342</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Cost of revenue (excluding depreciation and amortization) for the three months ended March 31, 2025 reflects an increase of $21,000, or 7%, compared to the three months ended March 31, 2024. This increase was primarily driven by $0.3 million related to hardware sales during the three months ended March 31, 2025, which was partially offset by a decrease of $0.2 million related to inventory carrying costs with an outside supplier. Cost of revenue for the three months ended March 31, 2025 also included a $0.6 million benefit relating to the sale of inventory whose carrying amount had been written down to below original cost in a prior period.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for the three months ended March 31, 2025 increased $9.0 million or 220% compared to the three months ended March 31, 2024. The increase was driven by an increase in personnel costs of $6.9 million as a result of market-based salary adjustments made in the year ended December 31, 2024 which were implemented after the three months ended March 31, 2024 as well as additional stock-based compensation connected to the consummation of the Merger and an increase of $1.8 million in spending associated with our new chip development. We expect research and development to continue to increase to support the development of our next generation product portfolio in future years.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for the three months ended March 31, 2025 increased $9.4 million or 235% compared to the three months ended March 31, 2024. The increase was primarily due to a</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80"/>
          </w:cols>
          <w:pgMar w:left="320" w:top="482"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$6.3 million increase in employee related costs associated with the hiring of new Company executives, market-based salary adjustments (as previously described), additional stock-based compensation connected to the consummation of the Merger and the building of our internal sales team. We also incurred additional costs such as a $1.4 million increase in professional services costs incurred in support of the requirements of being a public company and a $1.7 million increase in marketing and other sundry costs relating to activities focused on our sales pipeline.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the three months ended March 31, 2025 decreased $62,000 or 25% compared to the three months ended March 31, 2024. The decrease was primarily due to a decrease in depreciation costs for computer equipment and server and network equipment that were fully depreciated in the comparative period.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Transaction costs increased by $12.0 million as a direct result of the Merger.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 net</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6"/>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00" w:type="dxa"/>
            <w:vAlign w:val="bottom"/>
            <w:gridSpan w:val="2"/>
          </w:tcPr>
          <w:p>
            <w:pPr>
              <w:jc w:val="right"/>
              <w:ind w:right="641"/>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   %</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foreign exchange transactions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0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96"/>
              </w:rPr>
              <w:t>(165,703)</w:t>
            </w:r>
          </w:p>
        </w:tc>
        <w:tc>
          <w:tcPr>
            <w:tcW w:w="80" w:type="dxa"/>
            <w:vAlign w:val="bottom"/>
          </w:tcPr>
          <w:p>
            <w:pPr>
              <w:spacing w:after="0"/>
              <w:rPr>
                <w:sz w:val="18"/>
                <w:szCs w:val="18"/>
                <w:color w:val="auto"/>
              </w:rPr>
            </w:pPr>
          </w:p>
        </w:tc>
        <w:tc>
          <w:tcPr>
            <w:tcW w:w="7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w w:val="98"/>
              </w:rPr>
              <w:t>(4,651)</w:t>
            </w:r>
          </w:p>
        </w:tc>
        <w:tc>
          <w:tcPr>
            <w:tcW w:w="1320" w:type="dxa"/>
            <w:vAlign w:val="bottom"/>
            <w:gridSpan w:val="4"/>
          </w:tcPr>
          <w:p>
            <w:pPr>
              <w:jc w:val="right"/>
              <w:ind w:right="281"/>
              <w:spacing w:after="0"/>
              <w:rPr>
                <w:sz w:val="20"/>
                <w:szCs w:val="20"/>
                <w:color w:val="auto"/>
              </w:rPr>
            </w:pPr>
            <w:r>
              <w:rPr>
                <w:rFonts w:ascii="Times New Roman" w:cs="Times New Roman" w:eastAsia="Times New Roman" w:hAnsi="Times New Roman"/>
                <w:sz w:val="18"/>
                <w:szCs w:val="18"/>
                <w:color w:val="auto"/>
              </w:rPr>
              <w:t>(161,052)</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3,463%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(60,345)</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w w:val="98"/>
              </w:rPr>
              <w:t>(3,515)</w:t>
            </w:r>
          </w:p>
        </w:tc>
        <w:tc>
          <w:tcPr>
            <w:tcW w:w="1320" w:type="dxa"/>
            <w:vAlign w:val="bottom"/>
            <w:gridSpan w:val="4"/>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(56,830)</w:t>
            </w: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earnout share liabilities</w:t>
            </w:r>
          </w:p>
        </w:tc>
        <w:tc>
          <w:tcPr>
            <w:tcW w:w="10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116,518</w:t>
            </w:r>
          </w:p>
        </w:tc>
        <w:tc>
          <w:tcPr>
            <w:tcW w:w="80" w:type="dxa"/>
            <w:vAlign w:val="bottom"/>
          </w:tcPr>
          <w:p>
            <w:pPr>
              <w:spacing w:after="0"/>
              <w:rPr>
                <w:sz w:val="18"/>
                <w:szCs w:val="18"/>
                <w:color w:val="auto"/>
              </w:rPr>
            </w:pPr>
          </w:p>
        </w:tc>
        <w:tc>
          <w:tcPr>
            <w:tcW w:w="7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4"/>
          </w:tcPr>
          <w:p>
            <w:pPr>
              <w:jc w:val="right"/>
              <w:ind w:right="341"/>
              <w:spacing w:after="0"/>
              <w:rPr>
                <w:sz w:val="20"/>
                <w:szCs w:val="20"/>
                <w:color w:val="auto"/>
              </w:rPr>
            </w:pPr>
            <w:r>
              <w:rPr>
                <w:rFonts w:ascii="Times New Roman" w:cs="Times New Roman" w:eastAsia="Times New Roman" w:hAnsi="Times New Roman"/>
                <w:sz w:val="18"/>
                <w:szCs w:val="18"/>
                <w:color w:val="auto"/>
              </w:rPr>
              <w:t>116,518</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210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(109,578</w:t>
            </w:r>
          </w:p>
        </w:tc>
        <w:tc>
          <w:tcPr>
            <w:tcW w:w="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(8,444</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(101,134</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Total other expense, net</w:t>
      </w:r>
    </w:p>
    <w:p>
      <w:pPr>
        <w:spacing w:after="0" w:line="119" w:lineRule="exact"/>
        <w:rPr>
          <w:sz w:val="20"/>
          <w:szCs w:val="20"/>
          <w:color w:val="auto"/>
        </w:rPr>
      </w:pPr>
    </w:p>
    <w:p>
      <w:pPr>
        <w:jc w:val="both"/>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Total other expense, net for the three months ended March 31, 2025 reflects an increase of $101.1 million, or 1,198%, compared to the three months ended March 31, 2024.</w:t>
      </w:r>
    </w:p>
    <w:p>
      <w:pPr>
        <w:spacing w:after="0" w:line="162"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Total other expense, net for the three months ended March 31, 2025 was primarily comprised of the total net change in fair value of our convertible notes and warrant liabilities of $226.0 million and the change in our earnout liabilities of $116.5 million.</w:t>
      </w:r>
    </w:p>
    <w:p>
      <w:pPr>
        <w:spacing w:after="0" w:line="162"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Total other expense, net for the three months ended March 31, 2024 was primarily comprised of the total net change in fair value of our convertible notes and warrant liabilities of $8.2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5"/>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80" w:type="dxa"/>
            <w:vAlign w:val="bottom"/>
            <w:vMerge w:val="continue"/>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9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2025 </w:t>
            </w: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60" w:type="dxa"/>
            <w:vAlign w:val="bottom"/>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2024 </w:t>
            </w:r>
          </w:p>
        </w:tc>
        <w:tc>
          <w:tcPr>
            <w:tcW w:w="500" w:type="dxa"/>
            <w:vAlign w:val="bottom"/>
          </w:tcPr>
          <w:p>
            <w:pPr>
              <w:spacing w:after="0"/>
              <w:rPr>
                <w:sz w:val="12"/>
                <w:szCs w:val="12"/>
                <w:color w:val="auto"/>
              </w:rPr>
            </w:pP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7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3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79"/>
              </w:rPr>
              <w:t>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provision for income taxes amounted to approximately $0.2 million for the three months ended March 31, 2025 and 2024, respectively, and our effective tax rate was approximately (0.1)% and (1.4)%, respectively. The effective income tax rate was primarily driven by the valuation allowance which is driven by the deferred tax assets arising from capitalized research and experimental expenditures and the net operating losses.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00"/>
          </w:cols>
          <w:pgMar w:left="320" w:top="482"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Net loss was approximately $147.8 million for the three months ended March 31, 2025 compared to a net loss of approximately $16.7 million for the three months ended March 31, 2024. The increase in net loss for the three months ended March 31, 2025 compared to the three months ended March 31, 2024 was primarily attributable to the $226.0 million change in fair value of convertible notes and warrant liabilities and the increase in loss from operations of $29.9 million, partially offset by the $116.5 million change in the fair value of earnout liabilities.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Blaize’s condensed consolidated financial statements have been prepared on a going concern basis, which assumes that we will be able to meet our obligations and continue our operations for the foreseeable future. Our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Since inception of Blaize and through March 31, 2025, we have funded our operations primarily with cash flows from contributions from founders or other investors and other financing activities. We have incurred recurring losses and negative cash flows since our inception, including a net loss of $147.8 million and $16.7 million for the three months ended March 31, 2025 and 2024, respectively. As of March 31, 2025, we had cash and cash equivalents of approximately $45.0 million, and an accumulated deficit of $577.0 million.</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ability to continue to meet our obligations, to achieve our business objectives and continue as a going concern is dependent upon several factors, including our revenue growth rate, the timing and extent of spending to support further sales and marketing initiatives as well as our research and development efforts. In order to finance these opportunities, we will need to raise additional financing. While there can be no assurances, we intend to raise such capital through issuances of additional debt financing and public or private equity offerings or other means. If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8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above, in connection with our assessment of going concern considerations in accordance with Financial Accounting Standard Board’s (“FASB”) Accounting Standards Update (“ASU”) 2014-15, Disclosures of Uncertainties about an Entity’s Ability to Continue as a Going Concern, we have determined that our liquidity condition raises substantial doubt about our ability to continue as a going concern through a year from the date that our unaudited condensed consolidated financial statements were available to be issued.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 for the three months ended March 31, 2025 and 2024</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operating, investing and financing activities: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8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(15,944)</w:t>
            </w:r>
          </w:p>
        </w:tc>
        <w:tc>
          <w:tcPr>
            <w:tcW w:w="5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(7,363)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11,343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11,372</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5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11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$15.9 million during the three months ended March 31, 2025, compared to $7.4 million for the three months ended March 31, 2024. The increase in cash used in operating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82"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activities was primarily due to an increase of $131.0 million in net loss and a decrease of $116.5 million in the fair value of our earnout share liabilities, partially offset by an increase of $217.9 million in the fair value of our convertible notes and warrant liabilities, an increase of $10.7 million in stock-based compensation, and a decrease of $8.5 million in prepaid expenses and other current assets.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19" w:lineRule="exact"/>
        <w:rPr>
          <w:sz w:val="20"/>
          <w:szCs w:val="20"/>
          <w:color w:val="auto"/>
        </w:rPr>
      </w:pPr>
    </w:p>
    <w:p>
      <w:pPr>
        <w:ind w:left="120" w:right="600" w:firstLine="440"/>
        <w:spacing w:after="0" w:line="312" w:lineRule="auto"/>
        <w:rPr>
          <w:sz w:val="20"/>
          <w:szCs w:val="20"/>
          <w:color w:val="auto"/>
        </w:rPr>
      </w:pPr>
      <w:r>
        <w:rPr>
          <w:rFonts w:ascii="Times New Roman" w:cs="Times New Roman" w:eastAsia="Times New Roman" w:hAnsi="Times New Roman"/>
          <w:sz w:val="17"/>
          <w:szCs w:val="17"/>
          <w:color w:val="auto"/>
        </w:rPr>
        <w:t>For the three months ended March 31, 2025 and 2024, we used $ 0.7 million and $0.2 million of cash to purchase property and equipment, respectively. The increase of $0.5 million during the three months ended March 31, 2025 was primarily due to the licensing of software.</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three months ended March 31, 2025, net cash provided by financing activities was $11.3 million, which primarily consisted of</w:t>
      </w:r>
    </w:p>
    <w:p>
      <w:pPr>
        <w:spacing w:after="0" w:line="27"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$15.9 million of proceeds from the Merger and PIPE financing, partially offset by the $4.5 million payment of deferred offering costs. This compares to net cash provided by financing activities for the three months ended March 31, 2024 of $11.4 million, which primarily consisted of $11.5 million in proceeds from the issuance of secured convertible notes under the 2023 Note Purchase Agreement.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2025 and December 31, 2024, we had outstanding purchase orders and contractual obligations totaling $0.3 million and</w:t>
      </w:r>
    </w:p>
    <w:p>
      <w:pPr>
        <w:spacing w:after="0" w:line="27" w:lineRule="exact"/>
        <w:rPr>
          <w:sz w:val="20"/>
          <w:szCs w:val="20"/>
          <w:color w:val="auto"/>
        </w:rPr>
      </w:pPr>
    </w:p>
    <w:p>
      <w:pPr>
        <w:ind w:left="120" w:right="60"/>
        <w:spacing w:after="0" w:line="251" w:lineRule="auto"/>
        <w:rPr>
          <w:sz w:val="20"/>
          <w:szCs w:val="20"/>
          <w:color w:val="auto"/>
        </w:rPr>
      </w:pPr>
      <w:r>
        <w:rPr>
          <w:rFonts w:ascii="Times New Roman" w:cs="Times New Roman" w:eastAsia="Times New Roman" w:hAnsi="Times New Roman"/>
          <w:sz w:val="18"/>
          <w:szCs w:val="18"/>
          <w:color w:val="auto"/>
        </w:rPr>
        <w:t>$0.2 million, respectively, to procure inventory. The majority of our outstanding inventory purchase orders and preauthorized commitments to procure strategic components based on our expected demand are placed with our primary third-party contract manufacturer and a semiconductor supplier. We have an obligation to purchase inventories that have been purchased by the contract manufacturer when components have not been consumed within a period defined in the terms of our agreement. While we expect such purchased components to be used in future production of our finished goods, these components are considered in our reserve estimate for excess and obsolete inventory. Furthermore, we accrue for losses on commitments for the future purchase on non-cancelable and non- returnable components from this contract manufacturer at the time that circumstances, such as changes in demand, indicated that the value of the components many not be recoverable, the loss is probable and management has the ability to reasonably estimate the amount of the loss. As of March 31, 2025 and December 31, 2024, the liability balance of our accrued loss on accrued purchase commitments equaled $0.6 million.</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 the year ended December 31, 2024 compared to year ended December 31, 2023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Blaize’s consolidated statements of operations data for the years ended December 31, 2024 and 2023, respectively.</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(in thousands)</w:t>
            </w:r>
          </w:p>
        </w:tc>
        <w:tc>
          <w:tcPr>
            <w:tcW w:w="24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3"/>
                <w:szCs w:val="13"/>
                <w:color w:val="auto"/>
              </w:rPr>
            </w:pPr>
          </w:p>
        </w:tc>
        <w:tc>
          <w:tcPr>
            <w:tcW w:w="6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080" w:type="dxa"/>
            <w:vAlign w:val="bottom"/>
            <w:vMerge w:val="continue"/>
          </w:tcPr>
          <w:p>
            <w:pPr>
              <w:spacing w:after="0"/>
              <w:rPr>
                <w:sz w:val="15"/>
                <w:szCs w:val="15"/>
                <w:color w:val="auto"/>
              </w:rPr>
            </w:pPr>
          </w:p>
        </w:tc>
        <w:tc>
          <w:tcPr>
            <w:tcW w:w="24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8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Engineering services revenue - related party</w:t>
            </w:r>
          </w:p>
        </w:tc>
        <w:tc>
          <w:tcPr>
            <w:tcW w:w="28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$ 1,525</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$ 3,840</w:t>
            </w: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$(2,315)</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 revenue</w:t>
            </w:r>
          </w:p>
        </w:tc>
        <w:tc>
          <w:tcPr>
            <w:tcW w:w="28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29</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2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8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4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220" w:type="dxa"/>
            <w:vAlign w:val="bottom"/>
          </w:tcPr>
          <w:p>
            <w:pPr>
              <w:spacing w:after="0"/>
              <w:rPr>
                <w:sz w:val="19"/>
                <w:szCs w:val="19"/>
                <w:color w:val="auto"/>
              </w:rPr>
            </w:pP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(2,302)</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and expenses:</w:t>
            </w:r>
          </w:p>
        </w:tc>
        <w:tc>
          <w:tcPr>
            <w:tcW w:w="1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28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579</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3,656</w:t>
            </w: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(3,077)</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25,094</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18,115</w:t>
            </w:r>
          </w:p>
        </w:tc>
        <w:tc>
          <w:tcPr>
            <w:tcW w:w="12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6,979</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22,413</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17,303</w:t>
            </w:r>
          </w:p>
        </w:tc>
        <w:tc>
          <w:tcPr>
            <w:tcW w:w="12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5,110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886</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2,040</w:t>
            </w:r>
          </w:p>
        </w:tc>
        <w:tc>
          <w:tcPr>
            <w:tcW w:w="12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(1,154)</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365"/>
        </w:trPr>
        <w:tc>
          <w:tcPr>
            <w:tcW w:w="5080" w:type="dxa"/>
            <w:vAlign w:val="bottom"/>
          </w:tcPr>
          <w:p>
            <w:pPr>
              <w:spacing w:after="0"/>
              <w:rPr>
                <w:sz w:val="24"/>
                <w:szCs w:val="24"/>
                <w:color w:val="auto"/>
              </w:rPr>
            </w:pPr>
          </w:p>
        </w:tc>
        <w:tc>
          <w:tcPr>
            <w:tcW w:w="1840" w:type="dxa"/>
            <w:vAlign w:val="bottom"/>
          </w:tcPr>
          <w:p>
            <w:pPr>
              <w:jc w:val="right"/>
              <w:ind w:right="1232"/>
              <w:spacing w:after="0"/>
              <w:rPr>
                <w:sz w:val="20"/>
                <w:szCs w:val="20"/>
                <w:color w:val="auto"/>
              </w:rPr>
            </w:pPr>
            <w:r>
              <w:rPr>
                <w:rFonts w:ascii="Times New Roman" w:cs="Times New Roman" w:eastAsia="Times New Roman" w:hAnsi="Times New Roman"/>
                <w:sz w:val="18"/>
                <w:szCs w:val="18"/>
                <w:color w:val="auto"/>
              </w:rPr>
              <w:t>68</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6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3"/>
                <w:szCs w:val="13"/>
                <w:color w:val="auto"/>
              </w:rPr>
            </w:pPr>
          </w:p>
        </w:tc>
        <w:tc>
          <w:tcPr>
            <w:tcW w:w="180" w:type="dxa"/>
            <w:vAlign w:val="bottom"/>
            <w:vMerge w:val="restart"/>
          </w:tcPr>
          <w:p>
            <w:pPr>
              <w:spacing w:after="0"/>
              <w:rPr>
                <w:sz w:val="13"/>
                <w:szCs w:val="13"/>
                <w:color w:val="auto"/>
              </w:rPr>
            </w:pPr>
          </w:p>
        </w:tc>
        <w:tc>
          <w:tcPr>
            <w:tcW w:w="6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3"/>
                <w:szCs w:val="13"/>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9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4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217</w:t>
            </w:r>
          </w:p>
        </w:tc>
        <w:tc>
          <w:tcPr>
            <w:tcW w:w="12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105</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112</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49,189</w:t>
            </w:r>
          </w:p>
        </w:tc>
        <w:tc>
          <w:tcPr>
            <w:tcW w:w="12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42,384</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6,805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(47,635)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4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9,107</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(35,832)</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(35,832)</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(464)</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(3,145)</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(2,681)</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1,903</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(255)</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2,158</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gain on foreign exchange transactions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(228)</w:t>
            </w:r>
          </w:p>
        </w:tc>
        <w:tc>
          <w:tcPr>
            <w:tcW w:w="12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50</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278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(10,022)</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(9,532)</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490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(5,701)</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(945)</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4,756</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30"/>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expense</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(49,659)</w:t>
            </w:r>
          </w:p>
        </w:tc>
        <w:tc>
          <w:tcPr>
            <w:tcW w:w="40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(35,147)</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(62,147)</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(88,187)</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(26,040)</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(952)</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(598)</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354</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(61,195)</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(87,589)</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(26,394)</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Revenue decreased 60% to $1.6 million for the year ended December 31, 2024 compared to approximately $3.9 million for the year ended December 31, 2023, primarily due to us reaching the end of our multi-year license and development contract with a strategic investor resulting in a $2.6 million decrease compared to the year ended December 31, 2023. This reduction was partially offset by $0.3 million associated with a new development arrangement entered into with a separate strategic investor during the year ended December 31, 2024.</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 for the year ended December 31, 2024 reflects a decrease of $3.1 million, or 84%,</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compared to the year ended December 31, 2023. This decrease was primarily driven by a $2.9 million decrease in charges for excess inventory and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$0.4 million decrease in direct labor costs commensurate with the decrease in engineering services revenue, partially offset by a $0.1 million increase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costs for inventory carrying costs with an outside supplier and a $0.1 reduction in other miscellaneous costs.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for the year ended December 31, 2024 increased $7.0 million or 39% compared to the year ended December 31, 2023. The increase was primarily driven by an increase in personnel costs of $4.4 million, an increase in IP licenses and design services of $2.4 million associated with the development of our new chip, an increase in other miscellaneous research and development costs of $0.2 million, and an increase in integration service of $0.6 million, partially offset by a $0.6 million reduction in external engineering services. We expect research and development to continue to increase to support the development of our next generation product portfolio in future years.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for the year ended December 31, 2024 increased $5.1 million or 30% compared to the year ended December 31, 2023. The increase was primarily due to a $3.5 million increase in employee related costs, a $1.1 million increase in legal and accounting costs incurred in support of public company readiness efforts, a $0.5 million increase in marketing costs, and a $0.5 million increase in business development costs. The increases were partially offset by a $0.5 million reduction in facility costs.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40"/>
          </w:cols>
          <w:pgMar w:left="320" w:top="482"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the year ended December 31, 2024 decreased $1.2 million or 57% compared to the year ended December 31, 2023. The decrease was primarily due to a decrease in depreciation costs for computer equipment and server and network equipment that were fully depreciated in the comparative period.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Loss on purchase commitments</w:t>
      </w:r>
    </w:p>
    <w:p>
      <w:pPr>
        <w:spacing w:after="0" w:line="119"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We did not record a loss on purchase commitments for the year ended December 31, 2024 as compared to $1.2 million for the year ended December 31, 2023 as a result of not having any additional purchase commitments requiring a loss on purchase commitment accrual.</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Total other expense</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Total other expense for the years ended December 31, 2024 and 2023 amounted to a net expense of $14.5 million and $49.7 million, respectively, for a decrease of net expense period over period of $35.1 million.</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Total other expense for the year ended December 31, 2024 was primarily comprised of the total net change in fair value of our convertible notes and warrant liabilities of $15.7 million, additional expenses of $0.7 million, offset by other income from investments of $1.9 million.</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Total other expense for the year ended December 31, 2023 was primarily comprised of the Pay-to-Play financing charge of $35.8 million and the debt financing charge on the convertible notes issued under the 2023 NPA of $3.1 million as well as the total change in fair value of the convertible notes and warrant liabilities of $10.5 million.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The benefit from the provision for income taxes amounted to approximately $1.0 million for the year ended December 31, 2024 and our effective tax rate was approximately 1.53%. The effective income tax rate was primarily driven by remeasurement of our warrant liability as well as our valuation allowance which is driven by the deferred tax assets arising from capitalized research and experimental expenditures and the net operating losses.</w:t>
      </w:r>
    </w:p>
    <w:p>
      <w:pPr>
        <w:spacing w:after="0" w:line="158" w:lineRule="exact"/>
        <w:rPr>
          <w:sz w:val="20"/>
          <w:szCs w:val="20"/>
          <w:color w:val="auto"/>
        </w:rPr>
      </w:pPr>
    </w:p>
    <w:p>
      <w:pPr>
        <w:jc w:val="both"/>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The benefit from the provision for income taxes amounted to approximately $0.6 million for the year ended December 31, 2023 and our effective tax rate was approximately 0.68%. Income tax benefit for the year ended December 31, 2023 was primarily attributable to foreign taxes payable on net income generated outside the United States. The effective income tax rate was primarily driven by the impact of the tax treatment of</w:t>
      </w:r>
    </w:p>
    <w:p>
      <w:pPr>
        <w:spacing w:after="0" w:line="1" w:lineRule="exact"/>
        <w:rPr>
          <w:sz w:val="20"/>
          <w:szCs w:val="20"/>
          <w:color w:val="auto"/>
        </w:rPr>
      </w:pPr>
    </w:p>
    <w:p>
      <w:pPr>
        <w:ind w:left="120" w:right="360"/>
        <w:spacing w:after="0" w:line="260" w:lineRule="auto"/>
        <w:rPr>
          <w:sz w:val="20"/>
          <w:szCs w:val="20"/>
          <w:color w:val="auto"/>
        </w:rPr>
      </w:pPr>
      <w:r>
        <w:rPr>
          <w:rFonts w:ascii="Times New Roman" w:cs="Times New Roman" w:eastAsia="Times New Roman" w:hAnsi="Times New Roman"/>
          <w:sz w:val="18"/>
          <w:szCs w:val="18"/>
          <w:color w:val="auto"/>
        </w:rPr>
        <w:t>the Pay-to-Play equity financing charge and the valuation allowance which is driven by the deferred tax assets arising from capitalized research and experimental expenditures and the net operating losses.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Net loss was approximately $61.2 million for the year ended December 31, 2024 compared to net loss of approximately $87.6 million for the year ended December 31, 2023. The decrease in net loss for the year ended December 31, 2024 of $26.4 million compared to the year ended December 31, 2023 was primarily attributable to the nonrecurring Pay-to-Play financing charge of $35.8 million, the decrease in debt financing charge of $2.7 million, and an increase in other income (expense), net of $2.2 million which was partially offset by the $9.1 million increase in loss from operations and the $5.2 million increase in expense associated with the change in fair value of convertible notes and warrant liabilities as discussed above.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82"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Blaize’s consolidated financial statements have been prepared on a going concern basis, which assumes that we will be able to meet our obligations and continue our operations for the foreseeable future. Our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Since inception of Blaize and through December 31, 2024, we have funded our operations primarily with cash flows from contributions from founders or other investors and other financing activities. We have incurred recurring losses and negative cash flows since its inception, including a net loss of $61.2 million and $87.6 million for the years ended December 31, 2024 and 2023, respectively. As of December 31, 2024, we had cash and cash equivalents of approximately $50.2 million, a net working capital deficit of $114.5 million, and an accumulated deficit of $429.3 million.</w:t>
      </w:r>
    </w:p>
    <w:p>
      <w:pPr>
        <w:spacing w:after="0" w:line="180" w:lineRule="exact"/>
        <w:rPr>
          <w:sz w:val="20"/>
          <w:szCs w:val="20"/>
          <w:color w:val="auto"/>
        </w:rPr>
      </w:pPr>
    </w:p>
    <w:p>
      <w:pPr>
        <w:jc w:val="both"/>
        <w:ind w:left="120" w:right="360" w:firstLine="440"/>
        <w:spacing w:after="0" w:line="256" w:lineRule="auto"/>
        <w:rPr>
          <w:sz w:val="20"/>
          <w:szCs w:val="20"/>
          <w:color w:val="auto"/>
        </w:rPr>
      </w:pPr>
      <w:r>
        <w:rPr>
          <w:rFonts w:ascii="Times New Roman" w:cs="Times New Roman" w:eastAsia="Times New Roman" w:hAnsi="Times New Roman"/>
          <w:sz w:val="18"/>
          <w:szCs w:val="18"/>
          <w:color w:val="auto"/>
        </w:rPr>
        <w:t>Our ability to continue to meet our obligations, to achieve our business objectives and continue as a going concern is dependent upon several factors, including our revenue growth rate, the timing and extent of spending to support further sales and marketing and research and development efforts. To finance these opportunities, we will need to raise additional financing. While there can be no assurances, we intend to raise such capital through issuances of additional equity raises. If additional financing is required from outside sources, we may not be able to raise such financing on terms acceptable to us or at all. If we are unable to raise additional capital when desired, our business, results of operations and financial condition would be materially and adversely affected.</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While we are currently taking actions to source cash through a combination of the issuances of additional debt financing and public or private equity offerings or other means, we cannot be assured that we will be able to enter into any such contracts or raise capital on terms acceptable to the Company. As a result of the above, in connection with our assessment of going concern considerations in accordance with Financial Accounting Standard Board’s (“FASB”) Accounting Standards Update (“ASU”) 2014-15, Disclosures of Uncertainties about an Entity’s Ability to Continue as a Going Concern, we have determined that our liquidity condition raises substantial doubt about our ability to continue as a going concern through a year from the date that our consolidated financial statements were available to be issued.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Financings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were a party to the following debt financing agreements during the years ended December 31, 2024 and 2023:</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Convertible Notes Under the July 2023 Note Purchase Agreement (as amended and restated, the “2023-2024 Convertible Notes”)</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July 2023, we entered into a Note Purchase Agreement, as amended on August 1, 2023 and as amended and restated on April 22, 2024 (the “2023 NPA”). During the nine months ended September 30, 2024, we issued approximately a total of $110.7 million in convertible notes under the 2023 NPA, of which $11.5 million in convertible notes under the 2023 NPA to the Sponsor. During the year ended December 31, 2023, we issued approximately $12.3 million in convertible notes under the 2023 NPA, of which $5 million was issued to the Sponsor and another $5 million was issued to a related party investor. The 2023-2024 Convertible Notes are secured by all our assets and accrue interest at 10%. Following the April 2024 amendment and restatement, principal and accrued interest on the 2023-2024 Convertible Notes mature on December 31, 2025.</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2023-2024 Convertible Notes provides that the notes may be converted as follows:</w:t>
      </w:r>
    </w:p>
    <w:p>
      <w:pPr>
        <w:spacing w:after="0" w:line="131" w:lineRule="exact"/>
        <w:rPr>
          <w:sz w:val="20"/>
          <w:szCs w:val="20"/>
          <w:color w:val="auto"/>
        </w:rPr>
      </w:pPr>
    </w:p>
    <w:p>
      <w:pPr>
        <w:ind w:left="1080" w:right="2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therein), Maturity Conversion (as defined therein), SPAC Conversion (as defined therein) or repayment has not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82"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82" w:lineRule="auto"/>
        <w:rPr>
          <w:sz w:val="20"/>
          <w:szCs w:val="20"/>
          <w:color w:val="auto"/>
        </w:rPr>
      </w:pPr>
      <w:r>
        <w:rPr>
          <w:rFonts w:ascii="Times New Roman" w:cs="Times New Roman" w:eastAsia="Times New Roman" w:hAnsi="Times New Roman"/>
          <w:sz w:val="18"/>
          <w:szCs w:val="18"/>
          <w:color w:val="auto"/>
        </w:rPr>
        <w:t>occurred wherein the Next Equity Financing, defined as the next sale of Company equity securities or other securities issued in connection with Senior Indebtedness, following the date of the 2023-2024 Convertible Notes for the purpose of raising capital.</w:t>
      </w:r>
    </w:p>
    <w:p>
      <w:pPr>
        <w:spacing w:after="0" w:line="67" w:lineRule="exact"/>
        <w:rPr>
          <w:sz w:val="20"/>
          <w:szCs w:val="20"/>
          <w:color w:val="auto"/>
        </w:rPr>
      </w:pPr>
    </w:p>
    <w:p>
      <w:pPr>
        <w:ind w:left="1080" w:right="120" w:hanging="424"/>
        <w:spacing w:after="0" w:line="25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Lenders who purchased a 2023-2024 Convertible Note on or before July 3, 2023, the issuance of shares pursuant to the conversion of each note shall be subject to the same terms and conditions applicable to the equity securities sold in the Next Equity Financing, except that (A) the per share liquidation preference shall be 1.5 times the conversion price, (B) the initial conversion price for purposes of price-based anti-dilution protection will equal the conversion price, (C) the basis for any dividend rights will be based on the conversion price, and (D) such shares will rank senior to the other equity securities existing at the time of the applicable conversion with respect to liquidation preference.</w:t>
      </w:r>
    </w:p>
    <w:p>
      <w:pPr>
        <w:spacing w:after="0" w:line="92"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2023-2024 Convertible Note after July 3, 2023, the issuance of shares pursuant to the conversion of each note shall be subject to the same terms as described in the preceding paragraph except that the per share liquidation preference will equal the conversion price.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for all Lenders, regardless of purchase date, for this Next Equity Financing is defined as the lesser of 80% of the per share issue price of the equity securities sold in this financing event or a calculated per share value based on a defined valuation cap and fully-diluted capital.</w:t>
      </w:r>
    </w:p>
    <w:p>
      <w:pPr>
        <w:spacing w:after="0" w:line="81" w:lineRule="exact"/>
        <w:rPr>
          <w:rFonts w:ascii="Times New Roman" w:cs="Times New Roman" w:eastAsia="Times New Roman" w:hAnsi="Times New Roman"/>
          <w:sz w:val="18"/>
          <w:szCs w:val="18"/>
          <w:color w:val="auto"/>
        </w:rPr>
      </w:pPr>
    </w:p>
    <w:p>
      <w:pPr>
        <w:ind w:left="1080" w:right="120" w:hanging="424"/>
        <w:spacing w:after="0" w:line="25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SPAC conversion or repayment of the outstanding principal and unpaid accrued interest has not occurred on or before the maturity date, the principal and unpaid accrued interest of each 2023-2024 Convertible Note shall, at the written election of the Requisite Noteholders (which must include certain noteholder), pursuant to mutually agreed-upon terms, be automatically converted (the “Maturity Conversion”) into a class of equity shares subject to mutual agreement between the Lenders and the Company, provided that the conversion price shall not be based on a valuation in excess of the defined valuation cap.</w:t>
      </w:r>
    </w:p>
    <w:p>
      <w:pPr>
        <w:spacing w:after="0" w:line="92"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prior to a SPAC transaction, the principal and unpaid accrued interest of each 2023-2024 Convertible Note, with the exception of notes issued to a Final Closing Lender shall automatically convert (the “SPAC Conversion”) into a number of common shares equal to the quotient obtained by dividing the outstanding principal and unpaid accrued interest on each 2023-2024 Convertible Note by the applicable conversion price.</w:t>
      </w:r>
    </w:p>
    <w:p>
      <w:pPr>
        <w:spacing w:after="0" w:line="88"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2023-2024 Convertible Note before April 22, 2024, the conversion price in this SPAC Conversion is the lesser of 80% of $11.50 per share or a calculated per share value based on a defined valuation cap and fully-diluted capital immediately prior to the SPAC transaction.</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2023-2024 Convertible Note on or after April 22, 2024, the conversion price in this SPAC Conversion is a price per share that would entitle such lender to receive a number of shares of BurTech Class A common stock equal to the outstanding principal and unpaid accrued interest on such 2023-2024 Convertible Note divided by five.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Blaize’s existing certificate of incorporation), the 2023-</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Convertible Notes shall be repaid as follows at the closing of the Corporate Transaction:</w:t>
      </w:r>
    </w:p>
    <w:p>
      <w:pPr>
        <w:spacing w:after="0" w:line="112" w:lineRule="exact"/>
        <w:rPr>
          <w:rFonts w:ascii="Times New Roman" w:cs="Times New Roman" w:eastAsia="Times New Roman" w:hAnsi="Times New Roman"/>
          <w:sz w:val="18"/>
          <w:szCs w:val="18"/>
          <w:color w:val="auto"/>
        </w:rPr>
      </w:pPr>
    </w:p>
    <w:p>
      <w:pPr>
        <w:ind w:left="1080" w:right="100" w:hanging="424"/>
        <w:spacing w:after="0" w:line="312" w:lineRule="auto"/>
        <w:tabs>
          <w:tab w:leader="none" w:pos="1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Lender who purchased a 2023-2024 Convertible Note on or before July 3, 2023, in respect of a Corporate Transaction that occurs on or before July 3, 2024, an amount equal to the then accrued but unpaid interest plus three (3) times the then outstanding principal.</w:t>
      </w:r>
    </w:p>
    <w:p>
      <w:pPr>
        <w:spacing w:after="0" w:line="45" w:lineRule="exact"/>
        <w:rPr>
          <w:rFonts w:ascii="Times New Roman" w:cs="Times New Roman" w:eastAsia="Times New Roman" w:hAnsi="Times New Roman"/>
          <w:sz w:val="17"/>
          <w:szCs w:val="17"/>
          <w:color w:val="auto"/>
        </w:rPr>
      </w:pPr>
    </w:p>
    <w:p>
      <w:pPr>
        <w:ind w:left="1080" w:right="10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2023-2024 Convertible Note on or before July 3, 2023, in respect of a Corporate Transaction that occurs following July 3, 2024, an amount equal to the then accrued but unpaid interest plus five (5) times the then outstanding principal.</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note after July 3, 2023, in respect of any such Corporate Transaction, an amount equal to the then accrued but unpaid interest plus one and a half (1.5) times the then outstanding principal.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82"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9" w:lineRule="auto"/>
        <w:rPr>
          <w:sz w:val="20"/>
          <w:szCs w:val="20"/>
          <w:color w:val="auto"/>
        </w:rPr>
      </w:pPr>
      <w:r>
        <w:rPr>
          <w:rFonts w:ascii="Times New Roman" w:cs="Times New Roman" w:eastAsia="Times New Roman" w:hAnsi="Times New Roman"/>
          <w:sz w:val="17"/>
          <w:szCs w:val="17"/>
          <w:color w:val="auto"/>
        </w:rPr>
        <w:t>Investors in the 2023-2024 Convertible Notes received warrants (“2023-2024 Convertible Note Warrants”) exercisable upon the earliest to occur of a Next Equity Financing Conversion, Maturity Conversion, SPAC Conversion or Corporate Transaction, as defined, and expire five years from issuance. The number of warrant shares issuable upon exercise is equal to the quotient obtained by dividing (i) 25% or 10% (the higher percentage which applies only to investors who purchased a convertible note on or before July 3, 2023) of the original principal amount of the corresponding note by (ii) (y) with respect to a Next Equity Financing Conversion, Maturity Conversion, or a SPAC Conversion, the Exercise Price (as defined herein) or</w:t>
      </w:r>
    </w:p>
    <w:p>
      <w:pPr>
        <w:spacing w:after="0" w:line="3" w:lineRule="exact"/>
        <w:rPr>
          <w:sz w:val="20"/>
          <w:szCs w:val="20"/>
          <w:color w:val="auto"/>
        </w:rPr>
      </w:pPr>
    </w:p>
    <w:p>
      <w:pPr>
        <w:ind w:left="120" w:hanging="4"/>
        <w:spacing w:after="0" w:line="260" w:lineRule="auto"/>
        <w:tabs>
          <w:tab w:leader="none" w:pos="3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Corporate Transaction, a per share price equal to the value of the consideration payable to the holder of each share of common stock of the Company. The Exercise price is defined as follows:</w:t>
      </w:r>
    </w:p>
    <w:p>
      <w:pPr>
        <w:spacing w:after="0" w:line="8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Next Equity Financing Conversion, the per share issue price by new money investors for the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Maturity Conversion, a per share price mutually agreed upon by the Company and the Requisite Noteholders;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SPAC Conversion, $11.50 per share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Corporate Transaction, the Corporate Transaction Exercise Price, as defined.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Additionally, the expiration date of the warrants was amended in April 2022 from 10 years to 5 years from the original date of issuance.</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On January 13, 2025, as provided by the terms of the 2023-2024 Convertible Notes, the outstanding notes were converted, at the option of the holders, to Common Stock upon the consummation of the Merger.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Demand Notes</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we issued approximately $5.1 million of demand notes, of which approximately $0.3 million in principal with related accrued interest was repaid. The remaining $4.8 million of demand notes principal and related accrued interest was repaid in April 2024.</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Pay-to-Play Notes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December 2022, in connection with the P2P Transaction, we entered into a P2P NPA with a group of Lenders. Total proceeds from the issuance of convertible promissory notes under the P2P NPA received in November and December of 2022 approximated $2.9 million. In January and February of 2023, we received an additional $9.3 million in convertible promissory note proceeds. Pursuant to the P2P NPA, each Lender will pay Consideration in return for one or more promissory notes. The P2P Notes have a 24-month term from the date of the P2P NPA or December 9, 2024.</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P2P NPA provides that the P2P Notes may be converted as follows:</w:t>
      </w:r>
    </w:p>
    <w:p>
      <w:pPr>
        <w:spacing w:after="0" w:line="131" w:lineRule="exact"/>
        <w:rPr>
          <w:sz w:val="20"/>
          <w:szCs w:val="20"/>
          <w:color w:val="auto"/>
        </w:rPr>
      </w:pPr>
    </w:p>
    <w:p>
      <w:pPr>
        <w:ind w:left="1080" w:right="140" w:hanging="424"/>
        <w:spacing w:after="0" w:line="261"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or repayment has not occurred wherein the Next Equity Financing is defined as the next sale of Company equity securities, including warrants, other than Series D-2 Preferred stock or warrants to purchase Series D-2 preferred stock, following the date of the P2P NPA for the purpose of raising capital with gross proceeds of at least $5 million excluding the P2P Notes.</w:t>
      </w:r>
    </w:p>
    <w:p>
      <w:pPr>
        <w:spacing w:after="0" w:line="85"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on or before the maturity date (December 9, 2024), the principal and unpaid accrued interest of each P2P Note shall, at the written election of the Requisite Noteholders (holders of a majority interest in the aggregate outstanding principal amount of the P2P Notes) and we, pursuant to mutually agreed-upon terms, be automatically converted (the “Maturity Conversion”) into a class of equity shares subject to mutual agreement between the Lenders and Blaize.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82"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9" w:lineRule="auto"/>
        <w:tabs>
          <w:tab w:leader="none" w:pos="10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Corporate Transaction (any “Liquidation Event” as defined in Blaize’s existing certificate of incorporation), the P2P Notes shall either be repaid or, at the option of the Requisite Noteholders, converted. If conversion is elected upon a Corporate Transaction, the P2P NPA provides that all outstanding principal and unpaid accrued interest due on the P2P Notes shall be converted into common stock.</w:t>
      </w:r>
    </w:p>
    <w:p>
      <w:pPr>
        <w:spacing w:after="0" w:line="15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If upon a Corporate Transaction, repayment is elected by the Requisite Noteholders, the outstanding amount of the P2P Note balance will be repaid based on (i) whether or not the Lender provided consideration less than, equal to or greater than their Pro Rata Portion (calculated as the percentage ownership in Preferred Stock held by the lender) of $20 million (the “Insider Amount”) by (ii) the date of Contribution being either prior to November 30, 2022 (the “Initial Commitment Date”) or February 24, 2023 (“Final Closing date”).</w:t>
      </w:r>
    </w:p>
    <w:p>
      <w:pPr>
        <w:spacing w:after="0" w:line="180"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New Lenders will receive payment equal to the then accrued and unpaid interest plus one and a half times (1.5X) the then outstanding principal, plus two times (2X) the outstanding principal (with respect only to the outstanding principal in excess of $1 million but less than $5 million), as applicable, plus three times (3X) the outstanding principal with respect only to the outstanding principal in excess of $5 million on the P2P Note.</w:t>
      </w:r>
    </w:p>
    <w:p>
      <w:pPr>
        <w:spacing w:after="0" w:line="158"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P2P NPA, any existing investor that purchased any P2P Note, received the right to exchange the common stock held following the November 30, 2022 conversion event (the “Converted Common Stock”) for a number of shares of shadow preferred stock mirroring the respective classes of preferred stock held prior to the conversion (the “Pull-Through Exchange”), however, due to their recent capital investments in the Company in the fourth quarter of 2022 that were critical to funding the ongoing business and operations of the Company, all Senior Series D shareholders received an automatic pull-through of their Converted Common Stock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purchased a P2P Notes representing less than its pro rata portion of the Insider Amount, such investors Converted Common Stock remain as Converted Common Stock for that portion equal to the shortfall in its pro-rata contribution. Additionally, certain investors in the P2P Notes also are entitled to receive warrants (the “P2P Warrants”) whose total exercise price is determined based on the timing of investment as well as the level of investor participation vis-à-vis each investor’s designated pro-rata portion.</w:t>
      </w:r>
    </w:p>
    <w:p>
      <w:pPr>
        <w:spacing w:after="0" w:line="192"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On January 13, 2025, as provided by the terms of the P2P notes, the outstanding P2P Notes were converted, at the option of the holders, to common stock upon the execution of the Merger.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Financings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were a party to the following equity financing agreements during the years ended December 31, 2023 and 2022:</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Series D, D-1 and D-2 redeemable convertible preferred stock</w:t>
      </w:r>
    </w:p>
    <w:p>
      <w:pPr>
        <w:spacing w:after="0" w:line="11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September 2022, with the conversion of $32.0 million in existing Series D-2 Notes and incremental cash proceeds of $5.6 million, we issued a total of 7,561,820 Series D-2 redeemable convertible preferred stock. The total carrying value recognized from conversion and new proceeds, approximated $32.0 million and $5.6 million, prior to issuance costs, respectively. The original issue price and conversion price of Series D-2 redeemable convertible preferred stock was $4.9717 per share. The Series D-2 convertible preferred shares were issued with detachable Series D-2 Preferred Stock warrants expiring September 2025. The Series D-2 Preferred Stock warrants were valued at $1.6 million in total value allocated to the preferred stock warrant liability.</w:t>
      </w:r>
    </w:p>
    <w:p>
      <w:pPr>
        <w:spacing w:after="0" w:line="18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issuance of Series D-2 redeemable convertible preferred stock, we amended our authorized capital stock to increase the total shares to 246,530,097, allocating 149,880,000 for common stock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82"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96,650,097 to preferred stock. The authorized shares of Seed Preferred, Series A, Series B, Series C and Series remained unchanged. Series D authorized shares decreased to 4,707,494 and 27,042,965 shares were designated as Series D-2 preferred stock. Additionally, two new series of redeemable convertible preferred stock were created; Series D Exchange Preferred Stock (“Series D Exchange shares”) and Series D-1 Exchange Preferred Stock (Series D-1 Exchange Shares). These two new series, when combined with the new Series D-2 stock became the new senior preferred group of preferred stock (“Senior Series D”).</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Series D-2 Stock Purchase Agreement, each investor that was a holder of our Series D Preferred Stock and/or Series D-1 Preferred Stock immediately prior to the Series D-2 issuance who purchased Series D-2 shares with new cash on or before the subsequent closing date, in an investment amount equal to or greater than its Exchange Pro Rata Share, as defined, was entitled to exchange such number of shares of Series D preferred stock and/or Series D-1 Preferred Stock held by such investors for an equivalent number of Series D Exchange Preferred Stock and/or Serie D-1 Exchange preferred stock based on the defined formula of total new cash investment divided by the original issuance price of the Series D Preferred Stock and/or Series D-1 Preferred stock. Shares of Series D and D-1 that are exchanged for shares of Series D Exchange and/or Series D-1 Exchange shares were cancelled and no longer available for issuance. As a result of the new proceeds received, we exchanged 239,405 Series D Shares for Series D Exchange shares. We accounted for the exchange as an extinguishment of preferred stock, reducing the carrying value of the exchanged Series D stock totaling $2.5 million, recording the fair value of the new Series D Exchange shares equaling $0.9 million, with the difference of $1.6 million recognized as a credit to accumulated deficit.</w:t>
      </w:r>
    </w:p>
    <w:p>
      <w:pPr>
        <w:spacing w:after="0" w:line="19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 November 30, 2022, we converted all outstanding shares of preferred stock into common stock and shortly thereafter effected a one-for-ten reverse stock split. No fractional shares of common stock were issued as a result of the reverse split. In lieu of any fractional shares to which a holder was otherwise entitled, the number of shares issued were rounded to the nearest whole share. The reverse stock split did not result in any change to the conversion rate of any series of preferred stock.</w:t>
      </w:r>
    </w:p>
    <w:p>
      <w:pPr>
        <w:spacing w:after="0" w:line="180"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On January 13, 2025, as provided by the terms of the redeemable preferred stock, the outstanding shares were converted, at the option of the holders, to common stock upon the execution of the Merger.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Shadow Preferred stock</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conjunction with our P2P Transaction, on December 12, 2022, we executed an Amended and Restated Certificate of Incorporation which introduced “Shadow Preferred” classes of stock. A Shadow Preferred class of stock was created for each series of preferred stock outstanding prior to the Conversion Event. Those shareholders who participated in our P2P Transaction obtained the benefit of the Pull-Through Exchange of the common shares into which their prior preferred stock was converted into at the time of the conversion and reverse stock-split event (the “Converted Common Stock”) into shares of the class(es) of Shadow Preferred Stock identical to those previously held. Investors who did not participate, retained ownership only in Converted Common Stock. For the year ended December 31, 2022, the Pull-Through Exchange resulted in incremental value to the investors in the 2022 P2P Notes of $55.9 million, measured as the difference in the fair value of the Shadow Preferred Stock shares held after the Pull-Through Exchange to the fair value of the Converted Common Stock held just prior to the Pull-Through Exchange, which has been accounted for as a Pay-to-Play financing charge in the consolidated statements of operations.</w:t>
      </w:r>
    </w:p>
    <w:p>
      <w:pPr>
        <w:spacing w:after="0" w:line="188"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January and February 2023, we raised $9.4 million in additional P2P Notes. Those shareholders who participated in providing additional funding in 2023 obtained the benefit of the Pull-Through Exchange of their Converted Common Stock into shares of the class(es) of Shadow Preferred Stock identical to those previously held. Investors who did not participate, retained ownership only in Converted Common Stock. For the year ended December 31, 2023, the Pull-Through Exchange resulted in incremental value to the investors in the P2P Notes of $30.6 million, measured as the difference in the fair value of the Shadow Preferred Stock shares held after the Pull-Through Exchange to the fair value of the Converted Common Stock held just prior to the Pull-Through</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82"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which has been accounted for as a Pay-to-Play financing charge in the consolidated statements of operations.</w:t>
      </w:r>
    </w:p>
    <w:p>
      <w:pPr>
        <w:spacing w:after="0" w:line="225"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P2P NPA provided Blaize a right, subject to the approval of our Board of Directors (the “Board”), to conduct a common rights offering (the “Offering”) with holders of Blaize Common Stock that held shares of Blaize Common Stock as of immediately prior to the reverse stock split consummated in connection with the P2P Transaction (the “Eligible Common Stockholders”) to raise additional funds. In November 2023, we entered into the P2P NPA with participating Eligible Common Stockholders, whereby, each participating Eligible Common Stockholder received a P2P Note, subject to the same terms as existing P2P Notes with the exception that the P2P Notes issued to these common stockholders did not include the right to receive P2P Warrants. Proceeds received under the Offering totaled $0.1 million. In addition to the P2P Note, we entered into an Exchange Agreement with each participating Eligible Common Stockholder, pursuant to which each participating Eligible Common Stockholder had the right to restore all or a portion of their pre-P2P Transaction holdings by exchanging a certain number of shares of Blaize Common Stock held immediately following the reverse split, to the extent then-held, for ten (10) shares of Blaize Common Stock (the “Common Stock Restoration”). To the extent that an Eligible Common Stockholder purchased P2P Notes in the Offering representing at least its full Pro Rata Amount (as defined below), such Eligible Common Stockholder was eligible to exchange each share of Blaize Common Stock held immediately following the reverse split, to the extent then-held, for ten</w:t>
      </w:r>
    </w:p>
    <w:p>
      <w:pPr>
        <w:spacing w:after="0" w:line="4" w:lineRule="exact"/>
        <w:rPr>
          <w:sz w:val="20"/>
          <w:szCs w:val="20"/>
          <w:color w:val="auto"/>
        </w:rPr>
      </w:pPr>
    </w:p>
    <w:p>
      <w:pPr>
        <w:ind w:left="120" w:right="20" w:hanging="4"/>
        <w:spacing w:after="0" w:line="251" w:lineRule="auto"/>
        <w:tabs>
          <w:tab w:leader="none" w:pos="4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Blaize Common Stock, such that such Eligible Common Stockholder would then hold such number of shares of Blaize Common Stock held as of immediately prior to the reverse stock split. If an Eligible Common Stockholder purchased P2P Notes in the Offering representing less than its Pro Rata Amount, such percentage representing the shortfall of the Pro Rata Amount was not eligible for the Common Stock Restoration. “Pro Rata Amount” means the product of $150,000 and the quotient obtained by dividing (i) the total number of shares of Blaize Common Stock held by an Eligible Common Stockholder by (ii) the total number of shares of Blaize Common Stock outstanding and held by the Eligible Common Stockholder as of November 16, 2023. For the year ended December 31, 2023, this Common Stock Restoration resulted in incremental value to the participating Eligible Common Stockholders of $5.2 million, measured as the fair value of the incremental shares of Blaize Common Stock received or restored following the Offering. This incremental value has been accounted for as a Pay-to-Play financing charge in the consolidated statements of operations.</w:t>
      </w:r>
    </w:p>
    <w:p>
      <w:pPr>
        <w:spacing w:after="0" w:line="194"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On January 13, 2025, as provided by the terms of the redeemable preferred stock, the outstanding shares were converted, at the option of the holders, to common stock upon the execution of the Merger.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2024 and December 31, 2023, we had outstanding purchase orders and contractual obligations totaling $0.2 million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$4.4 million, respectively, to procure inventory. The majority of our outstanding inventory purchase orders and preauthorized commitments to procure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strategic components based on our expected demand are placed with our primary third-party contract manufacturer and a semiconductor supplier. We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have an obligation to purchase inventories that have been purchased by the contract manufacturer when components have not been consumed within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period defined in the terms of our agreement. While we expect such purchased components to be used in future production of our finished goods, these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components are considered in our reserve estimate for excess and obsolete inventory. Furthermore, we accrue for losses on commitments for the future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purchase on non-cancelable and non- returnable components from this contract manufacturer at the time that circumstances, such as changes in demand,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indicated that the value of the components many not be recoverable, the loss is probable and management has the ability to reasonably estimate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 of the loss. As of December 31, 2024, the liability balance of our accrued loss on accrued purchase commitments equaled $0.6 million.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the liability balance of our accrued losses on accrued purchase commitments equaled $3.6 million. The accrued losses on accrued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 commitments as of December 31, 2024 and 2023 are included in the purchase orders and contractual obligations amount.</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80"/>
          </w:cols>
          <w:pgMar w:left="320" w:top="482"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 for the years ended December 31, 2024 and 2023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operating, investing and financing activities for the years ended December 31, 2024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6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20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(53,532)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(27,955)</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101,709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26,475</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Net cash used in operating activities was $53.5 million during the year ended December 31, 2024 compared to $28.0 million for the year ended December 31, 2023. For the year ended December 31, 2024, cash used in operating activities resulted from a net loss of $61.2 million, partially offset by $21.0 million in noncash items, the largest of which related to the $15.7 million change in the fair value of our convertible notes and warrant liabilities, $3.8 million in stock-based compensation, and $1.5 million of other miscellaneous non-cash expenses including depreciation and amortization, lease expense, deferred income taxes, deferred financing charges on convertible notes, and credit losses, offset by the impact of a net cash outflow of</w:t>
      </w:r>
    </w:p>
    <w:p>
      <w:pPr>
        <w:spacing w:after="0" w:line="3" w:lineRule="exact"/>
        <w:rPr>
          <w:sz w:val="20"/>
          <w:szCs w:val="20"/>
          <w:color w:val="auto"/>
        </w:rPr>
      </w:pPr>
    </w:p>
    <w:p>
      <w:pPr>
        <w:ind w:left="120" w:right="180"/>
        <w:spacing w:after="0" w:line="253" w:lineRule="auto"/>
        <w:rPr>
          <w:sz w:val="20"/>
          <w:szCs w:val="20"/>
          <w:color w:val="auto"/>
        </w:rPr>
      </w:pPr>
      <w:r>
        <w:rPr>
          <w:rFonts w:ascii="Times New Roman" w:cs="Times New Roman" w:eastAsia="Times New Roman" w:hAnsi="Times New Roman"/>
          <w:sz w:val="18"/>
          <w:szCs w:val="18"/>
          <w:color w:val="auto"/>
        </w:rPr>
        <w:t>$13.4 million from changes in our net operating assets and liabilities. For the year ended December 31, 2023, cash used in operating activities resulted from a net loss of $87.6 million, offset by $56.3 million of noncash items, the largest two of which related to the Pay-to-Play financing charge of $35.8 million and $3.1 million of debt financing charges on convertible notes, offset by a net cash inflow of $3.4 million from changes in our net operating assets and liabilities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21"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we used $ 0.9 million and $0.2 million of cash to purchase property and equipment, respectively. The increase of $0.7 million during the year ended December 31, 2024 was primarily due to the licensing of software.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net cash provided by financing activities was $101.7 million, which primarily consisted of $110.7 million of proceeds from the issuance of secured convertible notes under the 2023 NPA, partially offset by the $4.8 million repayment of the short-term demand notes and $4.4 million payment of deferred offering costs. This compares to net cash provided by financing activities for the year ended December 31, 2023 of $26.5 million, which primarily consisted of $12.3 million in proceeds from the issuance of secured convertible notes under the 2023 NPA, $9.4 million in the issuance of Pay-to-Play convertible notes and $4.9 million raised via the issuance of demand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we do not have any off-balance sheet arrangements that have or are reasonably likely to have a current or future effect on its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Blaize is a party, under which it has any obligation arising under a guarantee contract, derivative instrument or variable interest or a retained or contingent interest in assets transferred to such entity or similar arrangement that serves as credit, liquidity or market risk support for such assets..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Currently we do not engage in off-balance sheet financing arrangements.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82"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Blaize is an emerging growth company (“EGC”) as defined in the JOBS Act. The JOBS Act permits companies with EGC status to take advantage of an extended transition period to comply with new or revised accounting standards, delaying the adoption of these accounting standards until they apply to private companies. We have elected to use this extended transition period to enable it to comply with new or revised accounting standards that have different effective dates for public and private companies until the earlier of the date it (i) is no longer an emerging growth company or</w:t>
      </w:r>
    </w:p>
    <w:p>
      <w:pPr>
        <w:spacing w:after="0" w:line="3" w:lineRule="exact"/>
        <w:rPr>
          <w:sz w:val="20"/>
          <w:szCs w:val="20"/>
          <w:color w:val="auto"/>
        </w:rPr>
      </w:pPr>
    </w:p>
    <w:p>
      <w:pPr>
        <w:ind w:left="120" w:right="100" w:hanging="4"/>
        <w:spacing w:after="0" w:line="260" w:lineRule="auto"/>
        <w:tabs>
          <w:tab w:leader="none" w:pos="3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opts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EGC, we intend to rely on such exemptions, it is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Blaize will remain an EGC under the JOBS Act until the earliest of (i) the last day of its first fiscal year following the fifth anniversary of the closing of BurTech’s initial public offering, (ii) the last date of our fiscal year in which it has total annual gross revenue of at least $1.235 billion, (iii) the date on which it is deemed to be a “large accelerated filer” under the rules of the SEC with at least $700.0 million of outstanding securities held by non-affiliates or (iv) the date on which it have issued more than $1.0 billion in non-convertible debt securities during the previous three-years.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Our operations expose us to a variety of market risks. We monitor and manage these financial exposures as an integral part of our overall risk management program.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are exposed to foreign currency exchange rate risk by virtue of our international operations. This risk arises because we use different currencies to recognize revenue and pay operating expenses. We derived 21.8% and less than 1% of our revenue for the years ended December 31, 2024 and 2023 respectively, from operations outside of the United States. Our strategy for managing foreign currency risk relies on efforts to negotiate customer contracts to receive payment in the same currency used to pay expenses or, in some cases, we have historically entered into foreign currency exchange rate fluctuation provisions in our contracts with our customers. The exchange rate fluctuation provisions may result in increases or decreases in revenue or operating income in periods of significant exchange rate volatility when such exchange rates increase over a stated exchange rate or dollar threshold in the contract with a customer.</w:t>
      </w:r>
    </w:p>
    <w:p>
      <w:pPr>
        <w:spacing w:after="0" w:line="189"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reporting and functional currency is the United Stated dollar (“U.S. dollar”). We are primarily exposed to movements in foreign currencies, predominately in the Indian rupee, British pound, and the Philippine peso, which are the local currencies of our foreign subsidiaries whose functional currency is also the US dollar.</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Changes in exchange rates between the applicable foreign currency and the U.S. dollar will affect the remeasurement of our foreign subsidiaries’ financial results into U.S. dollars for purposes of reporting 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82"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consolidated financial results. For the year ended December 31, 2024, the loss on foreign exchange transactions was $0.2 million. For the year ended December 31, 2023, the gain on foreign exchange transactions was not material.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maintain cash in checking and savings accounts. We investment securities in U.S. government treasury securities, U.S. government money market funds, and mutual funds. We do not enter into investments for trading or speculative purposes and have not used any derivative financial instruments to manage our interest rate risk exposure.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cash accounts in financial institutions may at times exceed the Federal Depository Insurance coverage of $250,000.</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exposed to credit risk in the event of nonpayment by customers up to the amounts recorded on the consolidated balance sheets. We manage our accounts receivable credit risk through ongoing credit evaluation of its customers’ financial conditions. We establish an allowance for credit losses as the estimate of the amount of probable credit losses in the Company’s existing accounts receivable. We determine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regarding the product or service rendered. Account balances are charged off against the allowance after all means of collection have been exhausted and the potential for recovery is considered remote. The allowance for credit losses was $0.4 million as of December 31, 2024 and 2023, respectively.</w:t>
      </w:r>
    </w:p>
    <w:p>
      <w:pPr>
        <w:spacing w:after="0" w:line="18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one customer accounted for approximately 98% of our total accounts receivable. As of December 31, 2023, one customer, a related party, accounted for approximately 98% of our total accounts receivable.</w:t>
      </w:r>
    </w:p>
    <w:p>
      <w:pPr>
        <w:spacing w:after="0" w:line="162"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our revenue. For the year ended December 31, 2024, two customers, both related parties, accounted for approximately 77% and 21% of our revenue. For the year ended December 31, 2023, one customer, a related party, accounted for nearly 100% of our revenue.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Critical Accounting Policies and Estimates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generally accepted accounting principles in the United States of America (“US GAAP”). The preparation of these condensed consolidated financial statements requires management to make estimates, assumptions and judgments that affect the reported amounts of assets and liabilities and disclosure of contingent assets and liabilities at the date of the condensed consolidated financial statements, and the reported amounts of revenue and expenses during the applicable periods. We evaluate our estimates, assumptions and judgments on an ongoing basis. Our estimates, assumptions and judgments are based on historical experience and various other factors that we believe to be reasonable under the circumstances. Different assumptions and judgments would change the estimates used in the preparation of our condensed consolidated financial statements, which, in turn, could change the results from those reported.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82"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 derives revenue from product sales, license and development arrangements, joint marketing arrangements and cloud services. The Company recognizes revenue under ASC 606, Revenue from Contracts with Customers, in which it determines revenue recognition through the following steps: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11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11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5: Recognize revenue when we satisfy a performance obligation.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w:t>
      </w:r>
    </w:p>
    <w:p>
      <w:pPr>
        <w:spacing w:after="0" w:line="180"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Revenue from hardware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spacing w:after="0" w:line="17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Company’s license and development arrangements entail revenue from the licensing of its intellectual property (“IP”) and also include nonrecurring engineering development services to configure the Company’s IP and hardware to a customer’s needs. For each contract, the Company considers the promise to deliver a license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82"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w:t>
      </w:r>
    </w:p>
    <w:p>
      <w:pPr>
        <w:spacing w:after="0" w:line="180"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0" w:type="dxa"/>
            <w:vAlign w:val="bottom"/>
          </w:tcPr>
          <w:p>
            <w:pPr>
              <w:spacing w:after="0"/>
              <w:rPr>
                <w:sz w:val="1"/>
                <w:szCs w:val="1"/>
                <w:color w:val="auto"/>
              </w:rPr>
            </w:pPr>
          </w:p>
        </w:tc>
      </w:tr>
      <w:tr>
        <w:trPr>
          <w:trHeight w:val="173"/>
        </w:trPr>
        <w:tc>
          <w:tcPr>
            <w:tcW w:w="69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142"/>
        </w:trPr>
        <w:tc>
          <w:tcPr>
            <w:tcW w:w="6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tcBorders>
              <w:top w:val="single" w:sz="8" w:color="auto"/>
            </w:tcBorders>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to deferred revenue</w:t>
            </w:r>
          </w:p>
        </w:tc>
        <w:tc>
          <w:tcPr>
            <w:tcW w:w="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recognized</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0" w:type="dxa"/>
            <w:vAlign w:val="bottom"/>
            <w:tcBorders>
              <w:top w:val="single" w:sz="8" w:color="auto"/>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these fees are reflected in revenue and the related fulfillment costs are accrued as cost of revenue as the related fulfillment costs incurred.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sales.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The Company considers all highly liquid investments with an original maturity of 90 days or less to be cash equivalents in the condensed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insurance limits. The Company has not experienced losses in such accounts and periodically evaluates the creditworthiness of its financial institutions.</w:t>
      </w:r>
    </w:p>
    <w:p>
      <w:pPr>
        <w:spacing w:after="0" w:line="16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Company had cash and cash equivalents balances, inclusive of funds held in escrow, in excess of domestic and international insurance limits of approximately $71.9 million and $49.3 million, respectively.</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held $30.9 million in U.S. Government treasury securities, $5.3 million in U.S. Government money market funds, and $5.1 million in mutual funds, while as of December 31, 2024, the Company held $30.6 million in U.S. Government treasury securities, $9.2 million in U.S. Government money market funds, and $5.1 million in mutual funds.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119"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Restricted cash represents cash balances held as security deposits related to international payment services. As of March 31, 2025 and December 31, 2024, restricted cash of $0.3 million was included within other assets on the condensed consolidated balance sheets.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82"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Funds Held in Escrow</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held $33.4 million of cash in an interest-earning escrow account pursuant to certain non-redemption agreements entered into with several unaffiliated stockholders of the Company, whereby amounts are required to be held in a separate account at the Closing of the Merger and held until such time that certain non-redeemed shares are either sold in the open market and/or put to the Company. The funds in escrow approximate $11.57 per non-redeemed share.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11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off against the allowance after all means of collection have been exhausted and the potential for recovery is considered remote. The allowance for credit losses was $0.4 million as of March 31, 2025 and December 31, 2024.</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condensed consolidated statements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Deferred Offering Costs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Deferred offering costs consist of direct incremental legal, consulting and banking fees primarily relating to the Merger. The capitalized costs were fully expensed upon the consummation of the Merger within transaction costs on the condensed consolidated statement of operations during the three months ended March 31, 2025. As of December 31, 2024, there were $11.1 million of capitalized deferred offering costs included in prepaid expenses and other current assets on the condensed consolidated balance sheets.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three months ended March 31, 2025 and 2024, the Company did not recognize any impairment expense related to its long-lived assets.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Embedded Derivative Evaluation</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82"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Legacy Blaize Convertible Notes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Prior to the consummation of the Merger, the Company accounted for its convertible notes, some of which contained predominantly fixed rate conversion features under ASU 2020-06 </w:t>
      </w:r>
      <w:r>
        <w:rPr>
          <w:rFonts w:ascii="Times New Roman" w:cs="Times New Roman" w:eastAsia="Times New Roman" w:hAnsi="Times New Roman"/>
          <w:sz w:val="18"/>
          <w:szCs w:val="18"/>
          <w:i w:val="1"/>
          <w:iCs w:val="1"/>
          <w:color w:val="auto"/>
        </w:rPr>
        <w:t>Debt — Debt with Conversion and Other Options (Subtopic 470-20), Derivatives and Hedging — Contracts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Entity’s Own Equity (Subtopic 815-40) and Accounting for Convertible Instruments and Contracts in an Entity’s Own Equity</w:t>
      </w:r>
      <w:r>
        <w:rPr>
          <w:rFonts w:ascii="Times New Roman" w:cs="Times New Roman" w:eastAsia="Times New Roman" w:hAnsi="Times New Roman"/>
          <w:sz w:val="18"/>
          <w:szCs w:val="18"/>
          <w:color w:val="auto"/>
        </w:rPr>
        <w:t>. The Company elected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for its convertible notes at fair value at each period end pursuant to ASC 825, Financial Instruments wherein changes in the fair value were recorded as change in fair value of convertible notes in the condensed consolidated statements of operations. The convertible notes were remeasured just prior to the date of the Merger and upon the closing of the Merger, the convertible notes were fully converted into shares of common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Legacy Blaize Warrant Liabilities</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Prior to the consummation of the Merger, the Company had issued freestanding warrants in connection with certain of its convertible debt agreements and preferred stock issuances which were recorded as current liabilities on the condensed consolidated balance sheets at their estimated fair value. At initial recognition, the warrants were recorded at their estimated fair value calculated using the Black-Scholes-Merton (“Black-Scholes”) option pricing model (see Note 9). The liability associated with these warrants were subject to fair value remeasurement at each balance sheet date, with changes in fair value recorded as change in the fair value of warrant liabilities on the condensed consolidated statements of operations. The warrants were remeasured just prior to the date of the Merger and, upon the consummation of the Merger, the warrant liabilities were fully converted into shares of common stock.</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Earnout Shares</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Merger, Legacy Blaize shareholders and outstanding equity award holders (including stock options and RSUs) are entitled to receive up to 15,000,000 shares of the Company’s Class A common stock (the “Earnout Shares”). Earnout Shares issued to eligible Legacy Blaize equity holders (including holders of stock options and restricted stock units (“RSUs”)) are considered a compensatory award and are accounted for under ASC 718, Share-Based Compensation. Further these awards have been determined to be equity classified and accordingly will not be remeasured at each reporting date.</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Earnout Shares issued to Burkhan and all other equity holders not within the scope of ASC 718 in connection with consummation of the Merger, were evaluated by management under ASC 480, Distinguishing Liabilities from Equity. The Company determined that the Earnout Shares are freestanding and not liability classified under ASC 480. Subsequently, management evaluated whether the Earnout Shares represented a derivative instrument pursuant to ASC 815, Derivatives and Hedging. The Company concluded that the Earnout Shares under the arrangement resulted in liability classification pursuant to ASC 815-40. The liability for such Earnout Shares will be remeasured at each reporting date with changes in the fair value recorded to earnings on the condensed consolidated statements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Legacy Blaize Redeemable Convertible Preferred Stock</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Prior to the consummation of the Merger, the Company had (i) Series Seed Shadow Preferred Stock, (ii) Series A Shadow Preferred Stock,</w:t>
      </w:r>
    </w:p>
    <w:p>
      <w:pPr>
        <w:spacing w:after="0" w:line="27" w:lineRule="exact"/>
        <w:rPr>
          <w:sz w:val="20"/>
          <w:szCs w:val="20"/>
          <w:color w:val="auto"/>
        </w:rPr>
      </w:pPr>
    </w:p>
    <w:p>
      <w:pPr>
        <w:ind w:left="120" w:right="200" w:hanging="4"/>
        <w:spacing w:after="0" w:line="260" w:lineRule="auto"/>
        <w:tabs>
          <w:tab w:leader="none" w:pos="4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Shadow B Shadow Preferred Stock, (iv) Series C Shadow Preferred Stock, (v) Series D Shadow Preferred Stock, (vi) Series D Exchange Shadow Preferred Stock, (vii) Series D-1</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00"/>
          </w:cols>
          <w:pgMar w:left="320" w:top="482"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77" w:lineRule="auto"/>
        <w:rPr>
          <w:sz w:val="20"/>
          <w:szCs w:val="20"/>
          <w:color w:val="auto"/>
        </w:rPr>
      </w:pPr>
      <w:r>
        <w:rPr>
          <w:rFonts w:ascii="Times New Roman" w:cs="Times New Roman" w:eastAsia="Times New Roman" w:hAnsi="Times New Roman"/>
          <w:sz w:val="17"/>
          <w:szCs w:val="17"/>
          <w:color w:val="auto"/>
        </w:rPr>
        <w:t>Shadow Preferred Stock, (viii) Series D-1 Exchange Shadow Preferred Stock, and (ix) Series D-2 Shadow Preferred Stock, all outstanding. The Company’s redeemable convertible preferred stock had been classified outside of stockholders’ equity (deficit), as mezzanine equity, due to the redemption option of the preferred stock shareholders. The Company recorded redeemable convertible preferred stock at fair value on the dates of issuance, net of issuance costs. The Company adjusted the carrying values of the redeemable convertible preferred stock, subsequent to the initial issuance date, to the redemption value of such shares because it was probable that the convertible preferred stock would become redeemable.</w:t>
      </w:r>
    </w:p>
    <w:p>
      <w:pPr>
        <w:spacing w:after="0" w:line="168"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Upon the consummation of the Merger, all shares of redeemable convertible preferred stock outstanding were converted into shares of common stock. All shares of redeemable convertible preferred stock which were converted into shares of common stock were retroactively adjusted using the exchange ratio and reclassified into permanent equity as a result of the Merger.</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Common Stock Subject to Possible Redemption</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accounts for common stock subject to possible redemption in accordance with the guidance in ASC Topic 480 Distinguishing Liabilities from Equity. Certain common stock is held in escrow pursuant to Non-Redemption Agreements and feature certain redemption rights that are considered to be outside of the Company’s control and within the control of the holders. Accordingly, as of March 31, 2025, 2,854,242 shares of common stock are subject to possible redemption, and have been presented at redemption value as temporary equity, outside of the stockholders’ equity (deficit) section of the condensed consolidated balance sheet.</w:t>
      </w:r>
    </w:p>
    <w:p>
      <w:pPr>
        <w:spacing w:after="0" w:line="183"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by adjusting the carrying value of common stock subject to possible redemption to equal the redemption value as of the end of each reporting period. Changes in the carrying amount of redeemable common stock are affected by charges against additional paid-in capital and accumulated deficit.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480 and ASC 815, Derivatives and Hedging. The assessment considers whether the warrants are freestanding financial instruments pursuant to ASC 480, meet the definition of a liability pursuant to ASC 480, and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as well as each subsequent reporting period while the warrants are outstanding.</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 analyzed the warrants issued in BurTech’s Initial Public Offering (“Public Warrants”), warrants included in the Private Placement Units (the “Private Warrants”) and warrants issued to advisor for services (the “Common Stock Warrants”) and determined they are considered to be freestanding instruments and do not exhibit any of the characteristics in ASC 480 and therefore are not classified as liabilities under ASC 480. As of March 31, 2025, the Company’s outstanding public warrants and private warrants met all the requirements for equity classification under ASC 815 and therefore were classified as equity. As of December 31, 2024, Legacy Blaize warrants were classified as liabilities, as described above.</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80"/>
          </w:cols>
          <w:pgMar w:left="320" w:top="482"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is subject to tax audits in various jurisdictions. The Company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the provision for income taxes.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The Company recognizes the cost of employee, non-employee consultants and non-employee directors’ services received in exchange for awards of stock options based on the fair value of those awards at the date of grant over the requisite service period. The fair value of stock options granted is determined using the Black-Scholes option-pricing model using various inputs, including Company estimates of expected stock price volatility, term, risk-free rate and future dividends. The Company has elected the simplified method to determine the expected term of the option grants.</w:t>
      </w:r>
    </w:p>
    <w:p>
      <w:pPr>
        <w:spacing w:after="0" w:line="16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also grants RSUs to employees and non-employee consultants, which vest upon the satisfaction of both a service-based condition and a liquidity event condition, as defined. The fair value of RSUs is determined based on the Company’s estimated fair value of common stock at the date of grant. Due to the Merger that occurred during the three months ended March 31, 2025, the Company recorded cumulative stock-based compensation using the accelerated attribution method for those RSUs for which the service condition has been satisfied prior to the Merger, and will record the remaining unrecognized stock-based compensation over the remainder of the requisite service period. The Company did not record any stock-based compensation expense associated with the RSUs during the three months ended March 31, 2024, as a liquidity event had not occurred during that period.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This ASU improves reportable segment disclosure requirements, primarily through enhanced disclosures about significant segment expenses. We adopted this standard during the year ended December 31, 2024. The adoption resulted in expanded disclosures for the Company’s single reportable segment, but did not have a material impact on our consolidated financial statements.</w:t>
      </w:r>
    </w:p>
    <w:p>
      <w:pPr>
        <w:spacing w:after="0" w:line="180"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On October 2021, the FASB issued ASU 2021-08, Business Combinations (Topic 805): Accounting for Contract Assets and Contract Liabilities from Contracts with Customers. The FASB issued authoritative guidance that clarifies that an acquirer of a business should recognize and measure contract assets and contract liabilities in a business combination in accordance with ASC Topic 606, Revenue from Contracts with Customers. We adopted this standard as of January 1, 2024. The adoption of this standard did not have an impact on our consolidated financial statements.</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82"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Blaize is a provider of purpose-built, transformative artificial intelligence (“AI”)-enabled edge computing solutions that unite software and silicon to optimize AI from the edge of our customers’ networks (the “edge”) to their data centers (the “core”). We provide a full-stack programmable processor architecture suite and low-code/no-code software platform that enables AI processing solutions for high-performance computing at the edge and the core. Our solutions deliver real-time insights and decision-making capabilities at low power consumption, high efficiency, minimal size and low cost.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provide AI accelerated computing solutions, optimized for vision analytics applications at the edge. This is particularly relevant in the mobility and automotive sectors, where we provide solutions for Level 2 (“L2”) and Level 2+ (“L2+”) applications and collaborate with Original Equipment Manufacturer (“OEMs”) to develop advanced Level 4+ (“L4+”) capabilities, as per the Society of Automotive Engineers’ “Levels of Driving Automation.” Our fully automotive-grade compliant chip roadmap supports our customers’ continued evolution and reinforces our commitment to advancing AI-powered autonomy.</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With over a decade of investment in research and development, we have developed groundbreaking technologies that enable applications, such as computer vision and machine learning, to deploy and run faster and more efficiently. Our engineering team has developed a proprietary parallel computing architecture that serves as the foundation for our products, enabling high-performance AI inference with industry-leading efficiency, delivering significant value to our customers.</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are developing our next-generation chip, which will introduce enhanced features and capabilities while leveraging the latest advancements in semiconductor processing. Additionally, we plan to offer an intermediate hardware solution for mobility and L2 automotive customers ahead of the launch of our full automotive-grade AI processor.</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With a strong focus on innovation, performance, and strategic partnerships, we believe we are well positioned to enable organizations to process and analyze their data in real time from core to edge, unlocking new business opportunities and gaining a competitive advantage in the evolving AI landscape. Our integrated approach to AI accelerated computing ensures that enterprises can harness the full potential of AI.</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Historically, most processing solutions designed for the edge (“edge applications”) were built around cloud and data center-centric infrastructure.</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such solutions, data is collected at the edge and is sent back to a centralized location where the real AI processing happens. This approach is power-demanding, adds latency, causes significant data traffic, makes real-time processing difficult, and is less secure. Prompted by the proliferation of data at the edge, industry participants have been looking for ways to enable the power of AI processing where the data is, allowing for effective, real-time decision-making at the edge with greater thermal efficiency, less latency, less power consumption, less costs (including communication costs), ability to keep data local and avoid the burden of cloud and centralized infrastructure.</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recent years we have witnessed AI moving from exploration and innovation to deployment phase across most industries. Business leaders and organizations have started to understand the value, benefits and the return on investment of AI, leading to a significant growth in adoption of AI and demand for AI accelerator technologies.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82"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Blaize is already engaged in various industries with great potential for the widespread adoption of AI such as automotive, defense, enterprise and more. The adoption of AI in these industries is growing at a healthy rate and is poised to continue to do so in the long term, supported by strong fundamentals such as the adoption of autonomous solutions and generative AI, decentralization of data and AI for data privacy and data ownership and the drive for sustainability. We are well positioned to immediately access the burgeoning AI accelerator market today with our software and solutions, in addition to our rich roadmap, which we believe will allow us to continue our Serviceable Addressable Market (“SAM”).</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expect the AI landscape to continue evolving at a rapid pace. Key trends that will impact the future of our industries include adoption of generative AI, large language models (“LLMs”), small language models (“SLMs”), vision transformers and multi-modality. The industry will continue to seek alternatives to incumbent architectures such as the graphic processing unit (“GPU”) and the central processing unit (“CPU”), prioritizing performance, total cost of ownership and ease of use. These characteristics are just as relevant and necessary for data center inference applications as they are for edge AI vision analytics. As the Blaize chip roadmap is enhanced, the inherent advantages of the Graph Streaming Processor (“GSP”) architecture and ease of programmability enable Blaize to remain relevant to market and customer evolution.</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AI market is subject to rapid technological changes, evolving industry standards, customer needs and preferences and developing regulations in the United States of America (“U.S.”) and abroad, which have focused on, among other things, safety and efficacy of AI systems, algorithmic discrimination and protection, data privacy and notice and explanation. Further, continued growth in adoption of AI-based technologies will depend, in part, on the reduction of operating and capital costs associated with AI computing, the increase in customer confidence in data protection and privacy related to centralized AI systems, software responsiveness to dynamic data, models and customer needs and transparency in application from data preparation to production. We believe Blaize helps facilitate such growth in adoption by providing a platform which (i) reduces the total cost of ownership of AI across a wide range of use-cases and verticals, (ii) positions the AI computing functions behind customer firewalls for added data privacy and security, (iii) automatically responds to and remediates accuracy and performance-related software issues in the system and (iv) enables and implements open standards and comprehensive auditing capabilities for customers. Blaize also continuously monitors regulatory developments related to the AI market to remain compliant with the latest requirements.</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target markets are large, growing and sustained by strong fundamentals. The drivers for this growth are mainly attributed to an adoption drive across industries for autonomous solutions, traditional and generative AI applications, with the trend moving towards decentralization of data, data privacy and ownership, and the global appetite for sustainability.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Blaize’s product roadmap focuses on creating optimized solutions that can fulfill customer demands for AI applications at the edge. The main target markets include: enterprise, commercial, industrial, and automotive. These markets require low-power systems with highly optimized total cost of ownership, agility and flexibility on development and deployment, and a reliable supply chain. We believe our technology and targeted marketing strategy are designed to deliver products that meet and exceed those requirements.</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Blaize has created an innovative type of AI computing accelerator, the GSP. This processor has been designed from the ground up for computer vision and machine learning applications. It is fully programmable, making it flexible and adaptable for the foreseeable future. The GSP leverages parallelism at data, instruction, task, chip and system level — streamlining execution processing and enabling low energy consumption, high performance and scalability. These advantages are demonstrated time and time again through the numerous technical evaluations that customers undertake on their own data. As the demands of edge AI inference continue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00"/>
          </w:cols>
          <w:pgMar w:left="320" w:top="482"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increase at a rapid pace, and customer data is evolving and changing frequently, our GSP has key advantages in enabling customer confidence.</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Blaize’s hardware products are compute cards that incorporate our GSP and come in a comprehensive set of commonly used form factors. We work closely with OEM vendors to qualify these cards to add AI compute acceleration to their systems, delivering solutions across a broad spectrum of performance points and deployment verticals, from edge to data center inference. We continue to expand the range and variety of servers and edge AI boxes powered by us that meet the demands of a wide range of customer use cases.</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support industry standard Application Programming Interfaces (“APIs”) and frameworks, enabling customers to execute current models and develop new applications on our hardware. We also provide a comprehensive software suite, Blaize AI Studio (“AI Studio”). This is an intuitive and visual non-code environment intended to simplify the creation and deployment of AI models, with the goal of empowering developers and data scientists to build and optimize AI applications more efficiently. Our AI Studio features a robust set of tools and libraries, and is designed to streamline the development lifecycle, allowing organizations to bring AI-powered solutions to market more quickly.</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Collaborating with system integrators, software vendors, and hardware manufacturers, we are continuously expanding our technology ecosystem to ensure seamless integration and interoperability with existing infrastructure and AI frameworks. This approach enables organizations to leverage their existing investments while adopting our innovative AI capabilities.</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current generation of our products are primarily focused on video analytics applications and AI inference at the edge. Our current technology can address the autonomous systems market for drones, robotics and automotives, including AI accelerators for cockpit, in-cabin and infotainment applications.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current hardware products place us in a strong position into the rapidly expanding AI accelerator market today. We have worked with many customers in testing and technical evaluations across industries, such as enterprise, defense and automotive. In addition to hardware sales, we believe we are well positioned for growth in our software sales and services through our comprehensive, pre-integrated software stack, vertically integrated solutions, AI Studio development platform, and analytics framework and toolkit.</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Product Target Markets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product targets two of AI’s highest-impact verticals that require AI accelerated computing at the edge: short cycle industrial and long cycle automotive.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Short Cycle Industrial</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Blaize accelerator cards can be embedded in a variety of host platforms, such as AI boxes, industrial PCs, rugged computer systems, and AI server blades for deployment in racks and data centers. This versatility enables systems based on Blaize’s products to be deployed across an extensive set of use-cases and market verticals, enabling applications such as computer vision, advanced video analytics and AI inference. Our products and applications can provide optimal solutions to the various needs of enterprise, commercial, industrial and defense customers, while many other current solutions in the market are fragmented, with multiple vendor platforms, leaving customers with the associated cost and complexity of making the pieces work together.</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we are uniquely positioned to provide value to the market due to the following:</w:t>
      </w:r>
    </w:p>
    <w:p>
      <w:pPr>
        <w:spacing w:after="0" w:line="131" w:lineRule="exact"/>
        <w:rPr>
          <w:sz w:val="20"/>
          <w:szCs w:val="20"/>
          <w:color w:val="auto"/>
        </w:rPr>
      </w:pPr>
    </w:p>
    <w:p>
      <w:pPr>
        <w:ind w:left="1080" w:right="10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programmable hardware and AI Studio software platform enables customers to fully and easily integrate their solutions and deploy to market faster and more efficiently.</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use of our products allows customers to quickly deploy, manage, and extract contextual value from their analytics to meet their needs. We enable our customers to easily update their models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82"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when new data becomes available, without having to resort to scarce and expensive data science skilled resources.</w:t>
      </w:r>
    </w:p>
    <w:p>
      <w:pPr>
        <w:spacing w:after="0" w:line="131" w:lineRule="exact"/>
        <w:rPr>
          <w:sz w:val="20"/>
          <w:szCs w:val="20"/>
          <w:color w:val="auto"/>
        </w:rPr>
      </w:pPr>
    </w:p>
    <w:p>
      <w:pPr>
        <w:ind w:left="1080" w:right="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dynamic hardware and software solutions enable proactive maintenance, ongoing optimization and enhanced security in tailored applications, such as in full-field asset tracking and monitoring functions related to security and monitoring.</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Long Cycle Automotive</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Blaize’s GSP provides an efficient way to run standard and customized neural networks in automobiles and other transportation vehicles. We expect to use our GSP-based platforms to replace power-consuming GPU and Field Programmable Gate Arrays chips, improving system efficiency advantage and a single scalable architecture across various use cases. In addition, we provide full programmability for a range of platforms, dynamic workloads, and updates. By combining low latency with low power consumption, our GSP is designed to efficiently process AI workloads at the automotive edge, either as an embedded or accelerator solution.</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consider our technology to be uniquely positioned to win in this market. The automotive value chain is quickly evolving with profits coming from the ability of automotive OEMs and Tier-1 suppliers to offer software upgrades and new features in the field. Our technology can bring considerable advantages in these applications due to the programmability of the hardware, the support for industry standards and the overall advantage in total cost of ownership.</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Our technology roadmap is robust and expected to meet the ever-growing complexity and size of models for current and future demands of autonomous driving.</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Product Roadmap</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product roadmap focuses on creating optimized solutions that can fulfill customer demands for AI applications at the edge. The main target markets include: enterprise, commercial, industrial, and automotive. These markets require low-power systems with highly optimized TCO, agility and flexibility on development and deployment, and a reliable supply chain. We believe our technology and targeted marketing strategy are designed to deliver products that meet and exceed those requirements.</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part of our hardware offering, we deliver solutions that include silicon chips, boards, and systems. These are complemented with full-stack software that includes a Software Development Kit (“SDK”), optimized libraries for visual analytics, AI, high-performance computing, and AI Studio, which is a complete application development and deployment platform that enables customers to create, optimize, deploy, and maintain their own solutions.</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believe the scalable and programmable nature of our product architecture positions us well to provide advantageous AI solutions for the rapidly changing demands of AI applications and allows us to differentiate our products from established and emerging competitive alternatives that focus on raw performance for specific and narrow workloads.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existing products will enable Blaize to capture market share for video analytics applications in verticals such as retail, defense and healthcare by embedding in devices such as surveillance and security cameras, edge servers (including edge data centers), drones, machine vision (including industrial automation) and robotics. As these markets are established, we believe we will be able to expand into adjacent verticals through updated hardware and software products.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commercial organization utilizes research to identify key markets and sales opportunities across our target markets. Our marketing activities focus on elevating brand, product and value proposition awareness across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40"/>
          </w:cols>
          <w:pgMar w:left="320" w:top="482" w:right="5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60"/>
        <w:spacing w:after="0" w:line="312" w:lineRule="auto"/>
        <w:rPr>
          <w:sz w:val="20"/>
          <w:szCs w:val="20"/>
          <w:color w:val="auto"/>
        </w:rPr>
      </w:pPr>
      <w:r>
        <w:rPr>
          <w:rFonts w:ascii="Times New Roman" w:cs="Times New Roman" w:eastAsia="Times New Roman" w:hAnsi="Times New Roman"/>
          <w:sz w:val="17"/>
          <w:szCs w:val="17"/>
          <w:color w:val="auto"/>
        </w:rPr>
        <w:t>the broader industry, with prospects in selected target verticals. This includes participation at trade events, demonstrations of Blaize technology, collaborations and co-promotions with ecosystem partners, social campaigns, competitive positioning and other marketing activities.</w:t>
      </w:r>
    </w:p>
    <w:p>
      <w:pPr>
        <w:spacing w:after="0" w:line="32"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Our go-to-market (“GTM”) strategy focuses on creating a partnership ecosystem to develop and define a portfolio of end-to-end, market ready solutions powered by our products that addresses enterprise customer requirements in the enterprise, commercial, industrial and defense verticals.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focus our marketing and sales efforts on the following areas:</w:t>
      </w:r>
    </w:p>
    <w:p>
      <w:pPr>
        <w:spacing w:after="0" w:line="127" w:lineRule="exact"/>
        <w:rPr>
          <w:sz w:val="20"/>
          <w:szCs w:val="20"/>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Hardware powered by Blaize </w:t>
      </w:r>
      <w:r>
        <w:rPr>
          <w:rFonts w:ascii="Times New Roman" w:cs="Times New Roman" w:eastAsia="Times New Roman" w:hAnsi="Times New Roman"/>
          <w:sz w:val="18"/>
          <w:szCs w:val="18"/>
          <w:color w:val="auto"/>
        </w:rPr>
        <w:t>- we build, qualify, and quantify market ready hardware solutions with a large number of OEMs;</w:t>
      </w:r>
    </w:p>
    <w:p>
      <w:pPr>
        <w:spacing w:after="0" w:line="130"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unique full stack approach </w:t>
      </w:r>
      <w:r>
        <w:rPr>
          <w:rFonts w:ascii="Times New Roman" w:cs="Times New Roman" w:eastAsia="Times New Roman" w:hAnsi="Times New Roman"/>
          <w:sz w:val="18"/>
          <w:szCs w:val="18"/>
          <w:color w:val="auto"/>
        </w:rPr>
        <w:t>- we are well positioned to deliver a fully integrated software and hardware solutions which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innovative developer tools. Unlike alternative hardware vendors, we believe our full-stack approach helps us to engage directly with our customers to deliver solutions that fix their problems and add value to their endeavors. The resulting intimate relationship enables Blaize to gain important insight into customers’ data and needs, which in turn are incorporated into our innovation and product roadmap;</w:t>
      </w:r>
    </w:p>
    <w:p>
      <w:pPr>
        <w:spacing w:after="0" w:line="81" w:lineRule="exact"/>
        <w:rPr>
          <w:rFonts w:ascii="Times New Roman" w:cs="Times New Roman" w:eastAsia="Times New Roman" w:hAnsi="Times New Roman"/>
          <w:sz w:val="18"/>
          <w:szCs w:val="18"/>
          <w:color w:val="auto"/>
        </w:rPr>
      </w:pPr>
    </w:p>
    <w:p>
      <w:pPr>
        <w:ind w:left="1080" w:hanging="532"/>
        <w:spacing w:after="0" w:line="28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Applications powered by Blaize </w:t>
      </w:r>
      <w:r>
        <w:rPr>
          <w:rFonts w:ascii="Times New Roman" w:cs="Times New Roman" w:eastAsia="Times New Roman" w:hAnsi="Times New Roman"/>
          <w:sz w:val="18"/>
          <w:szCs w:val="18"/>
          <w:color w:val="auto"/>
        </w:rPr>
        <w:t>- our team concentrates on qualifying with application partners that deliver customer-facing software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in our focused verticals;</w:t>
      </w:r>
    </w:p>
    <w:p>
      <w:pPr>
        <w:spacing w:after="0" w:line="60" w:lineRule="exact"/>
        <w:rPr>
          <w:rFonts w:ascii="Times New Roman" w:cs="Times New Roman" w:eastAsia="Times New Roman" w:hAnsi="Times New Roman"/>
          <w:sz w:val="18"/>
          <w:szCs w:val="18"/>
          <w:color w:val="auto"/>
        </w:rPr>
      </w:pPr>
    </w:p>
    <w:p>
      <w:pPr>
        <w:ind w:left="1080" w:right="460" w:hanging="532"/>
        <w:spacing w:after="0" w:line="28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Ecosystem channel delivery </w:t>
      </w:r>
      <w:r>
        <w:rPr>
          <w:rFonts w:ascii="Times New Roman" w:cs="Times New Roman" w:eastAsia="Times New Roman" w:hAnsi="Times New Roman"/>
          <w:sz w:val="18"/>
          <w:szCs w:val="18"/>
          <w:color w:val="auto"/>
        </w:rPr>
        <w:t>- we contract with cloud, distribution, integration, and value-add resellers already supporting our target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and</w:t>
      </w:r>
    </w:p>
    <w:p>
      <w:pPr>
        <w:spacing w:after="0" w:line="60" w:lineRule="exact"/>
        <w:rPr>
          <w:rFonts w:ascii="Times New Roman" w:cs="Times New Roman" w:eastAsia="Times New Roman" w:hAnsi="Times New Roman"/>
          <w:sz w:val="18"/>
          <w:szCs w:val="18"/>
          <w:color w:val="auto"/>
        </w:rPr>
      </w:pPr>
    </w:p>
    <w:p>
      <w:pPr>
        <w:ind w:left="1080" w:right="400" w:hanging="532"/>
        <w:spacing w:after="0" w:line="28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Enterprise adoption </w:t>
      </w:r>
      <w:r>
        <w:rPr>
          <w:rFonts w:ascii="Times New Roman" w:cs="Times New Roman" w:eastAsia="Times New Roman" w:hAnsi="Times New Roman"/>
          <w:sz w:val="18"/>
          <w:szCs w:val="18"/>
          <w:color w:val="auto"/>
        </w:rPr>
        <w:t>- we promote market ready solutions powered by Blaize and present use cases that meet our customers’ varying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budget and deployment requirements.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Customers and Prospective Customers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are working with multiple customers across various industries globally, including in North America, Japan, Korea, EU and the GCC (Gulf Corporation Countries) Region. We have a multi-million dollar purchase order with a defense entity to provide a host of complete solutions that require low latency, low power and high performance compute in the field, where our technology advantages excel. These solutions can be easily and rapidly offered to other defense entities.</w:t>
      </w:r>
    </w:p>
    <w:p>
      <w:pPr>
        <w:spacing w:after="0" w:line="180"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In the automotive sector, our programable hardware technology has been vetted and endorsed through a long-standing partnership with DENSO, one of the world’s largest Tier 1 supplier to Toyota, Honda, GM, and others. Additionally, in 2023 and 2024, we teamed up with Mercedes-Benz and their partner vendors to evaluate their requirements for an advanced L4 platform, intended to be in production by the end of this decade. We believe these collaborations demonstrate a high level of confidence in our architecture and our readiness to provide automotive-grade silicon to the industry.</w:t>
      </w:r>
    </w:p>
    <w:p>
      <w:pPr>
        <w:spacing w:after="0" w:line="16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past twelve months, Blaize entered into a Purchase Order Contract Agreement dated May 1, 2024 with a UAE private company (the “POCA Counterparty”) that provides defense solutions (the “POCA”) and is currently negotiating an addendum to the Purchase Order Contract Agreement. The POCA provides solutions to government entities in the UAE. Under the POCA, Blaize will provide numerous solutions to the POCA Counterparty that require low latency, low power and high performance compute in the field. Specifically, the POCA Counterparty, as the Technical Service Provider licensed by the DED AbuDhabi, Government of United Arab Emirates (“TSP”), and Blaize, as the supplier of equipment, software and/or managed services to TSP for the purpose of installation, provision, operations and/or maintenance of TSP’s networks (in such capacity, the “Vendor”), agreed that the Vendor will supply equipment and services to TSP’s clients for consideration of up to $105 million. Blaize will provide its technology platform to TSP on a project-by-project basis. Each of the project offerings includes a specific combination of Blaize’s software and hardware products, as well as customized delivery, development and installation solutions, to be determined by each end user’s specific needs.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82"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POCA establish a timeline for each of the projects, including deadlines for the deliverables that TSP will require, beginning in the third quarter of 2024 through the fourth quarter of 2025. The POCA will continue to be in full force and effect unless terminated earlier by TSP.</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Performance of the parties’ obligations under the POCA have been delayed and, as of March 31, 2025, Blaize has not shipped any products nor received any payments from the POCA Counterparty. Under the terms of the POCA, Blaize must receive advance payment by the POCA Counterparty before the shipment of any product.</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Though no revenues have been realized under the terms of the POCA to date, Blaize is expecting to initiate work on field trials once the customer has identified the specific use case and provides access to their data.</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further believe that the solutions that Blaize is currently developing for TSP and TSP’s clients demonstrate Blaize’s capability to create a full-stack solution for the defense industry, which we believe can be marketed for other defense solutions in the future.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the following key strengths will help us maintain our unique product solutions and continue our growth trajectory moving forward:</w:t>
      </w:r>
    </w:p>
    <w:p>
      <w:pPr>
        <w:spacing w:after="0" w:line="127" w:lineRule="exact"/>
        <w:rPr>
          <w:sz w:val="20"/>
          <w:szCs w:val="20"/>
          <w:color w:val="auto"/>
        </w:rPr>
      </w:pPr>
    </w:p>
    <w:p>
      <w:pPr>
        <w:ind w:left="1080" w:right="20" w:hanging="424"/>
        <w:spacing w:after="0" w:line="257"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Revolutionary Architecture</w:t>
      </w:r>
      <w:r>
        <w:rPr>
          <w:rFonts w:ascii="Times New Roman" w:cs="Times New Roman" w:eastAsia="Times New Roman" w:hAnsi="Times New Roman"/>
          <w:sz w:val="18"/>
          <w:szCs w:val="18"/>
          <w:color w:val="auto"/>
        </w:rPr>
        <w:t>. We believe our innovative full-stack solution, incorporating and bundling silicon, hardware, and software,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edge, untethered from a data center or the cloud, sets us apart from our competition. We developed a patented novel chip architecture that is highly programmable for every edge-computing use case. Our chip structure delivers high performance computing at low latency and is extremely thermally efficient, all of which are essential for adopting AI at scale. Leveraging our ecosystem of hardware and software partners, we believe we can address multiple verticals with AI and computer vision solutions and meet demanding requirements for true autonomous driving and mobility.</w:t>
      </w:r>
    </w:p>
    <w:p>
      <w:pPr>
        <w:spacing w:after="0" w:line="87" w:lineRule="exact"/>
        <w:rPr>
          <w:rFonts w:ascii="Times New Roman" w:cs="Times New Roman" w:eastAsia="Times New Roman" w:hAnsi="Times New Roman"/>
          <w:sz w:val="18"/>
          <w:szCs w:val="18"/>
          <w:color w:val="auto"/>
        </w:rPr>
      </w:pPr>
    </w:p>
    <w:p>
      <w:pPr>
        <w:ind w:left="1080" w:right="60" w:hanging="424"/>
        <w:spacing w:after="0" w:line="268" w:lineRule="auto"/>
        <w:tabs>
          <w:tab w:leader="none" w:pos="10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Efficient and Programmable Graph Streaming Processor</w:t>
      </w:r>
      <w:r>
        <w:rPr>
          <w:rFonts w:ascii="Times New Roman" w:cs="Times New Roman" w:eastAsia="Times New Roman" w:hAnsi="Times New Roman"/>
          <w:sz w:val="17"/>
          <w:szCs w:val="17"/>
          <w:color w:val="auto"/>
        </w:rPr>
        <w:t>. Our Graph Streaming Processor architecture, or GSP, is the first true Graph-native architecture built to address the challenges in efficiently processing neural networks and building complete AI applications. With a fully programmable graph streaming architecture, GSP chips process graphs more efficiently than CPU/GPU architectures. As a result, the GSP architecture enables developers to not only build entire AI applications, but also optimize the applications for Edge deployment constraints, run the applications efficiently in a complete streaming fashion, and continuously iterate to keep up with rapid evolutions in neural networks. Our GSP architecture consists of an array of graph streaming processors, dedicated math processors, hardware controls and various types of data cache. The four main architectural characteristics of the GSP that enable efficient graph streaming of entire AI applications include: (1) true task-level parallelism, (2) minimal use of off-chip memory, (3) depth-first hardware graph scheduling, and</w:t>
      </w:r>
    </w:p>
    <w:p>
      <w:pPr>
        <w:spacing w:after="0" w:line="4" w:lineRule="exact"/>
        <w:rPr>
          <w:rFonts w:ascii="Times New Roman" w:cs="Times New Roman" w:eastAsia="Times New Roman" w:hAnsi="Times New Roman"/>
          <w:sz w:val="17"/>
          <w:szCs w:val="17"/>
          <w:color w:val="auto"/>
        </w:rPr>
      </w:pP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 fully programmable.</w:t>
      </w:r>
    </w:p>
    <w:p>
      <w:pPr>
        <w:spacing w:after="0" w:line="108" w:lineRule="exact"/>
        <w:rPr>
          <w:rFonts w:ascii="Times New Roman" w:cs="Times New Roman" w:eastAsia="Times New Roman" w:hAnsi="Times New Roman"/>
          <w:sz w:val="17"/>
          <w:szCs w:val="17"/>
          <w:color w:val="auto"/>
        </w:rPr>
      </w:pPr>
    </w:p>
    <w:p>
      <w:pPr>
        <w:ind w:left="1080" w:hanging="424"/>
        <w:spacing w:after="0" w:line="268"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Task-Level Parallelism through Highly Efficient Streaming of Neural Network Graphs</w:t>
      </w:r>
      <w:r>
        <w:rPr>
          <w:rFonts w:ascii="Times New Roman" w:cs="Times New Roman" w:eastAsia="Times New Roman" w:hAnsi="Times New Roman"/>
          <w:sz w:val="18"/>
          <w:szCs w:val="18"/>
          <w:color w:val="auto"/>
        </w:rPr>
        <w:t>. Neural network processing lends itself well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 different levels of parallelism: instruction-level, data-level, thread level, and task-level. Our GSP architecture is the only one in the industry to provide all four levels of parallelism:</w:t>
      </w:r>
    </w:p>
    <w:p>
      <w:pPr>
        <w:spacing w:after="0" w:line="80" w:lineRule="exact"/>
        <w:rPr>
          <w:sz w:val="20"/>
          <w:szCs w:val="20"/>
          <w:color w:val="auto"/>
        </w:rPr>
      </w:pPr>
    </w:p>
    <w:p>
      <w:pPr>
        <w:ind w:left="1540" w:right="360" w:hanging="331"/>
        <w:spacing w:after="0" w:line="282" w:lineRule="auto"/>
        <w:tabs>
          <w:tab w:leader="none" w:pos="1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GSPs offer instruction-level parallelism by scheduling instructions as soon as their dependencies have been met. Each processor executes its instructions independently of any other processor.</w:t>
      </w:r>
    </w:p>
    <w:p>
      <w:pPr>
        <w:spacing w:after="0" w:line="67" w:lineRule="exact"/>
        <w:rPr>
          <w:rFonts w:ascii="Times New Roman" w:cs="Times New Roman" w:eastAsia="Times New Roman" w:hAnsi="Times New Roman"/>
          <w:sz w:val="18"/>
          <w:szCs w:val="18"/>
          <w:color w:val="auto"/>
        </w:rPr>
      </w:pPr>
    </w:p>
    <w:p>
      <w:pPr>
        <w:ind w:left="1540" w:right="160" w:hanging="331"/>
        <w:spacing w:after="0" w:line="282" w:lineRule="auto"/>
        <w:tabs>
          <w:tab w:leader="none" w:pos="1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GSPs offer thread parallelism, with multiple hardware threads per processor. Within a single clock cycle, our processor can change context either by switching threads or by dispatching a new thread.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82"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540" w:right="40"/>
        <w:spacing w:after="0" w:line="282" w:lineRule="auto"/>
        <w:rPr>
          <w:sz w:val="20"/>
          <w:szCs w:val="20"/>
          <w:color w:val="auto"/>
        </w:rPr>
      </w:pPr>
      <w:r>
        <w:rPr>
          <w:rFonts w:ascii="Times New Roman" w:cs="Times New Roman" w:eastAsia="Times New Roman" w:hAnsi="Times New Roman"/>
          <w:sz w:val="18"/>
          <w:szCs w:val="18"/>
          <w:color w:val="auto"/>
        </w:rPr>
        <w:t>GSPs offer data parallelism through special instructions that can operate directly on unaligned blocks of data in a register file. These instructions include 2D block instructions, such as block move and block add, as well as reduction instructions, such as dot product.</w:t>
      </w:r>
    </w:p>
    <w:p>
      <w:pPr>
        <w:spacing w:after="0" w:line="67" w:lineRule="exact"/>
        <w:rPr>
          <w:sz w:val="20"/>
          <w:szCs w:val="20"/>
          <w:color w:val="auto"/>
        </w:rPr>
      </w:pPr>
    </w:p>
    <w:p>
      <w:pPr>
        <w:jc w:val="both"/>
        <w:ind w:left="1540" w:right="40" w:hanging="331"/>
        <w:spacing w:after="0" w:line="261" w:lineRule="auto"/>
        <w:tabs>
          <w:tab w:leader="none" w:pos="1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GSP provides true task-level parallelism. Multiple nodes from multiple layers can be processed concurrently, and nodes can be scheduled as soon as the data they need has been calculated. With the GSP, nodes need not wait for the completed processing of any other nodes. In addition, the GSP architecture supports true task-level parallelism through its dynamic scheduling, which allows it to adapt to actual results as they unfold and enable highly efficient streaming of neural network graphs.</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Fully Programmable Architecture with Efficient End-to-end Applications</w:t>
      </w:r>
      <w:r>
        <w:rPr>
          <w:rFonts w:ascii="Times New Roman" w:cs="Times New Roman" w:eastAsia="Times New Roman" w:hAnsi="Times New Roman"/>
          <w:sz w:val="18"/>
          <w:szCs w:val="18"/>
          <w:color w:val="auto"/>
        </w:rPr>
        <w:t>. AI developers today face three major challenges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deploying AI applications in the real-world:</w:t>
      </w:r>
    </w:p>
    <w:p>
      <w:pPr>
        <w:spacing w:after="0" w:line="60" w:lineRule="exact"/>
        <w:rPr>
          <w:rFonts w:ascii="Times New Roman" w:cs="Times New Roman" w:eastAsia="Times New Roman" w:hAnsi="Times New Roman"/>
          <w:sz w:val="18"/>
          <w:szCs w:val="18"/>
          <w:color w:val="auto"/>
        </w:rPr>
      </w:pPr>
    </w:p>
    <w:p>
      <w:pPr>
        <w:ind w:left="2080" w:right="360" w:hanging="533"/>
        <w:spacing w:after="0" w:line="286" w:lineRule="auto"/>
        <w:tabs>
          <w:tab w:leader="none" w:pos="208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Integration</w:t>
      </w:r>
      <w:r>
        <w:rPr>
          <w:rFonts w:ascii="Times New Roman" w:cs="Times New Roman" w:eastAsia="Times New Roman" w:hAnsi="Times New Roman"/>
          <w:sz w:val="18"/>
          <w:szCs w:val="18"/>
          <w:color w:val="auto"/>
        </w:rPr>
        <w:t>. Neural network functions are usually part of an overall application; therefore, developers need to be 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easily and efficiently integrate both the neural network and non-neural network functions;</w:t>
      </w:r>
    </w:p>
    <w:p>
      <w:pPr>
        <w:spacing w:after="0" w:line="60" w:lineRule="exact"/>
        <w:rPr>
          <w:rFonts w:ascii="Times New Roman" w:cs="Times New Roman" w:eastAsia="Times New Roman" w:hAnsi="Times New Roman"/>
          <w:sz w:val="18"/>
          <w:szCs w:val="18"/>
          <w:color w:val="auto"/>
        </w:rPr>
      </w:pPr>
    </w:p>
    <w:p>
      <w:pPr>
        <w:ind w:left="2080" w:right="40" w:hanging="533"/>
        <w:spacing w:after="0" w:line="286" w:lineRule="auto"/>
        <w:tabs>
          <w:tab w:leader="none" w:pos="208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Efficiency</w:t>
      </w:r>
      <w:r>
        <w:rPr>
          <w:rFonts w:ascii="Times New Roman" w:cs="Times New Roman" w:eastAsia="Times New Roman" w:hAnsi="Times New Roman"/>
          <w:sz w:val="18"/>
          <w:szCs w:val="18"/>
          <w:color w:val="auto"/>
        </w:rPr>
        <w:t>. The entire AI application must run efficiently on the hardware deployed, with high performance, low latency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low power; and</w:t>
      </w:r>
    </w:p>
    <w:p>
      <w:pPr>
        <w:spacing w:after="0" w:line="60" w:lineRule="exact"/>
        <w:rPr>
          <w:rFonts w:ascii="Times New Roman" w:cs="Times New Roman" w:eastAsia="Times New Roman" w:hAnsi="Times New Roman"/>
          <w:sz w:val="18"/>
          <w:szCs w:val="18"/>
          <w:color w:val="auto"/>
        </w:rPr>
      </w:pPr>
    </w:p>
    <w:p>
      <w:pPr>
        <w:ind w:left="2080" w:hanging="533"/>
        <w:spacing w:after="0" w:line="286" w:lineRule="auto"/>
        <w:tabs>
          <w:tab w:leader="none" w:pos="208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Periodic Updates</w:t>
      </w:r>
      <w:r>
        <w:rPr>
          <w:rFonts w:ascii="Times New Roman" w:cs="Times New Roman" w:eastAsia="Times New Roman" w:hAnsi="Times New Roman"/>
          <w:sz w:val="18"/>
          <w:szCs w:val="18"/>
          <w:color w:val="auto"/>
        </w:rPr>
        <w:t>. It is crucial to be able to update applications and neural networks as more data is collected in the field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neural network innovations rapidly evolve.</w:t>
      </w:r>
    </w:p>
    <w:p>
      <w:pPr>
        <w:spacing w:after="0" w:line="5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We believe our GSP solves these three major challenges in the following ways:</w:t>
      </w:r>
    </w:p>
    <w:p>
      <w:pPr>
        <w:spacing w:after="0" w:line="248" w:lineRule="exact"/>
        <w:rPr>
          <w:sz w:val="20"/>
          <w:szCs w:val="20"/>
          <w:color w:val="auto"/>
        </w:rPr>
      </w:pPr>
    </w:p>
    <w:p>
      <w:pPr>
        <w:ind w:left="2080" w:right="120" w:hanging="533"/>
        <w:spacing w:after="0" w:line="268" w:lineRule="auto"/>
        <w:tabs>
          <w:tab w:leader="none" w:pos="20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Integration</w:t>
      </w:r>
      <w:r>
        <w:rPr>
          <w:rFonts w:ascii="Times New Roman" w:cs="Times New Roman" w:eastAsia="Times New Roman" w:hAnsi="Times New Roman"/>
          <w:sz w:val="18"/>
          <w:szCs w:val="18"/>
          <w:color w:val="auto"/>
        </w:rPr>
        <w:t>. The GSP architecture is fully programmable, which enables developers to build end-to-end AI applications,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integrate non-neural network functions (such as Image Signal Processing) and neural network functions that are built in any Machine Learning framework, and execute these on the same hardware.</w:t>
      </w:r>
    </w:p>
    <w:p>
      <w:pPr>
        <w:spacing w:after="0" w:line="76" w:lineRule="exact"/>
        <w:rPr>
          <w:rFonts w:ascii="Times New Roman" w:cs="Times New Roman" w:eastAsia="Times New Roman" w:hAnsi="Times New Roman"/>
          <w:sz w:val="18"/>
          <w:szCs w:val="18"/>
          <w:color w:val="auto"/>
        </w:rPr>
      </w:pPr>
    </w:p>
    <w:p>
      <w:pPr>
        <w:ind w:left="2080" w:right="160" w:hanging="533"/>
        <w:spacing w:after="0" w:line="286" w:lineRule="auto"/>
        <w:tabs>
          <w:tab w:leader="none" w:pos="20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Efficiency</w:t>
      </w:r>
      <w:r>
        <w:rPr>
          <w:rFonts w:ascii="Times New Roman" w:cs="Times New Roman" w:eastAsia="Times New Roman" w:hAnsi="Times New Roman"/>
          <w:sz w:val="18"/>
          <w:szCs w:val="18"/>
          <w:color w:val="auto"/>
        </w:rPr>
        <w:t>. The fully integrated Picasso software development platform and graph framework take care of translating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complex end-to-end AI applications into graphs that run efficiently and performantly on the underlying hardware.</w:t>
      </w:r>
    </w:p>
    <w:p>
      <w:pPr>
        <w:spacing w:after="0" w:line="60" w:lineRule="exact"/>
        <w:rPr>
          <w:rFonts w:ascii="Times New Roman" w:cs="Times New Roman" w:eastAsia="Times New Roman" w:hAnsi="Times New Roman"/>
          <w:sz w:val="18"/>
          <w:szCs w:val="18"/>
          <w:color w:val="auto"/>
        </w:rPr>
      </w:pPr>
    </w:p>
    <w:p>
      <w:pPr>
        <w:ind w:left="2080" w:right="700" w:hanging="533"/>
        <w:spacing w:after="0" w:line="286" w:lineRule="auto"/>
        <w:tabs>
          <w:tab w:leader="none" w:pos="20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Periodic updates</w:t>
      </w:r>
      <w:r>
        <w:rPr>
          <w:rFonts w:ascii="Times New Roman" w:cs="Times New Roman" w:eastAsia="Times New Roman" w:hAnsi="Times New Roman"/>
          <w:sz w:val="18"/>
          <w:szCs w:val="18"/>
          <w:color w:val="auto"/>
        </w:rPr>
        <w:t>. As the neural network and workflow evolves, and as new data is collected, the AI models can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re-trained and re-deployed with ease and speed, using the integrated Picasso toolkit.</w:t>
      </w:r>
    </w:p>
    <w:p>
      <w:pPr>
        <w:spacing w:after="0" w:line="60" w:lineRule="exact"/>
        <w:rPr>
          <w:rFonts w:ascii="Times New Roman" w:cs="Times New Roman" w:eastAsia="Times New Roman" w:hAnsi="Times New Roman"/>
          <w:sz w:val="18"/>
          <w:szCs w:val="18"/>
          <w:color w:val="auto"/>
        </w:rPr>
      </w:pPr>
    </w:p>
    <w:p>
      <w:pPr>
        <w:ind w:left="1080" w:hanging="424"/>
        <w:spacing w:after="0" w:line="28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Low Capex and De-Risked Business Model</w:t>
      </w:r>
      <w:r>
        <w:rPr>
          <w:rFonts w:ascii="Times New Roman" w:cs="Times New Roman" w:eastAsia="Times New Roman" w:hAnsi="Times New Roman"/>
          <w:sz w:val="18"/>
          <w:szCs w:val="18"/>
          <w:color w:val="auto"/>
        </w:rPr>
        <w:t>. While we design and sell our hardware and semiconductor chips, we do not manufacture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silicon wafers or chips used in our products. Instead, we outsource the fabrication of these products to a manufacturing plant.</w:t>
      </w:r>
    </w:p>
    <w:p>
      <w:pPr>
        <w:spacing w:after="0" w:line="60" w:lineRule="exact"/>
        <w:rPr>
          <w:rFonts w:ascii="Times New Roman" w:cs="Times New Roman" w:eastAsia="Times New Roman" w:hAnsi="Times New Roman"/>
          <w:sz w:val="18"/>
          <w:szCs w:val="18"/>
          <w:color w:val="auto"/>
        </w:rPr>
      </w:pPr>
    </w:p>
    <w:p>
      <w:pPr>
        <w:ind w:left="1080" w:right="200" w:hanging="424"/>
        <w:spacing w:after="0" w:line="26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Cost Efficiency</w:t>
      </w:r>
      <w:r>
        <w:rPr>
          <w:rFonts w:ascii="Times New Roman" w:cs="Times New Roman" w:eastAsia="Times New Roman" w:hAnsi="Times New Roman"/>
          <w:sz w:val="18"/>
          <w:szCs w:val="18"/>
          <w:color w:val="auto"/>
        </w:rPr>
        <w:t>. As a fabless manufacturing company, we avoid potentially high capital investments that would be required to build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our own fabrication facilities (fabs). Semiconductor fabs are extremely expensive to set up and require regular updates to stay technologically competitive. By outsourcing fabrication, we strategically allocate our resources more efficiently and focus on our core competencies.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8"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Flexibility and Scalability</w:t>
      </w:r>
      <w:r>
        <w:rPr>
          <w:rFonts w:ascii="Times New Roman" w:cs="Times New Roman" w:eastAsia="Times New Roman" w:hAnsi="Times New Roman"/>
          <w:sz w:val="18"/>
          <w:szCs w:val="18"/>
          <w:color w:val="auto"/>
        </w:rPr>
        <w:t>. We can scale production quickly without having to invest in additional manufacturing facilities. As a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respond to market demand fluctuations by leveraging the capacity and capabilities of external foundries. We believe this flexibility allows us to adapt to market conditions and rapidly bring new products to market.</w:t>
      </w:r>
    </w:p>
    <w:p>
      <w:pPr>
        <w:spacing w:after="0" w:line="76" w:lineRule="exact"/>
        <w:rPr>
          <w:rFonts w:ascii="Times New Roman" w:cs="Times New Roman" w:eastAsia="Times New Roman" w:hAnsi="Times New Roman"/>
          <w:sz w:val="18"/>
          <w:szCs w:val="18"/>
          <w:color w:val="auto"/>
        </w:rPr>
      </w:pPr>
    </w:p>
    <w:p>
      <w:pPr>
        <w:ind w:left="1080" w:right="160" w:hanging="424"/>
        <w:spacing w:after="0" w:line="26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Technological Expertise</w:t>
      </w:r>
      <w:r>
        <w:rPr>
          <w:rFonts w:ascii="Times New Roman" w:cs="Times New Roman" w:eastAsia="Times New Roman" w:hAnsi="Times New Roman"/>
          <w:sz w:val="18"/>
          <w:szCs w:val="18"/>
          <w:color w:val="auto"/>
        </w:rPr>
        <w:t>. We have a relentless focus to concentrate all efforts on research, development, and innovation, without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burdened by the complexities of semiconductor manufacturing. Our teams of experts are solely focused on designing advanced chips and pushing technological boundaries. We believe this specialization has enabled our development of more cutting-edge products and faster time-to-market.</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82"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080" w:hanging="424"/>
        <w:spacing w:after="0" w:line="268"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Access to Advanced Processes</w:t>
      </w:r>
      <w:r>
        <w:rPr>
          <w:rFonts w:ascii="Times New Roman" w:cs="Times New Roman" w:eastAsia="Times New Roman" w:hAnsi="Times New Roman"/>
          <w:sz w:val="18"/>
          <w:szCs w:val="18"/>
          <w:color w:val="auto"/>
        </w:rPr>
        <w:t>. Our use of external foundries offers access to leading-edge fabrication processes, which would be cost-prohibitive for us to develop in-house. By partnering with advanced foundries, we leverage the latest process technologies and benefit from improved performance, power efficiency, and smaller form factors.</w:t>
      </w:r>
    </w:p>
    <w:p>
      <w:pPr>
        <w:spacing w:after="0" w:line="76"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Global Supply Chain</w:t>
      </w:r>
      <w:r>
        <w:rPr>
          <w:rFonts w:ascii="Times New Roman" w:cs="Times New Roman" w:eastAsia="Times New Roman" w:hAnsi="Times New Roman"/>
          <w:sz w:val="18"/>
          <w:szCs w:val="18"/>
          <w:color w:val="auto"/>
        </w:rPr>
        <w:t>. Our fabless approach gives us the ability to tap into a global network of foundries, enabling our selection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most suitable manufacturing partner based on the specific requirements. We believe this global supply chain, in turn, also offers geographic diversification, reducing the risk of disruptions caused by regional issues, such as natural disasters or geopolitical factors.</w:t>
      </w:r>
    </w:p>
    <w:p>
      <w:pPr>
        <w:spacing w:after="0" w:line="76" w:lineRule="exact"/>
        <w:rPr>
          <w:rFonts w:ascii="Times New Roman" w:cs="Times New Roman" w:eastAsia="Times New Roman" w:hAnsi="Times New Roman"/>
          <w:sz w:val="18"/>
          <w:szCs w:val="18"/>
          <w:color w:val="auto"/>
        </w:rPr>
      </w:pPr>
    </w:p>
    <w:p>
      <w:pPr>
        <w:ind w:left="1080" w:right="60" w:hanging="424"/>
        <w:spacing w:after="0" w:line="268"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Focus on Differentiation</w:t>
      </w:r>
      <w:r>
        <w:rPr>
          <w:rFonts w:ascii="Times New Roman" w:cs="Times New Roman" w:eastAsia="Times New Roman" w:hAnsi="Times New Roman"/>
          <w:sz w:val="18"/>
          <w:szCs w:val="18"/>
          <w:color w:val="auto"/>
        </w:rPr>
        <w:t>. With manufacturing outsourced, we have the capacity to heavily focus on developing unique features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intellectual property (“IP”). We are investing in specialized design teams, software development, and system integration to create products that stand out in the market and provide a competitive advantage.</w:t>
      </w:r>
    </w:p>
    <w:p>
      <w:pPr>
        <w:spacing w:after="0" w:line="76" w:lineRule="exact"/>
        <w:rPr>
          <w:rFonts w:ascii="Times New Roman" w:cs="Times New Roman" w:eastAsia="Times New Roman" w:hAnsi="Times New Roman"/>
          <w:sz w:val="18"/>
          <w:szCs w:val="18"/>
          <w:color w:val="auto"/>
        </w:rPr>
      </w:pPr>
    </w:p>
    <w:p>
      <w:pPr>
        <w:ind w:left="1080" w:right="280" w:hanging="424"/>
        <w:spacing w:after="0" w:line="268"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Reduced Time-to-Market</w:t>
      </w:r>
      <w:r>
        <w:rPr>
          <w:rFonts w:ascii="Times New Roman" w:cs="Times New Roman" w:eastAsia="Times New Roman" w:hAnsi="Times New Roman"/>
          <w:sz w:val="18"/>
          <w:szCs w:val="18"/>
          <w:color w:val="auto"/>
        </w:rPr>
        <w:t>. We believe the fabless manufacturing model allows us to expedite our product development cycles.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partnering with external foundries, we parallelize design and fabrication processes, reducing time-consuming steps and accelerating the overall time-to-market.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key elements of our strategy for growth include focusing on the following areas:</w:t>
      </w:r>
    </w:p>
    <w:p>
      <w:pPr>
        <w:spacing w:after="0" w:line="131"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through expansion of our current products to reach deeper into our own industry’s verticals and expanding into adjacent verticals.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ecosystem of hardware manufacturers and independent software vendors specializing across a variety of industry verticals and form new partnerships with them to bring innovative turn-key solutions to market.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the features available in AI Studio in order to target a wider community of developers, including universities and other institutes of higher education.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market AI trends into the design of our next-generation SoC to further expand our addressable TAM.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currently outsource all of our manufacturing and leverage partnerships with several global manufacturing and assembly providers.</w:t>
      </w:r>
    </w:p>
    <w:p>
      <w:pPr>
        <w:spacing w:after="0" w:line="225"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Samsung Foundry, located in Austin, Texas, is involved with manufacturing the current generation SoC. All packaging and testing of the SoC is performed by our partners located in Taiwan. We closely monitor and reserve raw materials for silicon wafers and related packaging for our finished SoCs in collaboration with Samsung Foundry and our Taiwanese packaging partners. The raw materials and components used include silicon, polymers, copper, aluminum, other metal alloys, and plastics, which are generally available throughout the world but largely provided by companies in China.</w:t>
      </w:r>
    </w:p>
    <w:p>
      <w:pPr>
        <w:spacing w:after="0" w:line="16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addition to Samsung Foundry, we integrate Plexus, a contract manufacturer boasting a 377,000 square foot facility in Penang, Malaysia, who provides new product introduction services and mass produces all of our products. In addition to performing printed circuit board assembly (“PCBA”), final assembly, and functional testing for our products, Plexus procures raw material components to meet our periodic build forecasts, and provides quick turnaround shipments of our products to our third-party logistics partner, Rush Order, Inc. (“Rush Order”), and customers around the world. The raw materials and components used include integrated circuits, epoxy glass fabric laminate, metals, plastics, resistors, capacitors, inductors, transistors, diodes, and sensors, which are generally available throughout the world, but largely provided by companies in Asia.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82"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Rush Order stores inventory of our products in California, conveniently located near major sea and air transportation hubs. Rush Order also supports us with international logistics and trade compliance services by assembling, packaging, and shipping our customer orders. We anticipate that we will continue to utilize Rush Order’s logistics services as we grow and scale because they offer expansion flexibility and have warehouses located globally.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scalable and programmable architecture enables us to sell into a broad set of markets and applications.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result, our competitors vary depending on the target market segment.</w:t>
      </w:r>
    </w:p>
    <w:p>
      <w:pPr>
        <w:spacing w:after="0" w:line="127" w:lineRule="exact"/>
        <w:rPr>
          <w:sz w:val="20"/>
          <w:szCs w:val="20"/>
          <w:color w:val="auto"/>
        </w:rPr>
      </w:pPr>
    </w:p>
    <w:p>
      <w:pPr>
        <w:ind w:left="1080" w:right="140" w:hanging="424"/>
        <w:spacing w:after="0" w:line="268"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Data Center and Edge</w:t>
      </w:r>
      <w:r>
        <w:rPr>
          <w:rFonts w:ascii="Times New Roman" w:cs="Times New Roman" w:eastAsia="Times New Roman" w:hAnsi="Times New Roman"/>
          <w:sz w:val="18"/>
          <w:szCs w:val="18"/>
          <w:color w:val="auto"/>
        </w:rPr>
        <w:t>. We believe our main competitors come from producers of graphics processing units (“GPUs”), such as NVIDIA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(“NVIDIA”), and GPU-derived application-specific-standard products (“ASSPs”). As we continue to grow, we predict additional competition will come from in-CPU acceleration provided by established vendors, including Intel and AMD.</w:t>
      </w:r>
    </w:p>
    <w:p>
      <w:pPr>
        <w:spacing w:after="0" w:line="76" w:lineRule="exact"/>
        <w:rPr>
          <w:rFonts w:ascii="Times New Roman" w:cs="Times New Roman" w:eastAsia="Times New Roman" w:hAnsi="Times New Roman"/>
          <w:sz w:val="18"/>
          <w:szCs w:val="18"/>
          <w:color w:val="auto"/>
        </w:rPr>
      </w:pPr>
    </w:p>
    <w:p>
      <w:pPr>
        <w:ind w:left="1080" w:right="220" w:hanging="424"/>
        <w:spacing w:after="0" w:line="259"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Surveillance and Security</w:t>
      </w:r>
      <w:r>
        <w:rPr>
          <w:rFonts w:ascii="Times New Roman" w:cs="Times New Roman" w:eastAsia="Times New Roman" w:hAnsi="Times New Roman"/>
          <w:sz w:val="18"/>
          <w:szCs w:val="18"/>
          <w:color w:val="auto"/>
        </w:rPr>
        <w:t>. We consider companies with in-house application-specific integrated circuits (“ASICs”) that are either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or built around technology from suppliers, such as Ambarella, Inc., and start-up hardware developers, such as Hailo Technologies Ltd., to be competitors. In addition, this category includes merchants with already integrated solutions that have existing partnerships with expert solution vendors, such as Qualcomm Incorporated (“Qualcomm”), Intel Corporation’s (“Intel”) subsidiary, Movidius, and NVIDIA’s Jetson platform, who we also believe are our competitors.</w:t>
      </w:r>
    </w:p>
    <w:p>
      <w:pPr>
        <w:spacing w:after="0" w:line="84" w:lineRule="exact"/>
        <w:rPr>
          <w:rFonts w:ascii="Times New Roman" w:cs="Times New Roman" w:eastAsia="Times New Roman" w:hAnsi="Times New Roman"/>
          <w:sz w:val="18"/>
          <w:szCs w:val="18"/>
          <w:color w:val="auto"/>
        </w:rPr>
      </w:pPr>
    </w:p>
    <w:p>
      <w:pPr>
        <w:ind w:left="1080" w:right="40" w:hanging="424"/>
        <w:spacing w:after="0" w:line="26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Machine Vision</w:t>
      </w:r>
      <w:r>
        <w:rPr>
          <w:rFonts w:ascii="Times New Roman" w:cs="Times New Roman" w:eastAsia="Times New Roman" w:hAnsi="Times New Roman"/>
          <w:sz w:val="18"/>
          <w:szCs w:val="18"/>
          <w:color w:val="auto"/>
        </w:rPr>
        <w:t>. We compete with industrial autonomation, quality control, and other machine vision utilization industries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category. We believe our main competitors include field programmable gate array (“FPGA”) vendors, such as Altera Corporation (recently spun off from Intel) (“Altera”) and AMD’s subsidiary, Xilinx, Inc. (“Xilinx”), and anticipate future competition from merchant vendors, such as Qualcomm and NVIDIA’s Jetson platform.</w:t>
      </w:r>
    </w:p>
    <w:p>
      <w:pPr>
        <w:spacing w:after="0" w:line="81" w:lineRule="exact"/>
        <w:rPr>
          <w:rFonts w:ascii="Times New Roman" w:cs="Times New Roman" w:eastAsia="Times New Roman" w:hAnsi="Times New Roman"/>
          <w:sz w:val="18"/>
          <w:szCs w:val="18"/>
          <w:color w:val="auto"/>
        </w:rPr>
      </w:pPr>
    </w:p>
    <w:p>
      <w:pPr>
        <w:ind w:left="1080" w:right="80" w:hanging="424"/>
        <w:spacing w:after="0" w:line="26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Drones, Robotics and Other Embedded Applications</w:t>
      </w:r>
      <w:r>
        <w:rPr>
          <w:rFonts w:ascii="Times New Roman" w:cs="Times New Roman" w:eastAsia="Times New Roman" w:hAnsi="Times New Roman"/>
          <w:sz w:val="18"/>
          <w:szCs w:val="18"/>
          <w:color w:val="auto"/>
        </w:rPr>
        <w:t>. We believe competition in this category is primarily from in-house designs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 built ASICs (either fully proprietary or based on third-party technologies from vendors, such as Ambarella). Further, we believe that merchant options provided by NVIDIA and Qualcomm and FPGA solutions from Xilinx and Altera will also represent competitors in this category, albeit in a smaller and more fragmented fashion.</w:t>
      </w:r>
    </w:p>
    <w:p>
      <w:pPr>
        <w:spacing w:after="0" w:line="81" w:lineRule="exact"/>
        <w:rPr>
          <w:rFonts w:ascii="Times New Roman" w:cs="Times New Roman" w:eastAsia="Times New Roman" w:hAnsi="Times New Roman"/>
          <w:sz w:val="18"/>
          <w:szCs w:val="18"/>
          <w:color w:val="auto"/>
        </w:rPr>
      </w:pPr>
    </w:p>
    <w:p>
      <w:pPr>
        <w:ind w:left="1080" w:right="520" w:hanging="424"/>
        <w:spacing w:after="0" w:line="268"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Automotive</w:t>
      </w:r>
      <w:r>
        <w:rPr>
          <w:rFonts w:ascii="Times New Roman" w:cs="Times New Roman" w:eastAsia="Times New Roman" w:hAnsi="Times New Roman"/>
          <w:sz w:val="18"/>
          <w:szCs w:val="18"/>
          <w:color w:val="auto"/>
        </w:rPr>
        <w:t>. We believe competition in this category comes from programmable AI-based computer vision developed in-house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automotive OEMs and by solutions merchants, such as NVIDIA, Qualcomm, Mobileye Global Inc., and emerging start-ups, such as Tenstorrent Inc.</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various laws and regulations in the United States and internationally, which may expose us to liability, increase costs or have other adverse effects that could harm our business. These laws and regulations include but are not limited to data privacy and data localization, copyright or similar laws, anti-spam, consumer protection, employment, and taxation. Compliance with such laws can require changes to our business practices and significant management time and effort. Additionally, as we continue to develop and improve consumer-facing products and services, and as those offerings grow in popularity, the risk that additional laws and regulations will impact our business will continue to increase.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and Privacy</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All states have adopted laws requiring notice to consumers of certain security breaches involving their personal information. In the event of a security breach, these laws may subject us to incident response, notice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82"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remediation costs. Failure to safeguard data adequately or to destroy data (including personal information) securely could subject us to regulatory investigations, enforcement actions, and litigation under federal or state data privacy, data security, unfair practices, consumer protection, or other laws. The scope and interpretation of these laws could change, and the associated burdens and compliance costs could increase in the future.</w:t>
      </w:r>
    </w:p>
    <w:p>
      <w:pPr>
        <w:spacing w:after="0" w:line="176"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Privacy and security laws and regulations, cross-border data transfer restrictions, data localization requirements, and other domestic or foreign laws or regulations may expose us to liability, or otherwise adversely affect our business. Laws and regulations related to data privacy and the collection, processing, and disclosure of personal information are constantly evolving. Such laws and regulations could restrict our ability to store and process personal information (in particular, our ability to use personal information for purposes such as risk or fraud avoidance, marketing, or advertising), to control our costs by using certain vendors or service providers in certain jurisdictions and could limit our ability to effectively market or advertise to interested buyers and, in general, increase the resources required to operate our business. Additionally, such laws and regulations are often inconsistent and may be subject to amendment or reinterpretation, which may cause us to incur significant costs and expend significant effort to ensure compliance.</w:t>
      </w:r>
    </w:p>
    <w:p>
      <w:pPr>
        <w:spacing w:after="0" w:line="17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overall regulatory framework for AI and machine learning technologies (“AI Technologies”) is rapidly evolving as many federal, state and foreign government bodies and agencies have introduced, or are currently considering, AI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 example, in the U.S., the Biden administration issued a broad Executive Order on the Safe, Secure and Trustworthy Development and Use of Artificial Intelligence (the “2023 AI Order”) that sets out principles intended to guide AI design and deployment for the public and private sectors and signals the increase in governmental involvement and regulation over AI Technologies. The 2023 AI Order established certain new requirements for the training, testing and cybersecurity of sophisticated AI models and large-scale compute centers used to train AI models and instructed several other federal agencies to promulgate additional regulations. Already agencies such as the Department of Commerce and the Federal Trade Commission have issued proposed rules. On January 20, 2025, President Trump signed an Executive Order revoking the 2023 AI Order, and on January 23, 2025, issued an Executive Order entitled “Removing Barriers to American Leadership in Artificial Intelligence.” The new Executive Order seeks to maintain US leadership in AI innovation, “revokes certain existing AI policies and directives that act as barriers to American AI innovation,” and directs the Assistant to the President for Science and Technology, working with agency heads, to identify such policies and directives. This new Executive Order also requires the development of a new AI action plan within 180 days that must be “free from ideological bias or engineered social agendas.” While this action could indicate a less interventionist approach to AI than the prior administration, it is not clear how this new Executive Order will be implemented or whether it will affect rules issued by other agencies following the principles set forth in the 2023 AI Order.</w:t>
      </w:r>
    </w:p>
    <w:p>
      <w:pPr>
        <w:spacing w:after="0" w:line="190" w:lineRule="exact"/>
        <w:rPr>
          <w:sz w:val="20"/>
          <w:szCs w:val="20"/>
          <w:color w:val="auto"/>
        </w:rPr>
      </w:pPr>
    </w:p>
    <w:p>
      <w:pPr>
        <w:ind w:left="120" w:right="380" w:firstLine="440"/>
        <w:spacing w:after="0" w:line="289" w:lineRule="auto"/>
        <w:rPr>
          <w:sz w:val="20"/>
          <w:szCs w:val="20"/>
          <w:color w:val="auto"/>
        </w:rPr>
      </w:pPr>
      <w:r>
        <w:rPr>
          <w:rFonts w:ascii="Times New Roman" w:cs="Times New Roman" w:eastAsia="Times New Roman" w:hAnsi="Times New Roman"/>
          <w:sz w:val="17"/>
          <w:szCs w:val="17"/>
          <w:color w:val="auto"/>
        </w:rPr>
        <w:t>Legislation related to AI Technologies has also been introduced at the federal level and is advancing at the state level. For example, Colorado recently passed an AI Act, which regulates the development, deployment, and use of AI systems and the California Privacy Protection Agency is currently in the process of finalizing regulations under the California Consumer Privacy Act regarding the use of automated decision-making.</w:t>
      </w:r>
    </w:p>
    <w:p>
      <w:pPr>
        <w:spacing w:after="0" w:line="15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 For more information, please refer to “Risk Factors – We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82"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failure to comply with these privacy, security and AI laws or regulations could expose us to significant fines and penalties imposed by regulators and has in the past and could in the future expose us to legal claims by buyers, or other relevant stakeholders. Some of these laws permit individual or class action claims for certain alleged violations, increasing the likelihood of such legal claims. Similarly, many of these laws require us to maintain an online privacy policy, terms of service, and other informational pages that disclose our practices regarding the collection, processing, and disclosure of personal information. If these disclosures contain any information that a court or regulator finds to be inaccurate, we could also be exposed to legal or regulatory liability. Any such proceedings or violations could force us to spend money in defense or settlement of these proceedings, harm our reputation, result in the imposition of monetary liability or demanding injunctive relief, divert management’s time and attention, increase our costs of doing business, and materially adversely affect our reputation.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Anti-Corruption, Sanctions and CFIUS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FCPA prohibits corporations and individuals from engaging in improper activities to obtain or retain business or to influence a person working in an official capacity. It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 Similar laws exist in other countries, such as the UK, which restrict improper payments to persons in the public or private sector. Many countries have laws prohibiting these types of payments within the respective country. Historically, technology companies have been the target of FCPA and other anti-corruption investigations and penalties.</w:t>
      </w:r>
    </w:p>
    <w:p>
      <w:pPr>
        <w:spacing w:after="0" w:line="19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addition, we are subject to U.S. and foreign laws and regulations that restrict our activities in certain countries and with certain persons. These include the economic sanctions regulations administered by the U.S. Treasury Department’s Office of Foreign Assets Control and the export control laws administered by the U.S. Commerce Department’s Bureau of Industry and Security.</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Investment in the Company by non-U.S. investors may be subject to the jurisdiction of and review by the Committee on Foreign Investment in the U.S. (“CFIUS”), which has the power to rescind or mitigate transactions, or impose monetary penalties for violations of CFIUS regulations. Because we develop technology that is deemed “critical” from a U.S. national security perspective, certain investments by non-U.S. persons or entities could trigger mandatory CFIUS filings before an investment is allowed to close.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believe our success depends in part upon our ability to develop and protect our core technology and intellectual property rights. We have built a portfolio of intellectual property rights, including issued patents and registered trademarks, copyrights, confidential technical information, and expertise in the AI and ML at the edge sectors.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own numerous issued patents and pending patent applications. As of December 31, 2024, we held 39 patents and had 17 pending patent applications. Our patents are expected to expire between June 16, 2031 and September 24, 2044. Our two issued and allowed foreign patents include patents in two separate countries: the United Kingdom and Korea. Our five pending foreign patent applications include patent applications in India. Our patents contain a broad range of claims related to the field of AI and parallel processing architecture.</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addition to actively seeking patent protection covering inventions originating from us, from time to time, we review opportunities to acquire or in-license patents to the extent we believe such patents may be useful or relevant to our business.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00"/>
          </w:cols>
          <w:pgMar w:left="320" w:top="482" w:right="4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440"/>
        <w:spacing w:after="0" w:line="281" w:lineRule="auto"/>
        <w:rPr>
          <w:sz w:val="20"/>
          <w:szCs w:val="20"/>
          <w:color w:val="auto"/>
        </w:rPr>
      </w:pPr>
      <w:r>
        <w:rPr>
          <w:rFonts w:ascii="Times New Roman" w:cs="Times New Roman" w:eastAsia="Times New Roman" w:hAnsi="Times New Roman"/>
          <w:sz w:val="17"/>
          <w:szCs w:val="17"/>
          <w:color w:val="auto"/>
        </w:rPr>
        <w:t>We have filed patent and trademark applications in order to further secure these rights and strengthen our ability to defend against third parties who may infringe on our rights. We also rely on trade secrets, design and manufacturing know-how, and continuing technological innovations to maintain and improve our competitive position. Additionally, we protect our proprietary rights through agreements with our commercial partners, supply-chain vendors, employees, and consultants, as well as close monitoring of the developments and products in the industry.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Except as listed below, we are not currently a party to any litigation or legal proceedings that, in the opinion of our management, may have a material adverse effect on our business. Regardless of outcome, litigation can have an adverse impact on us because of defense and settlement costs, diversion of management resources and other factors.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Jefferies LLC v. Blaize Holdings, Inc. (formerly known as BurTech Acquisition Corp.)</w:t>
      </w:r>
    </w:p>
    <w:p>
      <w:pPr>
        <w:spacing w:after="0" w:line="119"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On September 9, 2024, BurTech entered into an Advisory Services Engagement Letter with Jefferies to serve as its exclusive capital markets advisor in connection with the contemplated transaction involving Legacy Blaize (i.e. the Business Combination) (the “Jefferies Engagement Letter”).</w:t>
      </w:r>
    </w:p>
    <w:p>
      <w:pPr>
        <w:spacing w:after="0" w:line="14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April 7, 2025, Jefferies commenced a lawsuit against the Company in the Supreme Court of the State of New York, County of New York, seeking summary judgment in lieu of complaint. The lawsuit alleges that pursuant to the Jefferies Engagement Letter, Jefferies was entitled to receive a fee of $4,500,000 conditional on the Closing of the Business Combination, with the option for the Company to defer up to $1,000,000 of this fee for up to 12 months post-closing, and $500,000 in reimbursable expenses. Jefferies alleges that as of March 31, 2025, no fees have been paid to Jefferies under the Jefferies Engagement Letter. Jefferies seeks $3,500,000 for its fees, as well as $500,000 in expense reimbursement, as well as pre-and post-judgment interest and attorneys’ fees and legal costs incurred in connection with the lawsuit. The Company has retained counsel and intends to vigorously defend the litigation.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January 1, 2025, we employed a total of approximately 232 people globally, including 56 people on a full-time basis in the United States and 220 people on a full-time basis internationally, either directly through our international subsidiaries or through a professional employer organization. This included approximately 166 hardware and software engineers. As the Company scales to deliver on its product roadmap, we expect to significantly expand our engineering strength. We also engage consultants and contractors to supplement our permanent workforce where the skill is specialized and temporary. None of our employees are represented by a labor union or covered by collective bargaining agreements. We believe we have strong and positive relations with our employees.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El Dorado Hills, California where we lease approximately 1,753 square feet of office space pursuant to a lease that expires on December 14, 2025. Our El Dorado Hills premises contains administrative functions of the company. We also lease approximately 4,192 square feet of office space pursuant to a lease that expires on September 1, 2026. Our San Jose premises contains engineering and research and development functions of the company.</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lease approximately 35,000 square feet of office space in Hyderabad, India pursuant to leases that expire on September 30, 2028. Our India premises contains engineering, research and development, and administrative functions of the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82"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lease approximately 1,000 square feet of office space in the United Kingdom pursuant to a lease that expires on August 9, 2029. Our U.K. premises contains engineering, research and development, and administrative functions of Blaize. We also lease approximately 1,500 square feet of office space in the United Kingdom pursuant to a lease that expired on July 15, 2025, which contains engineering and R&amp;D functions for Blaize. The Company is currently negotiating a lease extension for the 1,500 square foot office space lease in the United Kingdom and expects to sign a short-term renewal.</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believe that our office and other space is adequate for our current needs and, should we need additional space, we believe we will be able to obtain additional space on commercially reasonable terms.</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80"/>
          </w:cols>
          <w:pgMar w:left="320" w:top="482" w:right="5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and Board of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sets forth certain information, as of March 31, 2025, concerning the persons who serve as our executive officers and directors.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00" w:type="dxa"/>
            <w:vAlign w:val="bottom"/>
            <w:tcBorders>
              <w:bottom w:val="single" w:sz="8" w:color="CCEEFF"/>
            </w:tcBorders>
          </w:tcPr>
          <w:p>
            <w:pPr>
              <w:spacing w:after="0"/>
              <w:rPr>
                <w:sz w:val="16"/>
                <w:szCs w:val="16"/>
                <w:color w:val="auto"/>
              </w:rPr>
            </w:pPr>
          </w:p>
        </w:tc>
        <w:tc>
          <w:tcPr>
            <w:tcW w:w="508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Dinakar Munagala</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50</w:t>
            </w:r>
          </w:p>
        </w:tc>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Harminder Sehmi</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63</w:t>
            </w:r>
          </w:p>
        </w:tc>
        <w:tc>
          <w:tcPr>
            <w:tcW w:w="5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Nominees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Frank</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68</w:t>
            </w:r>
          </w:p>
        </w:tc>
        <w:tc>
          <w:tcPr>
            <w:tcW w:w="5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Lane M. Bess</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63</w:t>
            </w:r>
          </w:p>
        </w:tc>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78</w:t>
            </w:r>
          </w:p>
        </w:tc>
        <w:tc>
          <w:tcPr>
            <w:tcW w:w="5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59</w:t>
            </w:r>
          </w:p>
        </w:tc>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de Urioste</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69</w:t>
            </w:r>
          </w:p>
        </w:tc>
        <w:tc>
          <w:tcPr>
            <w:tcW w:w="5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Yoshiaki Fujimori</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73</w:t>
            </w:r>
          </w:p>
        </w:tc>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Dinakar Munagala, Chief Executive Officer and Director</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Dinakar Munagala, 50, has served as our Chief Executive Officer and Director since January 2025, and as a co-founder of Legacy Blaize, he previously served as our Chief Executive Officer and a member of the board of directors of Legacy Blaize since our inception in January 2010. Prior to that, Mr. Munagala has served in a leadership role in the Graphics Division of Intel Corporation. Mr. Munagala holds a Bachelor’s of Science Degree in Electrical and Computer Engineering from Osmania University and Master’s Degree in Electric and Computer Engineering from Purdue University. We believe that Mr. Munagala is qualified to serve as a member of the Board due to his education and extensive experience as an executive officer and board member of companies in the technology space.</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Harminder Sehmi, Chief Financial Officer</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Harminder Sehmi, 63, has served as our Chief Financial Officer since January 2025, and previously served as Chief Financial Officer of Legacy Blaize since November 2023. From July 2019 to October 2023, Mr. Sehmi served as our Vice President of Finance overseeing the Finance, Legal and Human Resources functions. Prior to that, from October 2011 to May 2016, Mr. Sehmi served as the Finance Director of Truphone, a GSMA-accredited global mobile network headquartered in London, with operations globally. In addition, Mr. Sehmi served in a variety of operational, group and global roles with Vodafone Group PLC.</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Mr. Sehmi is a member of the Institute of Chartered Accountants in England and Wales (ACA) and he obtained his Accounting qualifications from the Oxford Brookes University and a Masters in Business Administration from the Cranfield School of Management.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Lane M. Bess, Director</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Lane Bess, 63, has served as Chairman of our Board since January 2025, and previously served as a member of the board of directors of Legacy Blaize since January 2022. Since September 2022, Mr. Bess has served as the Chief Executive Officer of Deep Instinct, a cybersecurity company that applies deep learning to cybersecurity. In addition, he has served as the Principal and Founder of Bess Ventures and Advisory since March 2015. Prior to that, he served as the Chief Operating Officer of Zscaler Inc., a cloud-based internet security services company. Since 2019, Mr. Bess has served as a member of the board of directors of TrueFort Inc., a software company offering advanced microsegmentation tools and solutions for real-time visibility into the production environment.</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40"/>
          </w:cols>
          <w:pgMar w:left="320" w:top="482"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Mr. Bess received a Bachelor’s of Science degree in Managerial Economics from Carnegie Mellon University and a Master’s Degree in Business Administration from the University of Dayton. We believe that Mr. Bess is qualified to serve as a member of our board of directors due to his over 30 years as an operational executive officer of companies in the technology space and extensive experience in building technology businesses in Europe, Asia Pacific and Japan, among other international regions.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Tony Cannestra, Director</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Tony Cannestra, 59, has served as a member of our Board since January 2025, and previously served as a member of the board of directors of Legacy Blaize since October 2016. From April 2014 to March 2025, Mr. Cannestra has served as a Director of Corporate Ventures for DENSO International America, a U.S. subsidiary of DENSO Corporation, a global automotive components manufacturer headquartered in Japan. He currently serves as a member of the board of directors of Dellfer, Inc., an Internet of Things (IoT) and automotive cybersecurity company; Quadric, a company developing a leading processor architecture optimized for on-device AI computing; Lambda:4, a developer of a leading range algorithm for Bluetooth Channel Sounding; Metawave Corporation, a wireless technology company that builds intelligent and high-performance automotive radars by leveraging metamaterials and AI; and Canatu, a carbon nanomaterial developer. Previously, from May 2019 to November 2020, Mr. Cannestra previously served on the board of directors of BOND Mobility. Mr. Cannestra received a Bachelor of Arts in International Economics from the University of California at Berkeley and a Masters in Business Administration, with a Certificate in Management of Technology, from the University of California at Berkeley. We believe that Mr. Cannestra is qualified to serve as a member of our board of directors due to his education and extensive experience as a director of companies in the technology and automotive industry.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Dr. Edward (Ed) H. Frank, Director</w:t>
      </w:r>
    </w:p>
    <w:p>
      <w:pPr>
        <w:spacing w:after="0" w:line="121"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Dr. Edward H. Frank, 68, has served as a member of our Board since January 2025 and as Lead Independent Director of our Board since March 2025, and previously served as a member of the board of directors of Legacy Blaize since December 2021. Dr. Frank has served as the Executive Chair of Gradient Technologies, an Identity and Access Management cybersecurity startup, and a member of the board of directors of Rocket Lab, since September 2022. In addition, he has served on the board of directors of Analog Devices and SiTime since July 2014 and November 2019, respectively.</w:t>
      </w:r>
    </w:p>
    <w:p>
      <w:pPr>
        <w:spacing w:after="0" w:line="164" w:lineRule="exact"/>
        <w:rPr>
          <w:sz w:val="20"/>
          <w:szCs w:val="20"/>
          <w:color w:val="auto"/>
        </w:rPr>
      </w:pPr>
    </w:p>
    <w:p>
      <w:pPr>
        <w:ind w:left="120" w:right="100" w:firstLine="440"/>
        <w:spacing w:after="0" w:line="273" w:lineRule="auto"/>
        <w:rPr>
          <w:sz w:val="20"/>
          <w:szCs w:val="20"/>
          <w:color w:val="auto"/>
        </w:rPr>
      </w:pPr>
      <w:r>
        <w:rPr>
          <w:rFonts w:ascii="Times New Roman" w:cs="Times New Roman" w:eastAsia="Times New Roman" w:hAnsi="Times New Roman"/>
          <w:sz w:val="17"/>
          <w:szCs w:val="17"/>
          <w:color w:val="auto"/>
        </w:rPr>
        <w:t>Previously, Dr. Frank served on the board of directors of Cavium, FusionIO, Marvell, and Quantenna and prior to Gradient Technologies, he was co-founder and CEO of Cloud Parity Inc., a voice-of-the-customer startup in the SF Bay Area, founded in late 2013. Dr. Frank is also a named inventor on over 50 issued patents and serves as an advisor to and/or board member of several startups. Dr. Frank holds a Bachelor’s of Science Degree and Master’s Degree in Electric Engineering from Stanford University and received a Ph.D. in Computer Science from Carnegie Mellon University, where he was a Hertz Foundation Fellow. He is a member of the National Academy of Engineering (NAE), a Fellow of the Institute for Electrical and Electronic Engineers (IEEE), and a Board Leadership Fellow of the National Association of Corporate Directors (NACD). We believe that Dr. Frank is qualified to serve as a member of the Board due to his education and extensive experience as a board member of companies in the technology space.</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Dr. Jüergen Hambrecht, Director</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Dr. Jüergen Hambrecht, 78, has served as a member of our Board since January 2025, and previously served as a member of the board of directors of Legacy Blaize since February 2022. From 2014 to 2020, Dr. Hambrecht served as the Chief Executive Officer and Chairman of the board of directors of BASF SE, a global supplier of chemicals for industries including construction and coatings, automotive, health and nutrition, among others. Since 2020, Dr. Hambrecht has served as a member of the board of directors for Nyxoah S.A. and as lead director of the board for AYA Gold &amp; Silver. Previously, from 2008 to 2021, he served as member of the board of directors and as a member on the presidential committee of Mercedes-Benz AG, a German multinational</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82" w:right="4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automotive company and one of the world’s leading car manufacturers. In addition, Dr. Hambrecht served on the board of directors of Daimler Truck AG from 2019 to 2021. Dr. Hambrecht received a Doctorate in Chemistry from the University of Tübingen, Germany. We believe that Dr. Hambrecht is qualified to serve as a member of the Board due to his education and extensive experience as a board member of automotive and materials and supply companies.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George de Urioste, Director</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George de Urioste, 69, has served as a member of our Board since January 2025. From August 2023 to present, he has served as a member of the board of directors of Roambee Corporation and from September 2021 to present, he has served on the board of directors of HeartBeam Inc. From October 2021 to present, Mr. de Urioste has performed a variety of consulting and advisor services, including interim chief financial officer of Mozilla Corporation and previously Marvell Technologies, Inc. From April 2019 to September 2020, he served as the chief financial officer of 4iQ, Inc., a cybersecurity intelligence company. His overall experience includes ten board of director roles, including several audit committee chairman roles and other committee roles. Mr. de Urioste received a Bachelor of Science in Accounting from the University of Southern California and a Master of Business Administration, Finance &amp; International Business, from the University of California at Berkeley and is a Certified Public Accountant (inactive). We believe that Mr. de Urioste is qualified to serve as a member of our board of directors due to his education and extensive experience as a CFO and COO at public and private companies, his public accounting experience at Deloitte and extensive experience as a director of companies in the technology industry.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Yoshiaki Fujimori, Director</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Yoshiaki Fujimori, 73, has served as a member of our Board since January 2025. Mr. Fujimori has served as an outside director for Takeda Pharmaceutical Company Limited since June 2016 and Boston Scientific Corporation since July 2016, and as an outside director and Chairman for Oracle Japan Corporation since August 2018. He is a partner of Corporate Support Research Institute Ltd. since July 2023. He serves as a Senior Executive Advisor for CVC Capital Partners Asia Pacific Japan Ltd. since February 2017. He serves as outside director for those portfolio companies of CVC including Riraku Co. Ltd., Torai Co. Ltd. and Sogo Medical Co. Ltd. He also serves as a Senior Executive Advisor for GENPACT Japan Ltd. since January 2018. He serves as a Senior Advisor for Deloitte-Tohmatsu Financial Advisory LLC since October 2020. He serves as a Senior Executive Advisor for DigitalBridge Group Inc. since September 2024. He owns controlling ownership of those private companies including Hobart Inc., Capital Z Inc., Future Leadership Platform Inc., and zSustainergy Inc. Previously he spent 25 years with General Electric for various CEO roles including CEO of GE Plastics, CEO of GE Healthcare Asia, CEO of GE Money Asia and CEO of GE Asia. He served as outside director for Toshiba Corporation from 2019 to 2021 and Shiseido Co. Ltd. from 2020 to 2022. Mr. Fujimori received a Bachelor of Science Degree in Petroleum Engineering from the University of Tokyo and a Master in Business Administration from Carnegie Mellon Graduate School of Business, where he serves as a member of the Board of Trustees. We believe that Mr. Fujimori is qualified to serve as a member of our board of directors due to his education, extensive leadership and director experiences for companies in the technology and manufacturing spaces.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Dinakar Munagala, Chief Executive Officer Director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biographical information above in the Directors section.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Harminder Sehmi, Chief Financial Officer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biographical information above in the Directors section.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82"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structure our corporate governance in a manner we believe closely aligns our interests with those of our stockholders. Notable features of this corporate governance include:</w:t>
      </w:r>
    </w:p>
    <w:p>
      <w:pPr>
        <w:spacing w:after="0" w:line="67" w:lineRule="exact"/>
        <w:rPr>
          <w:sz w:val="20"/>
          <w:szCs w:val="20"/>
          <w:color w:val="auto"/>
        </w:rPr>
      </w:pPr>
    </w:p>
    <w:p>
      <w:pPr>
        <w:ind w:left="1080" w:right="16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independent director representation on our audit, compensation and nominating committees, and our independent directors meet regularly in executive sessions without the presence of our corporate officers or non-independent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of our directors qualifies as an “audit committee financial expert” as defined by the SEC;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begun to and will continue to implement a range of other corporate governance best practices, including implementing a robust director education program.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Nasdaq listing standards require that a majority of the Board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The Company’s independent directors expect to have regularly scheduled meetings at which only independent directors are present. Any affiliated transactions will be on terms no less favorable to the Company than could be obtained from independent parties. Our Board will review and approve all affiliated transactions with any interested director abstaining from such review and approval.</w:t>
      </w:r>
    </w:p>
    <w:p>
      <w:pPr>
        <w:spacing w:after="0" w:line="187"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Based on information provided by each director concerning his or her background, employment and affiliations, the Board has determined that each of the directors, other than Dinakar Munagala and Lane Bess, do not have a relationship that would interfere with the exercise of independent judgment in carrying out the responsibilities of a director and that each of these directors is an “independent director” as defined in the Nasdaq listing standards and applicable SEC rules. In making these determinations, the Board considered the current and prior relationships that each non-employee director has with the Company and all other facts and circumstances that the Board deemed relevant in determining their independence, including the beneficial ownership of the Company’s capital stock by each non-employee director, and the transactions involving them. See “Certain Relationships and Related Persons Transactions.”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Leadership Structure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Lane M. Bess serves as our Chairman of the Board and Edward Frank is the Board’s lead independent director. Our Board has adopted the Lead Independent Director Guidelines, pursuant to which the independent directors of the Board will elect from among themselves a lead independent director when the Chairperson of the Board is not an independent director. We do not have a formal policy as to whether the same person should serve as our Chairperson of the Board and Chief Executive Officer. Our Board has determined its leadership structure is appropriate and effective given our stage of development.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the Board of Directors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Our Board consists of seven (7) members, with each director having a term that expires at our annual meeting of stockholders in 2025 and when his or her respective successor is duly elected and qualified, or upon his or her earlier death, resignation, retirement or removal. There is no cumulative voting with respect to the election of directors, with the result that the holders of more than 50% of the shares voted for the election of directors can elect all of the directors. Lane M. Bess will serve as Chairman of the Board.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82"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each annual meeting of stockholders, the successors to our directors will be elected to serve from the time of election and qualification until the next annual meeting following their election and until their successors are duly elected and qualified, or their earlier resignation, removal, disqualification or death. Our directors may be removed for cause by the affirmative vote of the holders of at least sixty-six and two-thirds percent (66 2/3%) of our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Board directs the management of our business and affairs, as provided by Delaware law, and conducts its business through meetings of the Board and standing committees. The standing committees of our Board include an audit committee of the Board (the “Audit Committee”) and a compensation committee of the Board (the “Compensation Committee”), each of which operates under a charter that has been approved by our board of directors. Such charters are available on our website at https://ir.blaize.com/corporate-governance/documents-charters. The reference to our website address does not constitute incorporation by reference of the information contained at or available through our website. We have included our website address as an inactive textual reference only.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is primarily concerned with the effectiveness of our audits by our internal audit staff and by our independent auditors and is responsible for, among other things:</w:t>
      </w:r>
    </w:p>
    <w:p>
      <w:pPr>
        <w:spacing w:after="0" w:line="67" w:lineRule="exact"/>
        <w:rPr>
          <w:sz w:val="20"/>
          <w:szCs w:val="20"/>
          <w:color w:val="auto"/>
        </w:rPr>
      </w:pPr>
    </w:p>
    <w:p>
      <w:pPr>
        <w:ind w:left="1080" w:right="72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independence, compensation, retention, oversight and qualifications of our independent auditors and determining whether to retain our existing independent auditors or engage new independent auditors;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reporting processes and disclosure controls;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our independent auditors to perform audit services and any permissible non-audit services;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policies and procedures, including reviewing, with the independent auditors, management’s plans with respect to the responsibilities, budget, staffing and effectiveness of our internal audit function, and reviewing and approving our head of internal audit (if established);</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us;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9" w:lineRule="auto"/>
        <w:tabs>
          <w:tab w:leader="none" w:pos="10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reviewing at least annually (if required by applicable stock exchange listing requirements) or as otherwise determined, a report by our independent auditors describing the independent auditors’ internal quality-control procedures and any material issues raised by the most recent internal quality-control review, peer review, or any inquiry or investigation by governmental or professional authorities;</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hiring policies for employees or former employees of our independent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our independent auditors on our engagement team as required by law;</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relationships that may reasonably be thought to bear on the independence of the committee, receiving and reviewing a letter from the independent auditor affirming their independence, discussing the potential effects of any such relationship, and assessing and otherwise taking the appropriate action to oversee the independence of our independent auditor;</w:t>
      </w:r>
    </w:p>
    <w:p>
      <w:pPr>
        <w:spacing w:after="0" w:line="81"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annual and quarterly financial statements and reports and discussing the statements and reports with our independent auditors and management;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00"/>
          </w:cols>
          <w:pgMar w:left="320" w:top="482" w:right="4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440" w:hanging="424"/>
        <w:spacing w:after="0" w:line="26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auditors and management significant issues that arise regarding accounting principles and financial statement presentation and matters concerning the scope, adequacy and effectiveness of our financial controls and critical accounting policies;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independent auditors any earnings announcements, disclosures and other financial information and guidance;</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review, retention and investigation of complaints received by us regarding financial controls, accounting, auditing or other matters;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our annual proxy statement;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of any related party transactions in accordance with our related party transaction policy and reviewing and monitoring compliance with legal and regulatory responsibilities, including our code of business conduct and ethics;</w:t>
      </w:r>
    </w:p>
    <w:p>
      <w:pPr>
        <w:spacing w:after="0" w:line="67" w:lineRule="exact"/>
        <w:rPr>
          <w:rFonts w:ascii="Times New Roman" w:cs="Times New Roman" w:eastAsia="Times New Roman" w:hAnsi="Times New Roman"/>
          <w:sz w:val="18"/>
          <w:szCs w:val="18"/>
          <w:color w:val="auto"/>
        </w:rPr>
      </w:pPr>
    </w:p>
    <w:p>
      <w:pPr>
        <w:ind w:left="1080" w:right="340" w:hanging="424"/>
        <w:spacing w:after="0" w:line="312" w:lineRule="auto"/>
        <w:tabs>
          <w:tab w:leader="none" w:pos="10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management risks related to data privacy, technology and information security, including cybersecurity, back-up of information systems, and policies and procedures that we have in place to monitor and control such exposures;</w:t>
      </w:r>
    </w:p>
    <w:p>
      <w:pPr>
        <w:spacing w:after="0" w:line="45" w:lineRule="exact"/>
        <w:rPr>
          <w:rFonts w:ascii="Times New Roman" w:cs="Times New Roman" w:eastAsia="Times New Roman" w:hAnsi="Times New Roman"/>
          <w:sz w:val="17"/>
          <w:szCs w:val="17"/>
          <w:color w:val="auto"/>
        </w:rPr>
      </w:pPr>
    </w:p>
    <w:p>
      <w:pPr>
        <w:ind w:left="108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major financial risk exposures, including the guidelines and policies to govern the process by which risk assessment and risk management is implemented;</w:t>
      </w:r>
    </w:p>
    <w:p>
      <w:pPr>
        <w:spacing w:after="0" w:line="67"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analyses prepared by management or the independent auditors setting forth significant financial reporting issues and judgments made in connection with the preparation of the financial statements, including analyses of the effects of alternative GAAP methods on the financial statements;</w:t>
      </w:r>
    </w:p>
    <w:p>
      <w:pPr>
        <w:spacing w:after="0" w:line="81" w:lineRule="exact"/>
        <w:rPr>
          <w:rFonts w:ascii="Times New Roman" w:cs="Times New Roman" w:eastAsia="Times New Roman" w:hAnsi="Times New Roman"/>
          <w:sz w:val="18"/>
          <w:szCs w:val="18"/>
          <w:color w:val="auto"/>
        </w:rPr>
      </w:pPr>
    </w:p>
    <w:p>
      <w:pPr>
        <w:ind w:left="1080" w:right="280" w:hanging="424"/>
        <w:spacing w:after="0" w:line="261"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independent auditors any disagreement between them regarding financial reporting, accounting practices or policies, or other matters, that individually or in the aggregate could be significant to our financial statements or the independent auditor’s report, reviewing management’s response, and resolving any other conflicts or disagreements regarding financial reporting;</w:t>
      </w:r>
    </w:p>
    <w:p>
      <w:pPr>
        <w:spacing w:after="0" w:line="85" w:lineRule="exact"/>
        <w:rPr>
          <w:rFonts w:ascii="Times New Roman" w:cs="Times New Roman" w:eastAsia="Times New Roman" w:hAnsi="Times New Roman"/>
          <w:sz w:val="18"/>
          <w:szCs w:val="18"/>
          <w:color w:val="auto"/>
        </w:rPr>
      </w:pPr>
    </w:p>
    <w:p>
      <w:pPr>
        <w:ind w:left="1080" w:right="420" w:hanging="424"/>
        <w:spacing w:after="0" w:line="26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reviewing with management, the independent auditors, and outside advisors or accountants any correspondence with regulators or governmental agencies and any published reports that raise material issues regarding Blaize’s financial statements or accounting policies;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legal and regulatory compliance and any material current, pending or threatened legal matters;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Audit Committee consists of George de Urioste, Edward Frank and Tony Cannestra, with George de Urioste serving as chair. Rule 10A-3 of the Exchange Act and Nasdaq rules require that our Audit Committee must be composed entirely of independent members. Our Board has affirmatively determined that George de Urioste, Edward Frank and Tony Cannestra each meet the definition of “independent director” for purposes of serving on the Audit Committee under Rule 10A-3 of the Exchange Act and Nasdaq rules. Each member of our Audit Committee also meets the financial literacy requirements of Nasdaq listing standards. In addition, our Board has determined that George de Urioste qualifies as an “audit committee financial expert,” as such term is defined in Item 407(d)(5) of Regulation S-K. Our Board adopted a written charter for the Audit Committee, which is available on our corporate website at www.blaize.com. The information on any of our websites is deemed not to be incorporated in this prospectus or to be part of this prospectus.</w:t>
      </w:r>
    </w:p>
    <w:p>
      <w:pPr>
        <w:spacing w:after="0" w:line="192"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The Audit Committee meets with our independent auditors at least quarterly to discuss the results of the annual audit or interim periodic reviews and to review the financial statements; appoints the independent auditors to be retained; oversees the independence of the independent accountants; evaluates the independent auditors’ performance; approves fees paid to independent auditors and receives and considers the independent auditors’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00"/>
          </w:cols>
          <w:pgMar w:left="320" w:top="482" w:right="4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comments as to controls, adequacy of staff and management performance and procedures in connection with audit and financial controls. The Audit Committee did not meet during fiscal year 2024 as it was formed upon the closing of the Business Combination on January 13, 2025.</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Compensation Committee is primarily concerned with overall compensation strategy and policies and is responsible for, among other things:</w:t>
      </w:r>
    </w:p>
    <w:p>
      <w:pPr>
        <w:spacing w:after="0" w:line="131"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that pertain to our overall compensation strategy and policies;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annually the compensation and other terms of employment of our executive officers and other members of senior management, in the Compensation Committee’s discretion;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type and amount of compensation to be paid or awarded to our non-employee board members;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benefit plans;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change in control protections, indemnification agreements and any other material arrangements with our executive officers and other members of senior management, in the Compensation Committee’s discretion;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appropriate insurance coverage for our directors and officers;</w:t>
      </w:r>
    </w:p>
    <w:p>
      <w:pPr>
        <w:spacing w:after="0" w:line="128" w:lineRule="exact"/>
        <w:rPr>
          <w:rFonts w:ascii="Times New Roman" w:cs="Times New Roman" w:eastAsia="Times New Roman" w:hAnsi="Times New Roman"/>
          <w:sz w:val="18"/>
          <w:szCs w:val="18"/>
          <w:color w:val="auto"/>
        </w:rPr>
      </w:pPr>
    </w:p>
    <w:p>
      <w:pPr>
        <w:ind w:left="1080" w:right="320" w:hanging="424"/>
        <w:spacing w:after="0" w:line="284"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disclosures under the caption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in our periodic reports or proxy statements to be filed with the SEC, to the extent such caption is included in any such report or proxy statement;</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our annual proxy statement;</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for employee compensation as related to risk management and risk-taking incentives to determine if such compensation policies and practices are reasonably likely to have a material adverse effect on us;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monitoring stock ownership guidelines for our directors and executive officers, if and as determined to be necessary or appropriate;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recommendations to our Board on compensation-related proposals to be considered at our annual meeting of stockholders;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if appropriate, the independence of and any conflicts of interest raised by the work of a compensation consultant, outside legal counsel, or advisor hired by the compensation committee or management and how such conflict is being addressed for disclosure in the appropriate filing or report;</w:t>
      </w:r>
    </w:p>
    <w:p>
      <w:pPr>
        <w:spacing w:after="0" w:line="81"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discussing with management our human capital management practices with respect to its employees and, where applicable, independent contractors;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modifying, as needed, clawback policies allowing us to recoup improper compensation paid to employees;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Compensation Committee and recommending such changes as deemed necessary with our Board</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consists of Edward Frank, George de Urioste and Tony Cannestra, with Edward Frank serving as chair. Our Board has affirmatively determined that Edward Frank, George de Urioste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40"/>
          </w:cols>
          <w:pgMar w:left="320" w:top="482"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and Tony Cannestra each meet the definition of “independent director” for purposes of serving on the Compensation Committee under Nasdaq rules, and are “non-employee directors” as defined in Rule 16b-3 of the Exchange Act. Our Board adopted a written charter for the Compensation Committee, which is available on our corporate website at www.blaize.com The information on any of our websites is deemed not to be incorporated in this prospectus or to be part of this prospectus.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Nomination of Directors</w:t>
      </w:r>
    </w:p>
    <w:p>
      <w:pPr>
        <w:spacing w:after="0" w:line="11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do not have a nominating and corporate governance committee of the Board. Pursuant to Nasdaq Rule 5605-6(e)(1), the nomination of directors is made, or recommended to the Board by a majority of our independent directors. We may in the future establish a nominating and corporate governance committee for the nomination of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our Board in Risk Oversight/Risk Committee</w:t>
      </w:r>
    </w:p>
    <w:p>
      <w:pPr>
        <w:spacing w:after="0" w:line="121"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Our board of directors is responsible for overseeing our risk management process. Our board of directors does not have a standing risk management committee, but rather anticipates administering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will have the responsibility to consider and discuss our major financial risk exposures and the steps its management will take to monitor and control such exposures, including guidelines and policies to govern the process by which risk assessment and management is undertaken. The audit committee also monitors compliance with legal and regulatory requirements. Our compensation committee assesses and monitors whether our compensation plans, policies and programs comply with applicable legal and regulatory requirements.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None of our members of our Compensation Committee has ever been an executive officer or employee of Blaize. None of our executive officers currently serve, or has served during the last completed fiscal year, on the compensation committee or board of directors of any other entity that has one or more executive officers that will serve as a member of our Board or Compensation Committee.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for Employees, Executive Officers and Directors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adopted a written code of business conduct and ethics that applies to our directors, officers and employees. A copy of the code is posted on our corporate website at www.blaize.com/investors/. Information contained on or accessible through our website is not a part of this prospectus, and the inclusion of our website address in this prospectus is an inactive textual reference only. The nominating and corporate governance committee of our Board is responsible for overseeing the Code of Conduct and must approve any waivers of the Code of Conduct for employees, executive officers and directors. Any amendments to the Code of Conduct, or any waivers of its requirements, will be disclosed on our website.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Our Third Amended and Restated Certificate of Incorporation limits the liability of the directors and officers of Blaize to the fullest extent permitted by law, and our Amended and Restated Bylaws provide that we will indemnify them to the fullest extent permitted by such law. We have entered and expect to continue to enter into agreements to indemnify our directors, executive officers and other employees as determined by our Board.</w:t>
      </w:r>
    </w:p>
    <w:p>
      <w:pPr>
        <w:spacing w:after="0" w:line="158"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82"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indemnitee’s involvement was by reason of the fact that the indemnitee, or a person for whom he or she is the legal representative, is or was a director or officer of Blaize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 may reduce our available funds to satisfy successful third-party claims against us and may reduce the amount of money available to us.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Blaize maintains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its directors or officers. The coverage provided by these policies may apply whether or not the Company would have the power to indemnify such person against such liability under the provisions of the DGCL. At present, we are not aware of any pending litigation or proceeding involving any person who will be one of the Company’s directors or officers or is or was one of its directors or officers, or is or was one of its directors or officers serving at its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of corporations and their stockholders for monetary damages for breaches of directors’ fiduciary duties, subject to certain exceptions. Our Third Amended and Restated Certificate of Incorporation includes a provision that eliminates the personal liability of directors for damages for any breach of fiduciary duty as a director where, in civil proceedings, the person acted in good faith and in a manner that person reasonably believed to be in or not opposed to the best interests of our Company or, in criminal proceedings, where the person had no reasonable cause to believe that his or her conduct was unlawful.</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limitation of liability, advancement and indemnification provisions in our Third Amended and Restated Certificate of Incorporation and our Amended and Restated Bylaws may discourage stockholders from bringing lawsuit against directors for breach of their fiduciary duty. These provisions also may have the effect of reducing the likelihood of derivative litigation against directors and officers, even though such an action, if successful, might otherwise benefit Blaize and our stockholders. In addition, your investment may be adversely affected to the extent Blaize pays the costs of settlement and damage awards against directors and officer pursuant to these indemnification provisions.</w:t>
      </w:r>
    </w:p>
    <w:p>
      <w:pPr>
        <w:spacing w:after="0" w:line="183" w:lineRule="exact"/>
        <w:rPr>
          <w:sz w:val="20"/>
          <w:szCs w:val="20"/>
          <w:color w:val="auto"/>
        </w:rPr>
      </w:pPr>
    </w:p>
    <w:p>
      <w:pPr>
        <w:ind w:left="120" w:right="1100" w:firstLine="440"/>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Blaize’s directors, officers, or employees for which indemnification is sought.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82"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BLAIZE’S EXECUTIVE COMPENSATION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Throughout this section, unless otherwise noted, “the company,” “we,” “us,” “our” and similar terms refer to Blaize prior to the Closing.</w:t>
      </w:r>
    </w:p>
    <w:p>
      <w:pPr>
        <w:spacing w:after="0" w:line="225"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Blaize’s executive officers who are named in the “Summary Compensation Table” below. In 2024, Blaize’s “named executive officers” and their positions were as follows:</w:t>
      </w:r>
    </w:p>
    <w:p>
      <w:pPr>
        <w:spacing w:after="0" w:line="67"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Dinakar Munagala,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 Cook, Chief Software Architect;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Santiago Fernandez-Gomez, Vice President of Platform Engineering.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Blaize’s named executive officers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60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6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60" w:type="dxa"/>
            <w:vAlign w:val="bottom"/>
            <w:tcBorders>
              <w:bottom w:val="single" w:sz="8" w:color="auto"/>
            </w:tcBorders>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Pr>
          <w:p>
            <w:pPr>
              <w:spacing w:after="0"/>
              <w:rPr>
                <w:sz w:val="12"/>
                <w:szCs w:val="12"/>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600" w:type="dxa"/>
            <w:vAlign w:val="bottom"/>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 xml:space="preserve">Bonus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80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(1)</w:t>
            </w:r>
          </w:p>
        </w:tc>
        <w:tc>
          <w:tcPr>
            <w:tcW w:w="240" w:type="dxa"/>
            <w:vAlign w:val="bottom"/>
          </w:tcPr>
          <w:p>
            <w:pPr>
              <w:spacing w:after="0"/>
              <w:rPr>
                <w:sz w:val="12"/>
                <w:szCs w:val="12"/>
                <w:color w:val="auto"/>
              </w:rPr>
            </w:pPr>
          </w:p>
        </w:tc>
        <w:tc>
          <w:tcPr>
            <w:tcW w:w="900" w:type="dxa"/>
            <w:vAlign w:val="bottom"/>
            <w:tcBorders>
              <w:top w:val="single" w:sz="8" w:color="auto"/>
            </w:tcBorders>
          </w:tcPr>
          <w:p>
            <w:pPr>
              <w:jc w:val="right"/>
              <w:ind w:right="216"/>
              <w:spacing w:after="0" w:line="122"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260" w:type="dxa"/>
            <w:vAlign w:val="bottom"/>
          </w:tcPr>
          <w:p>
            <w:pPr>
              <w:spacing w:after="0"/>
              <w:rPr>
                <w:sz w:val="12"/>
                <w:szCs w:val="12"/>
                <w:color w:val="auto"/>
              </w:rPr>
            </w:pPr>
          </w:p>
        </w:tc>
        <w:tc>
          <w:tcPr>
            <w:tcW w:w="780" w:type="dxa"/>
            <w:vAlign w:val="bottom"/>
          </w:tcPr>
          <w:p>
            <w:pPr>
              <w:jc w:val="right"/>
              <w:ind w:right="153"/>
              <w:spacing w:after="0" w:line="12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Dinakar Munagala</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2024</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595,833</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3,798,428</w:t>
            </w: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4,394,285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8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300,000</w:t>
            </w: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1,337,142</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1,637,167</w:t>
            </w:r>
          </w:p>
        </w:tc>
        <w:tc>
          <w:tcPr>
            <w:tcW w:w="0" w:type="dxa"/>
            <w:vAlign w:val="bottom"/>
          </w:tcPr>
          <w:p>
            <w:pPr>
              <w:spacing w:after="0"/>
              <w:rPr>
                <w:sz w:val="1"/>
                <w:szCs w:val="1"/>
                <w:color w:val="auto"/>
              </w:rPr>
            </w:pPr>
          </w:p>
        </w:tc>
      </w:tr>
      <w:tr>
        <w:trPr>
          <w:trHeight w:val="196"/>
        </w:trPr>
        <w:tc>
          <w:tcPr>
            <w:tcW w:w="536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Val Cook</w:t>
            </w:r>
          </w:p>
        </w:tc>
        <w:tc>
          <w:tcPr>
            <w:tcW w:w="880" w:type="dxa"/>
            <w:vAlign w:val="bottom"/>
            <w:gridSpan w:val="3"/>
          </w:tcPr>
          <w:p>
            <w:pPr>
              <w:ind w:left="26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397,570</w:t>
            </w:r>
          </w:p>
        </w:tc>
        <w:tc>
          <w:tcPr>
            <w:tcW w:w="600" w:type="dxa"/>
            <w:vAlign w:val="bottom"/>
          </w:tcPr>
          <w:p>
            <w:pPr>
              <w:ind w:left="320"/>
              <w:spacing w:after="0" w:line="195" w:lineRule="exact"/>
              <w:rPr>
                <w:sz w:val="20"/>
                <w:szCs w:val="20"/>
                <w:color w:val="auto"/>
              </w:rPr>
            </w:pPr>
            <w:r>
              <w:rPr>
                <w:rFonts w:ascii="Times New Roman" w:cs="Times New Roman" w:eastAsia="Times New Roman" w:hAnsi="Times New Roman"/>
                <w:sz w:val="18"/>
                <w:szCs w:val="18"/>
                <w:color w:val="auto"/>
                <w:w w:val="96"/>
              </w:rPr>
              <w:t>— </w:t>
            </w:r>
          </w:p>
        </w:tc>
        <w:tc>
          <w:tcPr>
            <w:tcW w:w="1280" w:type="dxa"/>
            <w:vAlign w:val="bottom"/>
            <w:gridSpan w:val="3"/>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781,714</w:t>
            </w:r>
          </w:p>
        </w:tc>
        <w:tc>
          <w:tcPr>
            <w:tcW w:w="116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24</w:t>
            </w:r>
          </w:p>
        </w:tc>
        <w:tc>
          <w:tcPr>
            <w:tcW w:w="84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1,179,308</w:t>
            </w:r>
          </w:p>
        </w:tc>
        <w:tc>
          <w:tcPr>
            <w:tcW w:w="0" w:type="dxa"/>
            <w:vAlign w:val="bottom"/>
          </w:tcPr>
          <w:p>
            <w:pPr>
              <w:spacing w:after="0"/>
              <w:rPr>
                <w:sz w:val="1"/>
                <w:szCs w:val="1"/>
                <w:color w:val="auto"/>
              </w:rPr>
            </w:pPr>
          </w:p>
        </w:tc>
      </w:tr>
      <w:tr>
        <w:trPr>
          <w:trHeight w:val="236"/>
        </w:trPr>
        <w:tc>
          <w:tcPr>
            <w:tcW w:w="536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Software Architect</w:t>
            </w:r>
          </w:p>
        </w:tc>
        <w:tc>
          <w:tcPr>
            <w:tcW w:w="8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225,000</w:t>
            </w: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476,724</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701,749</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Santiago Fernandez-Gomez</w:t>
            </w:r>
          </w:p>
        </w:tc>
        <w:tc>
          <w:tcPr>
            <w:tcW w:w="8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447,917</w:t>
            </w: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730,817</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1,178,758</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Vice President of Platform Engineering</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60" w:hanging="424"/>
        <w:spacing w:after="0" w:line="255"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full fair value of stock options granted during 2024 as of the date on which the options were approved by the Board computed in accordance with ASC Topic 718, rather than the amounts paid to or realized by the named individual. Assumptions used to calculate the value of all option awards made to the named executive officers are included in Notes 2 and 12 to Blaize’s consolidated financial statements included with this prospectus.</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dollar value of life insurance premiums paid by Blaize with respect to each named executive officer during 2024.</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NARRATIVE TO SUMMARY COMPENSATION TABLE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Salaries</w:t>
      </w:r>
    </w:p>
    <w:p>
      <w:pPr>
        <w:spacing w:after="0" w:line="121" w:lineRule="exact"/>
        <w:rPr>
          <w:sz w:val="20"/>
          <w:szCs w:val="20"/>
          <w:color w:val="auto"/>
        </w:rPr>
      </w:pPr>
    </w:p>
    <w:p>
      <w:pPr>
        <w:ind w:left="120" w:right="300" w:firstLine="440"/>
        <w:spacing w:after="0" w:line="272" w:lineRule="auto"/>
        <w:rPr>
          <w:sz w:val="20"/>
          <w:szCs w:val="20"/>
          <w:color w:val="auto"/>
        </w:rPr>
      </w:pPr>
      <w:r>
        <w:rPr>
          <w:rFonts w:ascii="Times New Roman" w:cs="Times New Roman" w:eastAsia="Times New Roman" w:hAnsi="Times New Roman"/>
          <w:sz w:val="17"/>
          <w:szCs w:val="17"/>
          <w:color w:val="auto"/>
        </w:rPr>
        <w:t>The named executive officers receive a base salary to compensate them for services rendered to Blaize. The base salary payable to each named executive officer is intended to provide a fixed component of compensation reflecting the executive’s skill set, experience, role and responsibilities. During 2024, Blaize’s named executive officers’ annual base salaries were as follows: Mr. Munagala: $600,000; Mr. Cook: $400,000; and</w:t>
      </w:r>
    </w:p>
    <w:p>
      <w:pPr>
        <w:spacing w:after="0" w:line="2"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Mr. Fernandez-Gomez: $450,000. The Summary Compensation Table above shows the actual base salaries paid to each named executive officer in fiscal year 2024.</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of Blaize’s named executive officers hold options to purchase shares of common stock of Blaize which were granted under the 2011 Stock Plan. On October 24, 2024, we granted each of Messrs. Munagala, Cook, and Fernandez-Gomez stock options covering 7,379,065, 1,517,044, and 1,418,448 shares of Blaize common stock, respectively.</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40"/>
          </w:cols>
          <w:pgMar w:left="320" w:top="482"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options granted to the named executive officers in 2024 vest and become exercisable with respect to one-third (1/3rd) of the shares subject to the option on the first anniversary of the vesting commencement date and with respect to one-thirty-sixth (1/36th) of the shares subject to the option on each monthly anniversary of the vesting commencement date thereafter, subject to continued service through the applicable vesting date. The options granted to Messrs. Munagala and Cook are also subject to accelerated vesting upon certain terminations of their employment with Blaize pursuant to their offer letters as described in the section titled “</w:t>
      </w:r>
      <w:r>
        <w:rPr>
          <w:rFonts w:ascii="Times New Roman" w:cs="Times New Roman" w:eastAsia="Times New Roman" w:hAnsi="Times New Roman"/>
          <w:sz w:val="18"/>
          <w:szCs w:val="18"/>
          <w:i w:val="1"/>
          <w:iCs w:val="1"/>
          <w:color w:val="auto"/>
        </w:rPr>
        <w:t>Offer Letters</w:t>
      </w:r>
      <w:r>
        <w:rPr>
          <w:rFonts w:ascii="Times New Roman" w:cs="Times New Roman" w:eastAsia="Times New Roman" w:hAnsi="Times New Roman"/>
          <w:sz w:val="18"/>
          <w:szCs w:val="18"/>
          <w:color w:val="auto"/>
        </w:rPr>
        <w:t>” below.</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we adopted, and our stockholders approved, a 2025 Incentive Award Plan and an Employee Stock Purchase Plan, each of which became effective upon the closing of the Business Combination. No further awards have been or will be granted under the 2011 Stock Plan following the closing of the Business Combination.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Retirement Plan</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Blaize currently maintains a 401(k) retirement savings plan for its employees, including its named executive officers, who satisfy certain eligibility requirements. The Internal Revenue Code allows eligible employees to defer a portion of their compensation, within prescribed limits, on a pre-tax basis through contributions to the 401(k) plan. We believe that providing a vehicle for tax-deferred retirement savings though a 401(k) plan adds to the overall desirability of its executive compensation package and further incentivizes our employees, including its named executive officers, in accordance with its compensation policies.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our full-time employees, including our named executive officers, are eligible to participate in our health and welfare plans, including:</w:t>
      </w:r>
    </w:p>
    <w:p>
      <w:pPr>
        <w:spacing w:after="0" w:line="131" w:lineRule="exact"/>
        <w:rPr>
          <w:sz w:val="20"/>
          <w:szCs w:val="20"/>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benefits;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insurance;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life and accidental death and dismemberment insurance.</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believe these benefits are appropriate and provide a competitive compensation package to our named executive officers. We do not currently, and we did not during 2024, provide material perquisites to any of our named executive officers.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 Tax Gross-Ups</w:t>
      </w:r>
    </w:p>
    <w:p>
      <w:pPr>
        <w:spacing w:after="0" w:line="119"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Blaize does not make gross-up payments to cover our named executive officers’ personal income taxes that may pertain to any of the compensation or perquisites paid or provided by our company.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60"/>
          </w:cols>
          <w:pgMar w:left="320" w:top="482" w:right="5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underlying outstanding equity incentive plan awards for each named executive officer as of December 31, 2024. The share numbers and exercise prices below are those in effect as of December 31, 2024 and have not been adjusted to reflect the adjustments to our equity awards that occurred upon the closing of the Business Combination.</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13"/>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180" w:type="dxa"/>
            <w:vAlign w:val="bottom"/>
            <w:gridSpan w:val="2"/>
          </w:tcPr>
          <w:p>
            <w:pPr>
              <w:jc w:val="right"/>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80" w:type="dxa"/>
            <w:vAlign w:val="bottom"/>
            <w:gridSpan w:val="2"/>
          </w:tcPr>
          <w:p>
            <w:pPr>
              <w:jc w:val="center"/>
              <w:ind w:right="333"/>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0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56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180" w:type="dxa"/>
            <w:vAlign w:val="bottom"/>
            <w:gridSpan w:val="2"/>
          </w:tcPr>
          <w:p>
            <w:pPr>
              <w:jc w:val="right"/>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60" w:type="dxa"/>
            <w:vAlign w:val="bottom"/>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110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180" w:type="dxa"/>
            <w:vAlign w:val="bottom"/>
            <w:gridSpan w:val="2"/>
          </w:tcPr>
          <w:p>
            <w:pPr>
              <w:jc w:val="right"/>
              <w:ind w:right="373"/>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26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1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10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Dinakar Munagala</w:t>
            </w:r>
          </w:p>
        </w:tc>
        <w:tc>
          <w:tcPr>
            <w:tcW w:w="1280" w:type="dxa"/>
            <w:vAlign w:val="bottom"/>
            <w:gridSpan w:val="4"/>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3/15/2017</w:t>
            </w: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1/1/2017</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147,000</w:t>
            </w:r>
          </w:p>
        </w:tc>
        <w:tc>
          <w:tcPr>
            <w:tcW w:w="40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w w:val="92"/>
              </w:rPr>
              <w:t>(1)</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3/14/2027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11/12/2018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9/1/2018</w:t>
            </w:r>
          </w:p>
        </w:tc>
        <w:tc>
          <w:tcPr>
            <w:tcW w:w="11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226,305</w:t>
            </w:r>
            <w:r>
              <w:rPr>
                <w:rFonts w:ascii="Times New Roman" w:cs="Times New Roman" w:eastAsia="Times New Roman" w:hAnsi="Times New Roman"/>
                <w:sz w:val="25"/>
                <w:szCs w:val="25"/>
                <w:color w:val="auto"/>
                <w:vertAlign w:val="superscript"/>
              </w:rPr>
              <w:t>(1)</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11.40</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11/11/2028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9/19/2023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9/19/2023</w:t>
            </w:r>
          </w:p>
        </w:tc>
        <w:tc>
          <w:tcPr>
            <w:tcW w:w="11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2,197,372</w:t>
            </w:r>
            <w:r>
              <w:rPr>
                <w:rFonts w:ascii="Times New Roman" w:cs="Times New Roman" w:eastAsia="Times New Roman" w:hAnsi="Times New Roman"/>
                <w:sz w:val="25"/>
                <w:szCs w:val="25"/>
                <w:color w:val="auto"/>
                <w:vertAlign w:val="superscript"/>
              </w:rPr>
              <w:t>(2)</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3,124,027</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0.44</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9/18/2033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10/24/2024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7/1/2024</w:t>
            </w:r>
          </w:p>
        </w:tc>
        <w:tc>
          <w:tcPr>
            <w:tcW w:w="1180" w:type="dxa"/>
            <w:vAlign w:val="bottom"/>
            <w:gridSpan w:val="2"/>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ind w:right="240"/>
              <w:spacing w:after="0" w:line="216" w:lineRule="exact"/>
              <w:rPr>
                <w:sz w:val="20"/>
                <w:szCs w:val="20"/>
                <w:color w:val="auto"/>
              </w:rPr>
            </w:pPr>
            <w:r>
              <w:rPr>
                <w:rFonts w:ascii="Times New Roman" w:cs="Times New Roman" w:eastAsia="Times New Roman" w:hAnsi="Times New Roman"/>
                <w:sz w:val="17"/>
                <w:szCs w:val="17"/>
                <w:color w:val="auto"/>
              </w:rPr>
              <w:t>7,379,065</w:t>
            </w:r>
            <w:r>
              <w:rPr>
                <w:rFonts w:ascii="Times New Roman" w:cs="Times New Roman" w:eastAsia="Times New Roman" w:hAnsi="Times New Roman"/>
                <w:sz w:val="25"/>
                <w:szCs w:val="25"/>
                <w:color w:val="auto"/>
                <w:vertAlign w:val="superscript"/>
              </w:rPr>
              <w:t>(3)</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0.92</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10/23/2034</w:t>
            </w:r>
          </w:p>
        </w:tc>
        <w:tc>
          <w:tcPr>
            <w:tcW w:w="0" w:type="dxa"/>
            <w:vAlign w:val="bottom"/>
          </w:tcPr>
          <w:p>
            <w:pPr>
              <w:spacing w:after="0"/>
              <w:rPr>
                <w:sz w:val="1"/>
                <w:szCs w:val="1"/>
                <w:color w:val="auto"/>
              </w:rPr>
            </w:pPr>
          </w:p>
        </w:tc>
      </w:tr>
      <w:tr>
        <w:trPr>
          <w:trHeight w:val="198"/>
        </w:trPr>
        <w:tc>
          <w:tcPr>
            <w:tcW w:w="2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Val Cook</w:t>
            </w:r>
          </w:p>
        </w:tc>
        <w:tc>
          <w:tcPr>
            <w:tcW w:w="220" w:type="dxa"/>
            <w:vAlign w:val="bottom"/>
          </w:tcPr>
          <w:p>
            <w:pPr>
              <w:spacing w:after="0"/>
              <w:rPr>
                <w:sz w:val="17"/>
                <w:szCs w:val="17"/>
                <w:color w:val="auto"/>
              </w:rPr>
            </w:pPr>
          </w:p>
        </w:tc>
        <w:tc>
          <w:tcPr>
            <w:tcW w:w="1060" w:type="dxa"/>
            <w:vAlign w:val="bottom"/>
            <w:gridSpan w:val="3"/>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3/15/2017</w:t>
            </w:r>
          </w:p>
        </w:tc>
        <w:tc>
          <w:tcPr>
            <w:tcW w:w="11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1/1/2017</w:t>
            </w:r>
          </w:p>
        </w:tc>
        <w:tc>
          <w:tcPr>
            <w:tcW w:w="1180" w:type="dxa"/>
            <w:vAlign w:val="bottom"/>
            <w:gridSpan w:val="2"/>
          </w:tcPr>
          <w:p>
            <w:pPr>
              <w:jc w:val="right"/>
              <w:ind w:right="173"/>
              <w:spacing w:after="0" w:line="198" w:lineRule="exact"/>
              <w:rPr>
                <w:sz w:val="20"/>
                <w:szCs w:val="20"/>
                <w:color w:val="auto"/>
              </w:rPr>
            </w:pPr>
            <w:r>
              <w:rPr>
                <w:rFonts w:ascii="Times New Roman" w:cs="Times New Roman" w:eastAsia="Times New Roman" w:hAnsi="Times New Roman"/>
                <w:sz w:val="16"/>
                <w:szCs w:val="16"/>
                <w:color w:val="auto"/>
              </w:rPr>
              <w:t>40,038</w:t>
            </w:r>
            <w:r>
              <w:rPr>
                <w:rFonts w:ascii="Times New Roman" w:cs="Times New Roman" w:eastAsia="Times New Roman" w:hAnsi="Times New Roman"/>
                <w:sz w:val="22"/>
                <w:szCs w:val="22"/>
                <w:color w:val="auto"/>
                <w:vertAlign w:val="superscript"/>
              </w:rPr>
              <w:t>(1)</w:t>
            </w:r>
          </w:p>
        </w:tc>
        <w:tc>
          <w:tcPr>
            <w:tcW w:w="1260" w:type="dxa"/>
            <w:vAlign w:val="bottom"/>
            <w:gridSpan w:val="2"/>
          </w:tcPr>
          <w:p>
            <w:pPr>
              <w:jc w:val="right"/>
              <w:ind w:right="44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62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3/14/2027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11/12/2018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9/1/2018</w:t>
            </w:r>
          </w:p>
        </w:tc>
        <w:tc>
          <w:tcPr>
            <w:tcW w:w="1180" w:type="dxa"/>
            <w:vAlign w:val="bottom"/>
            <w:gridSpan w:val="2"/>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113,152</w:t>
            </w:r>
            <w:r>
              <w:rPr>
                <w:rFonts w:ascii="Times New Roman" w:cs="Times New Roman" w:eastAsia="Times New Roman" w:hAnsi="Times New Roman"/>
                <w:sz w:val="25"/>
                <w:szCs w:val="25"/>
                <w:color w:val="auto"/>
                <w:vertAlign w:val="superscript"/>
              </w:rPr>
              <w:t>(1)</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11.40</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11/11/2028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9/19/2023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9/19/2023</w:t>
            </w:r>
          </w:p>
        </w:tc>
        <w:tc>
          <w:tcPr>
            <w:tcW w:w="1180" w:type="dxa"/>
            <w:vAlign w:val="bottom"/>
            <w:gridSpan w:val="2"/>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794,866</w:t>
            </w:r>
            <w:r>
              <w:rPr>
                <w:rFonts w:ascii="Times New Roman" w:cs="Times New Roman" w:eastAsia="Times New Roman" w:hAnsi="Times New Roman"/>
                <w:sz w:val="25"/>
                <w:szCs w:val="25"/>
                <w:color w:val="auto"/>
                <w:vertAlign w:val="superscript"/>
              </w:rPr>
              <w:t>(2)</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1,112,814</w:t>
            </w: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0.44</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9/18/2033</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10/24/2024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7/1/2024</w:t>
            </w:r>
          </w:p>
        </w:tc>
        <w:tc>
          <w:tcPr>
            <w:tcW w:w="1180" w:type="dxa"/>
            <w:vAlign w:val="bottom"/>
            <w:gridSpan w:val="2"/>
          </w:tcPr>
          <w:p>
            <w:pPr>
              <w:jc w:val="right"/>
              <w:ind w:right="373"/>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ind w:right="240"/>
              <w:spacing w:after="0" w:line="235" w:lineRule="exact"/>
              <w:rPr>
                <w:sz w:val="20"/>
                <w:szCs w:val="20"/>
                <w:color w:val="auto"/>
              </w:rPr>
            </w:pPr>
            <w:r>
              <w:rPr>
                <w:rFonts w:ascii="Times New Roman" w:cs="Times New Roman" w:eastAsia="Times New Roman" w:hAnsi="Times New Roman"/>
                <w:sz w:val="18"/>
                <w:szCs w:val="18"/>
                <w:color w:val="auto"/>
              </w:rPr>
              <w:t>1,517,044</w:t>
            </w:r>
            <w:r>
              <w:rPr>
                <w:rFonts w:ascii="Times New Roman" w:cs="Times New Roman" w:eastAsia="Times New Roman" w:hAnsi="Times New Roman"/>
                <w:sz w:val="26"/>
                <w:szCs w:val="26"/>
                <w:color w:val="auto"/>
                <w:vertAlign w:val="superscript"/>
              </w:rPr>
              <w:t>(3)</w:t>
            </w: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0.92</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10/23/2034</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Santiago Fernandez-Gomez</w:t>
            </w:r>
          </w:p>
        </w:tc>
        <w:tc>
          <w:tcPr>
            <w:tcW w:w="12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1/2/2017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7/8/2015</w:t>
            </w:r>
          </w:p>
        </w:tc>
        <w:tc>
          <w:tcPr>
            <w:tcW w:w="11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5,000</w:t>
            </w:r>
            <w:r>
              <w:rPr>
                <w:rFonts w:ascii="Times New Roman" w:cs="Times New Roman" w:eastAsia="Times New Roman" w:hAnsi="Times New Roman"/>
                <w:sz w:val="25"/>
                <w:szCs w:val="25"/>
                <w:color w:val="auto"/>
                <w:vertAlign w:val="superscript"/>
              </w:rPr>
              <w:t>(2)</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1/1/2027</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8/27/2018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7/9/2018</w:t>
            </w:r>
          </w:p>
        </w:tc>
        <w:tc>
          <w:tcPr>
            <w:tcW w:w="11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67,935</w:t>
            </w:r>
            <w:r>
              <w:rPr>
                <w:rFonts w:ascii="Times New Roman" w:cs="Times New Roman" w:eastAsia="Times New Roman" w:hAnsi="Times New Roman"/>
                <w:sz w:val="25"/>
                <w:szCs w:val="25"/>
                <w:color w:val="auto"/>
                <w:vertAlign w:val="superscript"/>
              </w:rPr>
              <w:t>(4)</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11.40</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8/26/2028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11/17/2021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1/1/2021</w:t>
            </w:r>
          </w:p>
        </w:tc>
        <w:tc>
          <w:tcPr>
            <w:tcW w:w="11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4,896</w:t>
            </w:r>
            <w:r>
              <w:rPr>
                <w:rFonts w:ascii="Times New Roman" w:cs="Times New Roman" w:eastAsia="Times New Roman" w:hAnsi="Times New Roman"/>
                <w:sz w:val="25"/>
                <w:szCs w:val="25"/>
                <w:color w:val="auto"/>
                <w:vertAlign w:val="superscript"/>
              </w:rPr>
              <w:t>(1)</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104</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20.70</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11/16/2031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9/19/2023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9/19/2023</w:t>
            </w:r>
          </w:p>
        </w:tc>
        <w:tc>
          <w:tcPr>
            <w:tcW w:w="11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654,484</w:t>
            </w:r>
            <w:r>
              <w:rPr>
                <w:rFonts w:ascii="Times New Roman" w:cs="Times New Roman" w:eastAsia="Times New Roman" w:hAnsi="Times New Roman"/>
                <w:sz w:val="25"/>
                <w:szCs w:val="25"/>
                <w:color w:val="auto"/>
                <w:vertAlign w:val="superscript"/>
              </w:rPr>
              <w:t>(2)</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916,278</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0.44</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9/18/2033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10/24/2024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7/1/2024</w:t>
            </w:r>
          </w:p>
        </w:tc>
        <w:tc>
          <w:tcPr>
            <w:tcW w:w="1180" w:type="dxa"/>
            <w:vAlign w:val="bottom"/>
            <w:gridSpan w:val="2"/>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ind w:right="240"/>
              <w:spacing w:after="0" w:line="216" w:lineRule="exact"/>
              <w:rPr>
                <w:sz w:val="20"/>
                <w:szCs w:val="20"/>
                <w:color w:val="auto"/>
              </w:rPr>
            </w:pPr>
            <w:r>
              <w:rPr>
                <w:rFonts w:ascii="Times New Roman" w:cs="Times New Roman" w:eastAsia="Times New Roman" w:hAnsi="Times New Roman"/>
                <w:sz w:val="17"/>
                <w:szCs w:val="17"/>
                <w:color w:val="auto"/>
              </w:rPr>
              <w:t>1,418,448</w:t>
            </w:r>
            <w:r>
              <w:rPr>
                <w:rFonts w:ascii="Times New Roman" w:cs="Times New Roman" w:eastAsia="Times New Roman" w:hAnsi="Times New Roman"/>
                <w:sz w:val="25"/>
                <w:szCs w:val="25"/>
                <w:color w:val="auto"/>
                <w:vertAlign w:val="superscript"/>
              </w:rPr>
              <w:t>(3)</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0.92</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10/23/2034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which vested with respect to one-forty-eighth (1/48th) of the shares subject to the option on each of the first forty-eight</w:t>
      </w:r>
    </w:p>
    <w:p>
      <w:pPr>
        <w:spacing w:after="0" w:line="27" w:lineRule="exact"/>
        <w:rPr>
          <w:rFonts w:ascii="Times New Roman" w:cs="Times New Roman" w:eastAsia="Times New Roman" w:hAnsi="Times New Roman"/>
          <w:sz w:val="18"/>
          <w:szCs w:val="18"/>
          <w:color w:val="auto"/>
        </w:rPr>
      </w:pPr>
    </w:p>
    <w:p>
      <w:pPr>
        <w:ind w:left="540" w:right="4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monthly anniversaries of the vesting commencement date, subject to the applicable executive’s continued service through the applicable vesting date.</w:t>
      </w:r>
    </w:p>
    <w:p>
      <w:pPr>
        <w:ind w:left="54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which vested or vests, as applicable, with respect to one-thirty-sixth (1/36th) of the shares subject to the option on each of the first thirty-six (36) monthly anniversaries of the vesting commencement date, subject to the applicable executive’s continued service through the applicable vesting date.</w:t>
      </w:r>
    </w:p>
    <w:p>
      <w:pPr>
        <w:spacing w:after="0" w:line="1"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which vests with respect to one-third (1/3rd) of the shares subject to the option on the first anniversary of the vesting commencement date and with respect to one-thirty-sixth (1/36th) of the shares subject to the option on each monthly anniversary of the vesting commencement date thereafter, subject to the applicable executive’s continued service through the applicable vesting date.</w:t>
      </w:r>
    </w:p>
    <w:p>
      <w:pPr>
        <w:spacing w:after="0" w:line="1" w:lineRule="exact"/>
        <w:rPr>
          <w:rFonts w:ascii="Times New Roman" w:cs="Times New Roman" w:eastAsia="Times New Roman" w:hAnsi="Times New Roman"/>
          <w:sz w:val="18"/>
          <w:szCs w:val="18"/>
          <w:color w:val="auto"/>
        </w:rPr>
      </w:pPr>
    </w:p>
    <w:p>
      <w:pPr>
        <w:ind w:left="540" w:right="40" w:hanging="424"/>
        <w:spacing w:after="0" w:line="253"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which vested or vests, as applicable, with respect to twenty-five percent (25%) of the shares subject to the option on the first anniversary of the vesting commencement date and with respect to one-forty-eighth (1/48th) of the shares subject to the option on each monthly anniversary of the applicable vesting commencement date thereafter, subject to the applicable executive’s continued service through the applicable vesting date.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 Letters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 Letter for Mr. Munagala</w:t>
      </w:r>
    </w:p>
    <w:p>
      <w:pPr>
        <w:spacing w:after="0" w:line="119" w:lineRule="exact"/>
        <w:rPr>
          <w:sz w:val="20"/>
          <w:szCs w:val="20"/>
          <w:color w:val="auto"/>
        </w:rPr>
      </w:pPr>
    </w:p>
    <w:p>
      <w:pPr>
        <w:ind w:left="120" w:right="940" w:firstLine="440"/>
        <w:spacing w:after="0" w:line="282" w:lineRule="auto"/>
        <w:rPr>
          <w:sz w:val="20"/>
          <w:szCs w:val="20"/>
          <w:color w:val="auto"/>
        </w:rPr>
      </w:pPr>
      <w:r>
        <w:rPr>
          <w:rFonts w:ascii="Times New Roman" w:cs="Times New Roman" w:eastAsia="Times New Roman" w:hAnsi="Times New Roman"/>
          <w:sz w:val="18"/>
          <w:szCs w:val="18"/>
          <w:color w:val="auto"/>
        </w:rPr>
        <w:t>We are party to an offer letter, dated June 18, 2018 (as amended, the “Munagala Offer Letter”) with Mr. Munagala, pursuant to which, Mr. Munagala serves as our Chief Executive Officer. Pursuant to the Munagala</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40"/>
          </w:cols>
          <w:pgMar w:left="320" w:top="482"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Offer Letter, Mr. Munagala is entitled to receive a base salary which, as of January 1, 2024, was $600,000 and is eligible to be considered for annual incentive bonuses. The Munagala Offer Letter provides that Mr. Munagala is eligible to participate in Blaize-sponsored benefit plans and for paid vacation in accordance with Blaize policy.</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pursuant to the Munagala Offer Letter, if Mr. Munagala’s employment is terminated by us without “cause” or Mr. Munagala resigns with “good reason” (each as defined in the Munagala Offer Letter), then Mr. Munagala will be eligible to receive the following severance payments and benefits: (i) a lump-sum cash payment in an amount equal to 3 months of his base salary, (ii) salary continuation payments at 75% of his base salary for 12 months following termination, and (iii) COBRA continuation coverage for up to 12 months following termination, and (iv) accelerated vesting of any outstanding and unvested options held by him.</w:t>
      </w:r>
    </w:p>
    <w:p>
      <w:pPr>
        <w:spacing w:after="0" w:line="183"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If Mr. Munagala’s employment is terminated by us without “cause” or he resigns for “good reason,” in either case, within one year after a change in control of Blaize (as defined in the Munagala Offer Letter), then Mr. Munagala will instead be entitled to receive the following severance payments and benefits (in lieu of the amounts described above): (i) a lump-sum cash payment in an amount equal to 12 months of his base salary, (ii) COBRA continuation coverage for up to 12 months following termination, and (iii) accelerated vesting of any outstanding and unvested options held by him.</w:t>
      </w:r>
    </w:p>
    <w:p>
      <w:pPr>
        <w:spacing w:after="0" w:line="164"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Mr. Munagala’s receipt of any severance payments and benefits is subject to his execution and non-revocation of a general release in favor of Blaize.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 Letter for Mr. Cook</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party to an offer letter, dated June 20, 2018 (as amended, the “Cook Offer Letter”) with Mr. Cook, pursuant to which, Mr. Cook serves 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Chief Software Architect. Pursuant to the Cook Offer Letter, Mr. Cook is entitled to receive a base salary which, as of January 1, 2024,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$400,000 and is eligible to be considered for annual incentive bonuses. The Cook Offer Letter provides that Mr. Cook is also eligible to participate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Blaize-sponsored benefit plans and for paid vacation in accordance with Blaize policy.</w:t>
      </w:r>
    </w:p>
    <w:p>
      <w:pPr>
        <w:spacing w:after="0" w:line="207"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In addition, pursuant to the Cook Offer Letter, if Mr. Cook’s employment is terminated by us without “cause” or Mr. Cook resigns with “good reason” (each as defined in the Cook Offer Letter), then Mr. Cook will be eligible to receive the following severance payments and benefits: (i) a lump-sum cash payment in an amount equal to 3 months of his base salary, (ii) salary continuation payments at 75% of his base salary for 12 months following termination, and (iii) COBRA continuation coverage for up to 12 months following termination.</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if Mr. Cook’s employment is terminated by us without “cause” or he resigns for “good reason,” in either case, within one year after a change in control of Blaize (as defined in the Cook Offer Letter), then Mr. Cook will instead be entitled to receive the following severance payments and benefits (in lieu of the amounts described above): (i) a lump-sum cash payment in an amount equal to 12 months of his base salary, and (ii) COBRA continuation coverage for up to 12 months following termination, and (iii) accelerated vesting of any outstanding and unvested options held by him.</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Cook’s receipt of any severance payments and benefits is subject to his execution and non-revocation of a general release in favor of Blaize.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 Letter for Mr. Fernandez-Gomez</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are party to an offer letter, dated July 4, 2018 (as amended, the “Fernandez-Gomez Offer Letter”) with Mr. Fernandez-Gomez, pursuant to which, Mr. Fernandez-Gomez serves as our Vice President of Platform Engineering. Pursuant to the Fernandez-Gomez Offer Letter, Mr. Fernandez-Gomez is entitled to receive a base salary which, as of January 1, 2024, was $450,000 and is eligible to be considered for annual incentive bonuses. The Fernandez-Gomez Offer Letter provides that Mr. Fernandez-Gomez is also eligible to participate in Blaize-sponsored benefit plans and for paid vacation in accordance with Blaize policy.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82"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BLAIZE’S DIRECTOR COMPENSATION</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Blaize did not maintain a formal non-employee director compensation program, but previously made cash payments and granted equity awards to certain of its non-employee directors as it deemed appropriate. During 2024, each of Messrs. Frank, Cannestra, Hambrecht and Bess were granted equity awards for their services on Blaize’s board of directors. None of the Company’s other non-employee directors received compensation from Blaize for their service on the board of directors in 2024.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Director Compensation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Blaize’s non-employee directors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820" w:type="dxa"/>
            <w:vAlign w:val="bottom"/>
            <w:vMerge w:val="restart"/>
          </w:tcPr>
          <w:p>
            <w:pPr>
              <w:spacing w:after="0"/>
              <w:rPr>
                <w:sz w:val="13"/>
                <w:szCs w:val="13"/>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820" w:type="dxa"/>
            <w:vAlign w:val="bottom"/>
            <w:vMerge w:val="continue"/>
          </w:tcPr>
          <w:p>
            <w:pPr>
              <w:spacing w:after="0"/>
              <w:rPr>
                <w:sz w:val="15"/>
                <w:szCs w:val="15"/>
                <w:color w:val="auto"/>
              </w:rPr>
            </w:pPr>
          </w:p>
        </w:tc>
        <w:tc>
          <w:tcPr>
            <w:tcW w:w="940" w:type="dxa"/>
            <w:vAlign w:val="bottom"/>
          </w:tcPr>
          <w:p>
            <w:pPr>
              <w:jc w:val="right"/>
              <w:ind w:right="236"/>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5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Edward Frank</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318,472</w:t>
            </w: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5"/>
              </w:rPr>
              <w:t>318,472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318,472</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318,472</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318,472</w:t>
            </w:r>
          </w:p>
        </w:tc>
        <w:tc>
          <w:tcPr>
            <w:tcW w:w="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318,472</w:t>
            </w:r>
          </w:p>
        </w:tc>
        <w:tc>
          <w:tcPr>
            <w:tcW w:w="0" w:type="dxa"/>
            <w:vAlign w:val="bottom"/>
          </w:tcPr>
          <w:p>
            <w:pPr>
              <w:spacing w:after="0"/>
              <w:rPr>
                <w:sz w:val="1"/>
                <w:szCs w:val="1"/>
                <w:color w:val="auto"/>
              </w:rPr>
            </w:pPr>
          </w:p>
        </w:tc>
      </w:tr>
      <w:tr>
        <w:trPr>
          <w:trHeight w:val="234"/>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Lane Bess</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242,571</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242,571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right="20" w:hanging="424"/>
        <w:spacing w:after="0" w:line="289" w:lineRule="auto"/>
        <w:tabs>
          <w:tab w:leader="none" w:pos="5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reflect the full fair value of stock options granted during 2024 as of the date on which the options were approved by the Board computed in accordance with ASC Topic 718, rather than the amounts paid to or realized by the named individual. Assumptions used to calculate the value of all option awards made to directors are included in Notes 2 and 12 to Blaize’s consolidated financial statements included with this prospectus.</w:t>
      </w:r>
    </w:p>
    <w:p>
      <w:pPr>
        <w:spacing w:after="0" w:line="158"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The table below shows the aggregate numbers of option awards (exercisable and unexercisable) held as of December 31, 2024 by each non-employee director who served during 2024.</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at Fiscal Year</w:t>
            </w:r>
          </w:p>
        </w:tc>
        <w:tc>
          <w:tcPr>
            <w:tcW w:w="0" w:type="dxa"/>
            <w:vAlign w:val="bottom"/>
          </w:tcPr>
          <w:p>
            <w:pPr>
              <w:spacing w:after="0"/>
              <w:rPr>
                <w:sz w:val="1"/>
                <w:szCs w:val="1"/>
                <w:color w:val="auto"/>
              </w:rPr>
            </w:pPr>
          </w:p>
        </w:tc>
      </w:tr>
      <w:tr>
        <w:trPr>
          <w:trHeight w:val="160"/>
        </w:trPr>
        <w:tc>
          <w:tcPr>
            <w:tcW w:w="6600" w:type="dxa"/>
            <w:vAlign w:val="bottom"/>
            <w:gridSpan w:val="2"/>
            <w:vMerge w:val="continue"/>
          </w:tcPr>
          <w:p>
            <w:pPr>
              <w:spacing w:after="0"/>
              <w:rPr>
                <w:sz w:val="13"/>
                <w:szCs w:val="13"/>
                <w:color w:val="auto"/>
              </w:rPr>
            </w:pPr>
          </w:p>
        </w:tc>
        <w:tc>
          <w:tcPr>
            <w:tcW w:w="8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End (#)</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Edward Frank</w:t>
            </w:r>
          </w:p>
        </w:tc>
        <w:tc>
          <w:tcPr>
            <w:tcW w:w="820" w:type="dxa"/>
            <w:vAlign w:val="bottom"/>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w w:val="95"/>
              </w:rPr>
              <w:t>909,535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920,850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909,535</w:t>
            </w: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Lane Bess</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477,750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In connection with the Business Combination, we approved a compensation program for our non-employee directors (the “Director Compensation Program”), effective as of the closing of the Business Combination. The material terms of the Director Compensation Program are summarized below.</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11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Under the Director Compensation Program, non-employee directors serving on the Board are entitled to cash compensation in the following amounts:</w:t>
      </w:r>
    </w:p>
    <w:p>
      <w:pPr>
        <w:spacing w:after="0" w:line="67"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Retainer: $80,000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Retainer for Non-Executive Chair: $40,000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Committee Chair Retainers: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$24,000</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$20,000</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00"/>
          </w:cols>
          <w:pgMar w:left="320" w:top="482" w:right="4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Non-Chair Committee Member Retainers: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$16,000</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$14,000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Annual cash retainers will be paid in quarterly installments in arrears and will be pro-rated for any partial calendar quarter of service.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17"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Initial Awards. </w:t>
      </w:r>
      <w:r>
        <w:rPr>
          <w:rFonts w:ascii="Times New Roman" w:cs="Times New Roman" w:eastAsia="Times New Roman" w:hAnsi="Times New Roman"/>
          <w:sz w:val="18"/>
          <w:szCs w:val="18"/>
          <w:color w:val="auto"/>
        </w:rPr>
        <w:t>Under the Director Compensation Program, each non-employee director who is initially elected or appointed to serve on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closing of the Business Combination will be granted an award of restricted stock units at the time of the election or appointment with a grant-date value of approximately $600,000, which will vest with respect to one-third (1/3rd) of the restricted stock units subject thereto on each of the first three anniversaries of the applicable grant date, subject to the director’s continued service on the Board through the applicable vesting date. If a member of the Board is an employee of Blaize or a subsidiary thereof who subsequently terminates employment with Blaize but remains on the Board as a non-employee director, such individual will not be eligible to receive an Initial Award.</w:t>
      </w:r>
    </w:p>
    <w:p>
      <w:pPr>
        <w:spacing w:after="0" w:line="182"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Annual Awards. </w:t>
      </w:r>
      <w:r>
        <w:rPr>
          <w:rFonts w:ascii="Times New Roman" w:cs="Times New Roman" w:eastAsia="Times New Roman" w:hAnsi="Times New Roman"/>
          <w:sz w:val="17"/>
          <w:szCs w:val="17"/>
          <w:color w:val="auto"/>
        </w:rPr>
        <w:t>Under the Director Compensation Program, each non-employee director who is serving on the Board as of the date of each annual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meeting of the company’s stockholders following the closing of the Business Combination will be granted, on such annual meeting date, an award of restricted stock units with a grant-date value of approximately $200,000 (each an “Annual Award”), which will vest in full on the earlier to occur of</w:t>
      </w:r>
    </w:p>
    <w:p>
      <w:pPr>
        <w:spacing w:after="0" w:line="1" w:lineRule="exact"/>
        <w:rPr>
          <w:sz w:val="20"/>
          <w:szCs w:val="20"/>
          <w:color w:val="auto"/>
        </w:rPr>
      </w:pPr>
    </w:p>
    <w:p>
      <w:pPr>
        <w:ind w:left="120" w:right="320" w:hanging="4"/>
        <w:spacing w:after="0" w:line="260" w:lineRule="auto"/>
        <w:tabs>
          <w:tab w:leader="none" w:pos="3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one-year anniversary of the applicable grant date and (ii) the date of the next annual meeting following the grant date, subject to the director’s continued service on the Board through the applicable vesting date.</w:t>
      </w:r>
    </w:p>
    <w:p>
      <w:pPr>
        <w:spacing w:after="0" w:line="18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each equity award granted under the Director Compensation Program will vest in full upon a change in control of the Company (as defined in the Incentive Award Plan, or any similar term as defined in the then-applicable plan) if the non-employee director will not become a member of the Board or the board of directors of the Company’s successor (or any parent thereof) following such change in control.</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Compensation under the Director Compensation Program is subject to the annual limits on non-employee director compensation set forth in the Incentive Award Plan (or any successor plan).</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7" w:lineRule="exact"/>
        <w:rPr>
          <w:sz w:val="20"/>
          <w:szCs w:val="20"/>
          <w:color w:val="auto"/>
        </w:rPr>
      </w:pPr>
    </w:p>
    <w:p>
      <w:pPr>
        <w:jc w:val="both"/>
        <w:ind w:left="120" w:right="1080" w:firstLine="440"/>
        <w:spacing w:after="0" w:line="315" w:lineRule="auto"/>
        <w:rPr>
          <w:sz w:val="20"/>
          <w:szCs w:val="20"/>
          <w:color w:val="auto"/>
        </w:rPr>
      </w:pPr>
      <w:r>
        <w:rPr>
          <w:rFonts w:ascii="Times New Roman" w:cs="Times New Roman" w:eastAsia="Times New Roman" w:hAnsi="Times New Roman"/>
          <w:sz w:val="17"/>
          <w:szCs w:val="17"/>
          <w:color w:val="auto"/>
        </w:rPr>
        <w:t>In addition to the compensation arrangements with directors and executive officers described under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Management</w:t>
      </w:r>
      <w:r>
        <w:rPr>
          <w:rFonts w:ascii="Times New Roman" w:cs="Times New Roman" w:eastAsia="Times New Roman" w:hAnsi="Times New Roman"/>
          <w:sz w:val="17"/>
          <w:szCs w:val="17"/>
          <w:color w:val="auto"/>
        </w:rPr>
        <w:t>”, the following is a description of each transaction since January 1, 2022 and each currently proposed transaction in which:</w:t>
      </w:r>
    </w:p>
    <w:p>
      <w:pPr>
        <w:spacing w:after="0" w:line="42"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exceeds or will exceed $120,000;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beneficial holders of more than 5% of our capital stock, or any immediate family member of, or person sharing the household with, any of these individuals (other than tenants or employees), had or will have a direct or indirect material interest.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execution of the Merger Agreement, we and certain stockholders of Legacy Blaize, the Sponsor and BurTech entered into a registration rights agreement (the “Registration Rights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82"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pursuant to which we agreed to file a shelf registration statement with respect to the registrable securities under the Registration Rights Agreement within thirty (30) calendar days of the closing of the Business Combination. Certain Legacy Blaize stockholders and BurTech stockholders may each request to sell all or any portion of their registrable securities in an underwritten offering up to two times total and up to twice in any 12-month period, so long as the total offering price is reasonably expected to exceed $50.0 million. We also agreed to provide customary “piggyback” registration rights. The Registration Rights Agreement also provides that we will pay certain expenses relating to such registrations and indemnify the stockholders against certain liabilities.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 Registration Rights Agreement</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Merger Agreement, we and certain stockholders of Legacy Blaize, entered into a registration rights agreement (the “Ava Registration Rights Agreement”), pursuant to which we agreed to file a shelf registration statement with respect to the registrable securities under the Registration Rights Agreement within four (4) business days of the closing of the Business Combination. Certain Legacy Blaize stockholders may each request to sell all or any portion of their registrable securities in an underwritten offering up to two times total and up to twice in any 12-month period, so long as the total offering price is reasonably expected to exceed $25.0 million. We also agreed to provide customary “piggyback” registration rights. The Ava Registration Rights Agreement also provides that we will pay certain expenses relating to such registrations and indemnify the stockholders against certain liabilities.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Bess Ventures Secured Promissory Notes and Related Transactions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Bess Ventures and Advisory, LLC (“Bess Ventures”), which held within Legacy Blaize’s last fiscal year more than 5% of Legacy Blaize’s outstanding capital stock and is affiliated with a member of the Blaize board of directors, Lane Bess, is a party to the Promissory Note Agreement, dated as of January 19, 2024 (the “Bess 2024 Note”), pursuant to which the Sponsor, which currently holds more than 5% of the Company’s outstanding capital stock, has borrowed an aggregate principal amount of $13,000,000 from Bess Ventures in exchange for 500,000 shares of Class A Stock to be transferred upon the later of the consummation of the Business Combination or expiration or waiver of the post-closing lock up restrictions to permit such transfer. The Bess 2024 Note bore simple interest at a rate of ten percent (10%) and was payable on the earlier of (i) March 31, 2024 or (ii) the first business day following the date upon which the Sponsor has received from and after January 1, 2024 aggregate net proceeds from its investors in an amount of $25,000,000. Following the due date of March 31, 2024, interest at the default rate of fifteen percent (15%) began to accrue on the principal and unpaid interest obligations, and an additional 500,000 shares of Class A Stock are to be transferred to Bess Ventures. As of January 13, 2025, the aggregate amount outstanding under the Bess 2024 Note is approximately $14.8 million, and no payments or interest or principal on the loan have been paid. The obligations due under the Bess 2024 Note are secured by the Security Agreement, dated as of January 19, 2024 (the “Bess Security Agreement”), pursuant to which the Sponsor has granted a security interest in all of Sponsor’s right, title and interest in and to the personal property and assets, whether now owned or hereafter acquired, set forth in Exhibit A thereto, including (i) Sponsor’s interest in Legacy Blaize’s Pay-to-Play Convertible Notes (the “P2P Notes”), pursuant to that certain Amended and Restated Note Purchase Agreement dated April 22, 2024, among Legacy Blaize and certain investors (as amended and/or restated from time to time, the “Note Purchase Agreement”), in an aggregate principal amount up to $13.0 million, (ii) any securities issued upon the conversion thereof, (iii) all of Sponsor’s rights, title and interests under the Note Purchase Agreement and all other financing statements, agreements, instruments and documents granting, perfecting or protecting a security interest in Legacy Blaize’s assets to secure the P2P Notes and (iv) all proceeds of each of the foregoing.</w:t>
      </w:r>
    </w:p>
    <w:p>
      <w:pPr>
        <w:spacing w:after="0" w:line="19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Bess Security Agreement, pursuant to which the Sponsor’s obligations due under the Bess 2024 Note (with an aggregate principal amount of $13.0 million) are secured by all of the Sponsor’s right, title and interest in and to the personal property and assets, whether now owned or hereafter acquired, set forth in Exhibit A thereto, the Sponsor, Bess Ventures and Legacy Blaize entered into a Letter Agreement, dated as of February 15, 2024 (the “Bess Letter Agreement”), pursuant to which Legacy Blaize acknowledged and agreed to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00"/>
          </w:cols>
          <w:pgMar w:left="320" w:top="482" w:right="4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the grant of security and the obligations set forth in the Bess Security Agreement and other related loan documents, and further agreed to comply with certain instructions and procedures as set forth therein. As of April 1, 2024, Sponsor was in default of the repayment terms in connection with the Bess 2024 Note, the Bess Security Agreement and the Bess Letter Agreement as a result of its failure to make a timely repayment of the outstanding balance that was due on March 31, 2024.</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September 16, 2024, Bess Ventures and the Sponsor entered into a forbearance agreement, in connection with which Bess Ventures agreed to forbear from the exercise of its remedies under the Bess 2024 Note, the Bess Security Agreement and the related loan documents until the earlier of (i) January 6, 2025 or (ii) the date that is 45 days following the consummation of the Business Combination.</w:t>
      </w:r>
    </w:p>
    <w:p>
      <w:pPr>
        <w:spacing w:after="0" w:line="176"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On January 2, 2025, Bess Ventures and the Sponsor entered into several related transactions including (i) a second forbearance agreement (the “Second Forbearance Agreement”), in connection with which Bess Ventures agreed to extend the forbearance period with respect to the Bess 2024 Note to February 5, 2025 in exchange for certain additional collateral including the pledge by the Sponsor of 3.0 million Class A Stock (representing the</w:t>
      </w:r>
    </w:p>
    <w:p>
      <w:pPr>
        <w:spacing w:after="0" w:line="2" w:lineRule="exact"/>
        <w:rPr>
          <w:sz w:val="20"/>
          <w:szCs w:val="20"/>
          <w:color w:val="auto"/>
        </w:rPr>
      </w:pP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1.0 million shares required to be transferred to Bess Ventures under the Bess 2024 Note and 2.0 million other shares pledged as collateral under the Security Agreement (as defined below)), and (ii) that certain Promissory Note, pursuant to which Bess Ventures loaned $12.0 million to the Sponsor which loan is interest free prior to its maturity on February 20, 2025 and includes the obligation to transfer 500,000 shares of Class A Stock to Bess Ventures (the “Bess 2025 Note”). The obligations due under the Bess 2025 Note are secured by the Security Agreement, dated as of January 2, 2025, pursuant to which the Sponsor has granted a security interest in all of Sponsor’s right, title and interest in and to the personal property and assets, whether now owned or hereafter acquired, set forth in Exhibit A thereto, including 2.5 million shares in Class A Stock (representing the 500,000 shares required to be transferred to Bess Ventures under the Bess 2025 Note and 2 million other shares pledged as collateral) and all proceeds thereof. As consideration for the Second Forbearance Agreement and the Bess 2025 Note, pursuant to that certain Guaranty, Pledge and Repayment Agreement, dated as of January 2, 2025, Burkhan LLC has further guaranteed the Sponsor’s obligations with respect to the Bess 2024 Note and Bess 2025 Note and pledged as security for such obligations, 2.0 million shares of Class A Stock. As of the date of this prospectus, the forbearance period under the Second Forbearance Agreement has expired and the Sponsor is under default under the Bess 2025 Note.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Secured Promissory Note and Pledge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Sponsor issued a secured promissory note and pledge agreement (the “Sponsor Note”) to BurTech (the “Holder”) in the principal amount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$8,753,744.21, bearing an interest rate of 7% with annual compounding, compounded on December 31 each year the Sponsor Note remains outstanding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remaining principal amount of the Sponsor Note as at the maturity date, until such remaining principal amount is paid. Pursuant to the Sponsor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the Sponsor agreed to pay certain of the Acquiror Transaction Expenses (as defined in the Merger Agreement) set forth in the Sponsor Note.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consideration for entry into the Sponsor Note, the Company issued 750,000 shares of Class A Stock (“Sponsor Note Shares”) to the Sponsor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accordance with the terms of the Sponsor Note (the “Sponsor Note Issuance” and together with the PIPE Investment, the “Private Placements”).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Class A Stock issued in consideration for the Sponsor Note were offered in a private placement under the Securities Act, pursuant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Sponsor Note. The Sponsor is obligated to pay the Acquiror Transaction Expenses set forth in the Sponsor Note within ninety days after the date that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Sponsor Note Shares have been registered for resale under the Securities Act. The Sponsor granted a first priority security interest in, and pledged,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2,000,000 shares of Class A Stock and all additions, accessions and substitutions to the Holder to secure the satisfaction by the Sponsor of all its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obligations to the Holder under this Sponsor Note. Additionally, in the event that the Company is required to pay any of the Acquiror Transaction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Expenses subject to the Sponsor Note, the Sponsor is obligated to reimburse the Company for such payments within 90 days of such payment by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00"/>
          </w:cols>
          <w:pgMar w:left="320" w:top="482" w:right="4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Procedures with Respect to Review and Approval of Related Person Transactions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board of directors recognizes the fact that transactions with related persons present a heightened risk of conflicts of interests (or the perception of such conflicts of interest). We have adopted a written policy on transactions with related persons that is in conformity with the requirements for issuers having publicly held common stock that is listed on Nasdaq. Under the policy, our legal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the head of our legal department determines that a transaction or relationship is a related person transaction requiring compliance with the policy, the head of our legal department will be required to present to the audit committee all relevant facts and circumstances relating to the related person transaction. The audit committee will be required to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then-current related person transactions. No director will be permitted to participate in approval of a related person transaction for which he or she is a related person.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our bylaws provide for indemnification and advancement of expenses for our directors and officers to the fullest extent permitted by the DGCL, subject to certain limited exceptions. We have entered into indemnification agreements with each member of our board of directors and several of our officers.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82"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Common Stock as of July 14, 2025 by:</w:t>
      </w:r>
    </w:p>
    <w:p>
      <w:pPr>
        <w:spacing w:after="0" w:line="131" w:lineRule="exact"/>
        <w:rPr>
          <w:sz w:val="20"/>
          <w:szCs w:val="20"/>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the beneficial owner of more than 5% of the outstanding shares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above has sole voting and investment power with respect to such shares. Unless otherwise noted, the address of each beneficial owner is c/o Blaize Holdings, Inc., 4659 Golden Foothill Parkway, Suite 206, El Dorado Hills, CA 95762.</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beneficial ownership of our Common Stock is based on 101,682,422 shares of Common Stock issued and outstanding as of July 14, 2025.</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20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Percentage of Outstanding</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200" w:type="dxa"/>
            <w:vAlign w:val="bottom"/>
            <w:gridSpan w:val="2"/>
          </w:tcPr>
          <w:p>
            <w:pPr>
              <w:jc w:val="right"/>
              <w:ind w:right="10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220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8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1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Bess Ventures and Advisory, LLC</w:t>
            </w:r>
            <w:r>
              <w:rPr>
                <w:rFonts w:ascii="Times New Roman" w:cs="Times New Roman" w:eastAsia="Times New Roman" w:hAnsi="Times New Roman"/>
                <w:sz w:val="25"/>
                <w:szCs w:val="25"/>
                <w:color w:val="auto"/>
                <w:vertAlign w:val="superscript"/>
              </w:rPr>
              <w:t>(1)</w:t>
            </w:r>
          </w:p>
        </w:tc>
        <w:tc>
          <w:tcPr>
            <w:tcW w:w="22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9,521,985</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8"/>
        </w:trPr>
        <w:tc>
          <w:tcPr>
            <w:tcW w:w="4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Funds affiliated with Rizvi Traverse CI</w:t>
            </w:r>
          </w:p>
        </w:tc>
        <w:tc>
          <w:tcPr>
            <w:tcW w:w="1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Manager, LLC</w:t>
            </w:r>
            <w:r>
              <w:rPr>
                <w:rFonts w:ascii="Times New Roman" w:cs="Times New Roman" w:eastAsia="Times New Roman" w:hAnsi="Times New Roman"/>
                <w:sz w:val="26"/>
                <w:szCs w:val="26"/>
                <w:color w:val="auto"/>
                <w:vertAlign w:val="superscript"/>
              </w:rPr>
              <w:t>(2)</w:t>
            </w:r>
          </w:p>
        </w:tc>
        <w:tc>
          <w:tcPr>
            <w:tcW w:w="22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7,439,433</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Ava Investors SA</w:t>
            </w:r>
            <w:r>
              <w:rPr>
                <w:rFonts w:ascii="Times New Roman" w:cs="Times New Roman" w:eastAsia="Times New Roman" w:hAnsi="Times New Roman"/>
                <w:sz w:val="25"/>
                <w:szCs w:val="25"/>
                <w:color w:val="auto"/>
                <w:vertAlign w:val="superscript"/>
              </w:rPr>
              <w:t>(3)</w:t>
            </w:r>
          </w:p>
        </w:tc>
        <w:tc>
          <w:tcPr>
            <w:tcW w:w="22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17,716,892</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Sponsor and related parties</w:t>
            </w:r>
            <w:r>
              <w:rPr>
                <w:rFonts w:ascii="Times New Roman" w:cs="Times New Roman" w:eastAsia="Times New Roman" w:hAnsi="Times New Roman"/>
                <w:sz w:val="25"/>
                <w:szCs w:val="25"/>
                <w:color w:val="auto"/>
                <w:vertAlign w:val="superscript"/>
              </w:rPr>
              <w:t>(4)</w:t>
            </w:r>
          </w:p>
        </w:tc>
        <w:tc>
          <w:tcPr>
            <w:tcW w:w="22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9,913,874</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Funds affiliated with DENSO</w:t>
            </w:r>
            <w:r>
              <w:rPr>
                <w:rFonts w:ascii="Times New Roman" w:cs="Times New Roman" w:eastAsia="Times New Roman" w:hAnsi="Times New Roman"/>
                <w:sz w:val="25"/>
                <w:szCs w:val="25"/>
                <w:color w:val="auto"/>
                <w:vertAlign w:val="superscript"/>
              </w:rPr>
              <w:t>(5)</w:t>
            </w:r>
          </w:p>
        </w:tc>
        <w:tc>
          <w:tcPr>
            <w:tcW w:w="22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9,195,111</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Anderson Investments Pte. Ltd.</w:t>
            </w:r>
            <w:r>
              <w:rPr>
                <w:rFonts w:ascii="Times New Roman" w:cs="Times New Roman" w:eastAsia="Times New Roman" w:hAnsi="Times New Roman"/>
                <w:sz w:val="25"/>
                <w:szCs w:val="25"/>
                <w:color w:val="auto"/>
                <w:vertAlign w:val="superscript"/>
              </w:rPr>
              <w:t>(6)</w:t>
            </w:r>
          </w:p>
        </w:tc>
        <w:tc>
          <w:tcPr>
            <w:tcW w:w="22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6,353,023</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Lane M. Bess</w:t>
            </w:r>
            <w:r>
              <w:rPr>
                <w:rFonts w:ascii="Times New Roman" w:cs="Times New Roman" w:eastAsia="Times New Roman" w:hAnsi="Times New Roman"/>
                <w:sz w:val="25"/>
                <w:szCs w:val="25"/>
                <w:color w:val="auto"/>
                <w:vertAlign w:val="superscript"/>
              </w:rPr>
              <w:t>(1)</w:t>
            </w:r>
          </w:p>
        </w:tc>
        <w:tc>
          <w:tcPr>
            <w:tcW w:w="22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9,521,985</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Tony Cannestra</w:t>
            </w:r>
            <w:r>
              <w:rPr>
                <w:rFonts w:ascii="Times New Roman" w:cs="Times New Roman" w:eastAsia="Times New Roman" w:hAnsi="Times New Roman"/>
                <w:sz w:val="25"/>
                <w:szCs w:val="25"/>
                <w:color w:val="auto"/>
                <w:vertAlign w:val="superscript"/>
              </w:rPr>
              <w:t>(7)</w:t>
            </w:r>
          </w:p>
        </w:tc>
        <w:tc>
          <w:tcPr>
            <w:tcW w:w="22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571,963</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Edward Frank</w:t>
            </w:r>
            <w:r>
              <w:rPr>
                <w:rFonts w:ascii="Times New Roman" w:cs="Times New Roman" w:eastAsia="Times New Roman" w:hAnsi="Times New Roman"/>
                <w:sz w:val="25"/>
                <w:szCs w:val="25"/>
                <w:color w:val="auto"/>
                <w:vertAlign w:val="superscript"/>
              </w:rPr>
              <w:t>(8)</w:t>
            </w:r>
          </w:p>
        </w:tc>
        <w:tc>
          <w:tcPr>
            <w:tcW w:w="22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563,139</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Juergen Hambrecht</w:t>
            </w:r>
            <w:r>
              <w:rPr>
                <w:rFonts w:ascii="Times New Roman" w:cs="Times New Roman" w:eastAsia="Times New Roman" w:hAnsi="Times New Roman"/>
                <w:sz w:val="25"/>
                <w:szCs w:val="25"/>
                <w:color w:val="auto"/>
                <w:vertAlign w:val="superscript"/>
              </w:rPr>
              <w:t>(9)</w:t>
            </w:r>
          </w:p>
        </w:tc>
        <w:tc>
          <w:tcPr>
            <w:tcW w:w="22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563,139</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Dinakar Munagala</w:t>
            </w:r>
            <w:r>
              <w:rPr>
                <w:rFonts w:ascii="Times New Roman" w:cs="Times New Roman" w:eastAsia="Times New Roman" w:hAnsi="Times New Roman"/>
                <w:sz w:val="25"/>
                <w:szCs w:val="25"/>
                <w:color w:val="auto"/>
                <w:vertAlign w:val="superscript"/>
              </w:rPr>
              <w:t>(10)</w:t>
            </w:r>
          </w:p>
        </w:tc>
        <w:tc>
          <w:tcPr>
            <w:tcW w:w="22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3,136,518</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Harminder Sehmi</w:t>
            </w:r>
            <w:r>
              <w:rPr>
                <w:rFonts w:ascii="Times New Roman" w:cs="Times New Roman" w:eastAsia="Times New Roman" w:hAnsi="Times New Roman"/>
                <w:sz w:val="25"/>
                <w:szCs w:val="25"/>
                <w:color w:val="auto"/>
                <w:vertAlign w:val="superscript"/>
              </w:rPr>
              <w:t>(11)</w:t>
            </w:r>
          </w:p>
        </w:tc>
        <w:tc>
          <w:tcPr>
            <w:tcW w:w="22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459,572</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de Urioste</w:t>
            </w:r>
          </w:p>
        </w:tc>
        <w:tc>
          <w:tcPr>
            <w:tcW w:w="220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Yoshiaki Fujimori</w:t>
            </w:r>
          </w:p>
        </w:tc>
        <w:tc>
          <w:tcPr>
            <w:tcW w:w="220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194"/>
        </w:trPr>
        <w:tc>
          <w:tcPr>
            <w:tcW w:w="4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Directors and named executive officers as a</w:t>
            </w:r>
          </w:p>
        </w:tc>
        <w:tc>
          <w:tcPr>
            <w:tcW w:w="1280" w:type="dxa"/>
            <w:vAlign w:val="bottom"/>
            <w:tcBorders>
              <w:top w:val="single" w:sz="8" w:color="auto"/>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group (8 individuals)</w:t>
            </w:r>
          </w:p>
        </w:tc>
        <w:tc>
          <w:tcPr>
            <w:tcW w:w="22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14,816,316</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right="20" w:hanging="424"/>
        <w:spacing w:after="0" w:line="250"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8,946,783 shares of Common Stock held by Bess Ventures, (b) 389,968 shares of Common Stock held by the Trust and (c) 185,234 shares of Common Stock underlying options exercisable within 60 days of March 31, 2025. Lane M. Bess is the (i) managing member and owner of Bess Ventures and (ii) the Investment Fiduciary of the Trust. Lane M. Bess may be deemed to be the beneficial owner of the shares of Blaize capital stock beneficially owned by Bess Ventures and the Trust. The address of Bess Ventures is c/o</w:t>
      </w:r>
    </w:p>
    <w:p>
      <w:pPr>
        <w:spacing w:after="0" w:line="1" w:lineRule="exact"/>
        <w:rPr>
          <w:rFonts w:ascii="Times New Roman" w:cs="Times New Roman" w:eastAsia="Times New Roman" w:hAnsi="Times New Roman"/>
          <w:sz w:val="18"/>
          <w:szCs w:val="18"/>
          <w:color w:val="auto"/>
        </w:rPr>
      </w:pPr>
    </w:p>
    <w:p>
      <w:pPr>
        <w:ind w:left="54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Lane M. Bess, 1928 Sunset Harbor Drive, Miami Beach, FL 33139. The address of the Trust is 255 Alhambra Circle, Ste 333, Coral Gables, FL 33134.</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82"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right="60" w:hanging="424"/>
        <w:spacing w:after="0" w:line="253"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1,211,952 shares of Common Stock held by RT-AI II, LLC, (b) 842,890 shares of Common Stock held by RT-AI III, LLC, (c) 2,548,556 shares of Common Stock held by RT-AI IV LLC, (d) 836,035 shares of Common Stock held by RT-AI V LLC (collectively, the “RT Funds”) and (e) 2,000,000 shares of Common Stock held by Rizvi Master LLC (“Rizvi Master”). Rizvi Traverse CI Manager, LLC (“RTCIM”) is the manager of each of the RT Funds. Mr. Suhail Rizvi is the manager of RTCIM and Rizvi Master. Mr. Rizvi may be deemed to be the beneficial owner of the shares of Common Stock beneficially owned by the RT Funds and Rizvi Master, but disclaims beneficial ownership of such shares, except to the extent of any pecuniary interest therein. The address of the RT Funds and Rizvi Master is c/o Rizvi Traverse CI Manager, LLC, 801 Northpoint Parkway, Suite 129, West Palm Beach, FL 33407.</w:t>
      </w:r>
    </w:p>
    <w:p>
      <w:pPr>
        <w:spacing w:after="0" w:line="2"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17,716,892 shares of Common Stock held by Ava Private Markets Sarl (“Ava Private Markets”) and affiliates. Ava Investors SA is the investment manager of Ava Private Markets and exercises investment power with respect to the securities held by Ava Private Markets. Barthelemy Debray, Raphaëlle Mahieu and Benjamin Hazan may be deemed to exercise investment power with respect to the securities. Each of the persons above disclaims any beneficial ownership of the securities, except to the extent of any pecuniary interest therein. The address of each of the persons above is c/o Ava Investors SA, Rue du Rhône 78, 1204 Geneva, Switzerland.</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9,913,874 shares of Common Stock held by BurTech LP LLC and its affiliates (“BurTech LP”). BurTech LP LLC Shahal Khan, Patrick Orlando and Roman Livson are the managing members of our sponsor. By virtue of this relationship, Messrs. Khan, Orlando and Livson may be deemed to share beneficial ownership of the securities held of record by BurTech LP. Messrs. Khan, Orlando and Livson disclaim any beneficial ownership except to the extent of their pecuniary interest in such securities. The address of BurTech LP is 1300 Pennsylvania Ave NW, Suite 700, Washington, DC 20004.</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4,673,746 shares of Common Stock held by DENSO Corporation and (b) 4,521,365 shares of Common Stock held by DENSO International America, Inc. DENSO International America Inc. is a direct wholly owned subsidiary of DENSO Corporation, and therefore, investment or voting power regarding shares held by DENSO International America Inc. is made by DENSO Corporation. In such capacity, DENSO Corporation may be deemed to have voting and investment power over the shares held by DENSO International America Inc. as well as shares held directly by DENSO Corporation. Investment and voting decisions regarding such shares are made by the board of directors of DENSO Corporation upon a recommendation by management, acting by majority vote and, as a result, no individual member of the board of directors acting alone has the ability to exercise investment or voting power regarding such shares. The membership of the board of directors is subject to change from time to time. The board of directors currently consists of Koji Arima, Shinnosuke Hayashi, Yasushi Matsui, Yasuhiko Yamazaki, Akio Toyoda, Shigeki Kushida, Yuko Mitsuya and Joseph P. Schmelzeis Jr. Each of the members of the board of directors of DENSO Corporation disclaims beneficial ownership of such shares. The address of each of DENSO International America, Inc. and DENSO Corporation is 24777 Denso Dr, Southfield, MI 48033 and 1Chome-1 Showacho, Kariya, Aichi 448-0029, Japan, respectively.</w:t>
      </w:r>
    </w:p>
    <w:p>
      <w:pPr>
        <w:spacing w:after="0" w:line="4" w:lineRule="exact"/>
        <w:rPr>
          <w:rFonts w:ascii="Times New Roman" w:cs="Times New Roman" w:eastAsia="Times New Roman" w:hAnsi="Times New Roman"/>
          <w:sz w:val="18"/>
          <w:szCs w:val="18"/>
          <w:color w:val="auto"/>
        </w:rPr>
      </w:pPr>
    </w:p>
    <w:p>
      <w:pPr>
        <w:ind w:left="540" w:right="40" w:hanging="424"/>
        <w:spacing w:after="0" w:line="251"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6,353,023 shares of Common Stock held by Anderson Investments Pte. Ltd. (“Anderson”). Anderson is a direct wholly owned subsidiary of Thomson Capital Pte. Ltd. (“Thomson”), which in turn is a direct wholly owned subsidiary of Tembusu Capital Pte. Ltd. (“Tembusu”), which in turn is a direct wholly owned subsidiary of Temasek Holdings (Private) Limited (“Temasek”) and may be deemed to share voting and investment power over the shares held by Anderson Investments Pte. Ltd. In such capacities, each of Temasek, Tembusu and Thomson may be deemed to share voting and investment power over the shares held by Anderson. Investment and voting decisions regarding such shares are made by an investment committee of Temasek, acting by majority vote and, as a result, no individual investment committee member acting alone has the ability to exercise investment or voting power regarding such shares. The membership of the investment committee is subject to change from time to time. The investment committee currently consists of Dilhan Pillay, Chia Song Hwee, Nagi Hamiyeh, Ravi Lambah, Rohit Sipahimalani, Uwe Krueger, Wu Yibing, Png Chin Yee, John Marren, Alpin Mehta, Suranjan Mukherjee, Martin Fichtner and Anuj Maheshwari. Each of the members of the investment committee disclaims beneficial ownership of such shares. The address for Anderson, Thomson, Tembusu and Temasek is 60B Orchard Road, #06-18, The Atrium@Orchard, Singapore 238891.</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00"/>
          </w:cols>
          <w:pgMar w:left="320" w:top="482" w:right="4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571,963 shares of Common Stock underlying options exercisable within 60 days of July 14, 2025.</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563,139 shares of Common Stock underlying options exercisable within 60 days of July 14, 2025.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563,139 shares of Common Stock underlying options exercisable within 60 days of July 14, 2025.</w:t>
      </w:r>
    </w:p>
    <w:p>
      <w:pPr>
        <w:spacing w:after="0" w:line="9"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551,422 shares of Common Stock held directly by Dinakar Munagala and (b) 2,585,096 shares of Common Stock underlying options exercisable within 60 days of July 14, 2025.</w:t>
      </w:r>
    </w:p>
    <w:p>
      <w:pPr>
        <w:ind w:left="540" w:hanging="424"/>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459,572 shares of Common Stock underlying options exercisable within 60 days of July 14, 2025.</w:t>
      </w:r>
    </w:p>
    <w:p>
      <w:pPr>
        <w:spacing w:after="0" w:line="1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660"/>
          </w:cols>
          <w:pgMar w:left="320" w:top="482" w:right="9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prospectus relates to the offer and sale by B. Riley Principal Capital II of up to 20,326,158 BRPC Shares that have been and may be issued by us to B. Riley Principal Capital II under the Purchase Agreement. For additional information regarding BRPC Shares included in this prospectus, see the section titled “</w:t>
      </w:r>
      <w:r>
        <w:rPr>
          <w:rFonts w:ascii="Times New Roman" w:cs="Times New Roman" w:eastAsia="Times New Roman" w:hAnsi="Times New Roman"/>
          <w:sz w:val="18"/>
          <w:szCs w:val="18"/>
          <w:i w:val="1"/>
          <w:iCs w:val="1"/>
          <w:color w:val="auto"/>
        </w:rPr>
        <w:t>The Committed Equity Facility</w:t>
      </w:r>
      <w:r>
        <w:rPr>
          <w:rFonts w:ascii="Times New Roman" w:cs="Times New Roman" w:eastAsia="Times New Roman" w:hAnsi="Times New Roman"/>
          <w:sz w:val="18"/>
          <w:szCs w:val="18"/>
          <w:color w:val="auto"/>
        </w:rPr>
        <w:t>” above. We are registering the shares of our Common Stock included in this prospectus pursuant to the provisions of the Registration Rights Agreement we entered into with B. Riley Principal Capital II on July 14, 2025 in order to permit the Selling Stockholder to offer BRPC Shares included in this prospectus for resale from time to time. Except for the transactions contemplated by the Purchase Agreement and the Registration Rights Agreement and as set forth in the section titled “</w:t>
      </w:r>
      <w:r>
        <w:rPr>
          <w:rFonts w:ascii="Times New Roman" w:cs="Times New Roman" w:eastAsia="Times New Roman" w:hAnsi="Times New Roman"/>
          <w:sz w:val="18"/>
          <w:szCs w:val="18"/>
          <w:i w:val="1"/>
          <w:iCs w:val="1"/>
          <w:color w:val="auto"/>
        </w:rPr>
        <w:t>Plan of Distribution (Conflict of Interest) – Offer and Resale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 by the Selling Stockholder</w:t>
      </w:r>
      <w:r>
        <w:rPr>
          <w:rFonts w:ascii="Times New Roman" w:cs="Times New Roman" w:eastAsia="Times New Roman" w:hAnsi="Times New Roman"/>
          <w:sz w:val="18"/>
          <w:szCs w:val="18"/>
          <w:color w:val="auto"/>
        </w:rPr>
        <w:t>” in this prospectus, B. Riley Principal Capital II has not had any material relationship with us within the past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years. As used in this prospectus, the term “Selling Stockholder” means B. Riley Principal Capital II, LLC.</w:t>
      </w:r>
    </w:p>
    <w:p>
      <w:pPr>
        <w:spacing w:after="0" w:line="192"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The table below presents information regarding the Selling Stockholder and BRPC Shares that may be resold by the Selling Stockholder from time to time under this prospectus. This table is prepared based on information supplied to us by the Selling Stockholder, and reflects holdings as of July 14, 2025. The number of shares in the column “Maximum Number of Shares of Common Stock to be Offered Pursuant to this Prospectus” represents all of BRPC Shares being offered for resale by the Selling Stockholder under this prospectus. The Selling Stockholder may sell some, all or none of BRPC Shares being offered for resale in this offering. We do not know how long the Selling Stockholder will hold the shares before selling them and, except as set forth in the section titled “</w:t>
      </w:r>
      <w:r>
        <w:rPr>
          <w:rFonts w:ascii="Times New Roman" w:cs="Times New Roman" w:eastAsia="Times New Roman" w:hAnsi="Times New Roman"/>
          <w:sz w:val="18"/>
          <w:szCs w:val="18"/>
          <w:i w:val="1"/>
          <w:iCs w:val="1"/>
          <w:color w:val="auto"/>
        </w:rPr>
        <w:t>Plan of Distribution (Conflict of Interest) – Offer and Resale of Common Stock by the 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w:t>
      </w:r>
      <w:r>
        <w:rPr>
          <w:rFonts w:ascii="Times New Roman" w:cs="Times New Roman" w:eastAsia="Times New Roman" w:hAnsi="Times New Roman"/>
          <w:sz w:val="18"/>
          <w:szCs w:val="18"/>
          <w:color w:val="auto"/>
        </w:rPr>
        <w:t>” in this prospectus, we are not aware of any existing arrangements between the Selling Stockholder and any other stockholder, broker,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dealer, underwriter or agent relating to the sale or distribution of BRPC Shares being offered for resale by this prospectus.</w:t>
      </w:r>
    </w:p>
    <w:p>
      <w:pPr>
        <w:spacing w:after="0" w:line="19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and includes shares of our Common Stock with respect to which the Selling Stockholder has sole or shared voting and investment power. The percentage of shares of our Common Stock beneficially owned by the Selling Stockholder prior to the offering shown in the table below is based on an aggregate of 101,682,422 shares of our Common Stock outstanding on July 14, 2025. Because the purchase price to be paid by the Selling Stockholder for shares of our Common Stock, if any, that we may elect to sell to the Selling Stockholder in one or more Market Open Purchases and/or one or more Intraday Purchases from time to time under the Purchase Agreement will be determined on the applicable Purchase Dates therefor, the actual number of shares of our Common Stock that we may sell to the Selling Stockholder under the Purchase Agreement may be fewer than the number of shares being offered for resale under this prospectus. The fourth column assumes the resale by the Selling Stockholder of all of BRPC Shares being offered for resale pursuant to this prospectus.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240" w:type="dxa"/>
            <w:vAlign w:val="bottom"/>
            <w:gridSpan w:val="4"/>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8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166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240" w:type="dxa"/>
            <w:vAlign w:val="bottom"/>
            <w:gridSpan w:val="4"/>
            <w:vMerge w:val="continue"/>
          </w:tcPr>
          <w:p>
            <w:pPr>
              <w:spacing w:after="0"/>
              <w:rPr>
                <w:sz w:val="12"/>
                <w:szCs w:val="12"/>
                <w:color w:val="auto"/>
              </w:rPr>
            </w:pPr>
          </w:p>
        </w:tc>
        <w:tc>
          <w:tcPr>
            <w:tcW w:w="18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6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24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8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Stock to be Offered</w:t>
            </w:r>
          </w:p>
        </w:tc>
        <w:tc>
          <w:tcPr>
            <w:tcW w:w="166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9"/>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224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8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 this</w:t>
            </w:r>
          </w:p>
        </w:tc>
        <w:tc>
          <w:tcPr>
            <w:tcW w:w="166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67"/>
        </w:trPr>
        <w:tc>
          <w:tcPr>
            <w:tcW w:w="5280" w:type="dxa"/>
            <w:vAlign w:val="bottom"/>
            <w:gridSpan w:val="2"/>
            <w:vMerge w:val="continue"/>
          </w:tcPr>
          <w:p>
            <w:pPr>
              <w:spacing w:after="0"/>
              <w:rPr>
                <w:sz w:val="14"/>
                <w:szCs w:val="14"/>
                <w:color w:val="auto"/>
              </w:rPr>
            </w:pPr>
          </w:p>
        </w:tc>
        <w:tc>
          <w:tcPr>
            <w:tcW w:w="2240" w:type="dxa"/>
            <w:vAlign w:val="bottom"/>
            <w:gridSpan w:val="4"/>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Prior to Offering</w:t>
            </w:r>
          </w:p>
        </w:tc>
        <w:tc>
          <w:tcPr>
            <w:tcW w:w="184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Prospectus</w:t>
            </w:r>
          </w:p>
        </w:tc>
        <w:tc>
          <w:tcPr>
            <w:tcW w:w="1660" w:type="dxa"/>
            <w:vAlign w:val="bottom"/>
            <w:gridSpan w:val="4"/>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After Offering</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48"/>
        </w:trPr>
        <w:tc>
          <w:tcPr>
            <w:tcW w:w="1760" w:type="dxa"/>
            <w:vAlign w:val="bottom"/>
            <w:tcBorders>
              <w:top w:val="single" w:sz="8" w:color="auto"/>
            </w:tcBorders>
          </w:tcPr>
          <w:p>
            <w:pPr>
              <w:spacing w:after="0"/>
              <w:rPr>
                <w:sz w:val="12"/>
                <w:szCs w:val="12"/>
                <w:color w:val="auto"/>
              </w:rPr>
            </w:pPr>
          </w:p>
        </w:tc>
        <w:tc>
          <w:tcPr>
            <w:tcW w:w="352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r>
              <w:rPr>
                <w:rFonts w:ascii="Times New Roman" w:cs="Times New Roman" w:eastAsia="Times New Roman" w:hAnsi="Times New Roman"/>
                <w:sz w:val="10"/>
                <w:szCs w:val="10"/>
                <w:b w:val="1"/>
                <w:bCs w:val="1"/>
                <w:color w:val="auto"/>
              </w:rPr>
              <w:t>(1)</w:t>
            </w:r>
          </w:p>
        </w:tc>
        <w:tc>
          <w:tcPr>
            <w:tcW w:w="6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r>
              <w:rPr>
                <w:rFonts w:ascii="Times New Roman" w:cs="Times New Roman" w:eastAsia="Times New Roman" w:hAnsi="Times New Roman"/>
                <w:sz w:val="10"/>
                <w:szCs w:val="10"/>
                <w:b w:val="1"/>
                <w:bCs w:val="1"/>
                <w:color w:val="auto"/>
              </w:rPr>
              <w:t>(2)</w:t>
            </w:r>
          </w:p>
        </w:tc>
        <w:tc>
          <w:tcPr>
            <w:tcW w:w="50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Borders>
              <w:top w:val="single" w:sz="8" w:color="auto"/>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B. Riley Principal Capital II, LLC</w:t>
            </w:r>
            <w:r>
              <w:rPr>
                <w:rFonts w:ascii="Times New Roman" w:cs="Times New Roman" w:eastAsia="Times New Roman" w:hAnsi="Times New Roman"/>
                <w:sz w:val="24"/>
                <w:szCs w:val="24"/>
                <w:color w:val="auto"/>
                <w:vertAlign w:val="superscript"/>
              </w:rPr>
              <w:t>(4)</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83,353</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20,326,158</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1.0% of the outstanding shares of our Common Stock.</w:t>
      </w:r>
    </w:p>
    <w:p>
      <w:pPr>
        <w:spacing w:after="0" w:line="27" w:lineRule="exact"/>
        <w:rPr>
          <w:sz w:val="20"/>
          <w:szCs w:val="20"/>
          <w:color w:val="auto"/>
        </w:rPr>
      </w:pPr>
    </w:p>
    <w:p>
      <w:pPr>
        <w:ind w:left="540" w:right="320" w:hanging="424"/>
        <w:spacing w:after="0" w:line="253"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83,353 shares of our Common Stock we issued to B. Riley Principal Capital II on July 15, 2025 as Commitment Shares in consideration for entering into the Purchase Agreement with us. In accordance with Rule 13d-3(d) under the Exchange Act, we have excluded from the number of shares beneficially owned prior to the offering all of the shares of Common Stock that B. Riley Principal Capital II may be required to purchase under the Purchase Agreement, because the issuance of such shares is solely at</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40"/>
          </w:cols>
          <w:pgMar w:left="320" w:top="482"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2" w:lineRule="auto"/>
        <w:rPr>
          <w:sz w:val="20"/>
          <w:szCs w:val="20"/>
          <w:color w:val="auto"/>
        </w:rPr>
      </w:pPr>
      <w:r>
        <w:rPr>
          <w:rFonts w:ascii="Times New Roman" w:cs="Times New Roman" w:eastAsia="Times New Roman" w:hAnsi="Times New Roman"/>
          <w:sz w:val="18"/>
          <w:szCs w:val="18"/>
          <w:color w:val="auto"/>
        </w:rPr>
        <w:t>our discretion and is subject to conditions contained in the Purchase Agreement, the satisfaction of which are entirely outside of B. Riley Principal Capital II’s control, including the registration statement that includes this prospectus becoming and remaining effective. Furthermore, the Market Open Purchases and the Intraday Purchases of our Common Stock under the Purchase Agreement are subject to certain agreed upon maximum amount limitations set forth in the Purchase Agreement. Also, the Purchase Agreement prohibits us from issuing and selling any shares of our Common Stock to B. Riley Principal Capital II to the extent such shares, when aggregated with all other shares of our Common Stock then beneficially owned by B. Riley Principal Capital II, would cause B. Riley Principal Capital II’s beneficial ownership of our Common Stock to exceed the 4.99% Beneficial Ownership Limitation. The Purchase Agreement also prohibits us from issuing or selling shares of our Common Stock under the Purchase Agreement in excess of the 19.99% Exchange Cap, unless we obtain stockholder approval to do so, or unless the average price for all shares of our Common Stock purchased by B. Riley Principal Capital II under the Purchase Agreement equals or exceeds $2.91 per share, such that the Exchange Cap limitation would not apply under applicable Nasdaq rules. Neither the Beneficial Ownership Limitation nor the Exchange Cap (to the extent applicable under Nasdaq) may be amended or waived under the Purchase Agreement.</w:t>
      </w:r>
    </w:p>
    <w:p>
      <w:pPr>
        <w:spacing w:after="0" w:line="4" w:lineRule="exact"/>
        <w:rPr>
          <w:sz w:val="20"/>
          <w:szCs w:val="20"/>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101,682,422 shares of our Common Stock outstanding as of July 14, 2025.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BRPC Shares being offered for resale pursuant to this prospectus.</w:t>
      </w:r>
    </w:p>
    <w:p>
      <w:pPr>
        <w:spacing w:after="0" w:line="9" w:lineRule="exact"/>
        <w:rPr>
          <w:rFonts w:ascii="Times New Roman" w:cs="Times New Roman" w:eastAsia="Times New Roman" w:hAnsi="Times New Roman"/>
          <w:sz w:val="18"/>
          <w:szCs w:val="18"/>
          <w:color w:val="auto"/>
        </w:rPr>
      </w:pPr>
    </w:p>
    <w:p>
      <w:pPr>
        <w:ind w:left="540" w:right="80" w:hanging="424"/>
        <w:spacing w:after="0" w:line="251"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B. Riley Principal Capital II, LLC (“BRPC II”) is 11100 Santa Monica Blvd., Suite 800, Los Angeles, California 90025. BRPC II’s principal business is that of a private investor. BRPC II is a wholly owned subsidiary of B. Riley Securities Holdings, LLC (“BRSH”). As a result, BRSH may be deemed to indirectly beneficially own securities held of record by BRPC II. BRSH expressly disclaims beneficial ownership of securities held of record by BRPC II, except to the extent of its pecuniary interest therein. All voting and investment decisions with respect to securities held of record by BRPC II are made by majority vote of an investment policy committee of BRPC II composed of three individuals, each of whom is not involved in the management of BRSH and at least two of whom are not affiliates or associated persons of B. Riley Securities, Inc. (“BRS”), a registered broker-dealer and member of the Financial Industry Regulatory Authority, Inc. (“FINRA”), and a wholly owned subsidiary of BRSH. We have been advised that neither BRSH nor BRPC II is a FINRA member or an independent broker-dealer. Because each of BRPC II and BRS is a wholly owned subsidiary of BRSH, BRPC II is deemed to be an affiliate of BRS. BRS will act as an executing broker that will effectuate resales of BRPC Shares that may be acquired by BRPC II from us pursuant to the Purchase Agreement to the public in this offering. See “</w:t>
      </w:r>
      <w:r>
        <w:rPr>
          <w:rFonts w:ascii="Times New Roman" w:cs="Times New Roman" w:eastAsia="Times New Roman" w:hAnsi="Times New Roman"/>
          <w:sz w:val="18"/>
          <w:szCs w:val="18"/>
          <w:i w:val="1"/>
          <w:iCs w:val="1"/>
          <w:color w:val="auto"/>
        </w:rPr>
        <w:t>Plan of Distribution (Conflict of Interest)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Offer and Resale of Common Stock by the Selling Stockholder</w:t>
      </w:r>
      <w:r>
        <w:rPr>
          <w:rFonts w:ascii="Times New Roman" w:cs="Times New Roman" w:eastAsia="Times New Roman" w:hAnsi="Times New Roman"/>
          <w:sz w:val="18"/>
          <w:szCs w:val="18"/>
          <w:color w:val="auto"/>
        </w:rPr>
        <w:t>” for more information about the relationship between BRPC II and BRS.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Cantor</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This prospectus also relates in part to the offer and sale by Cantor of an aggregate of up to 769,231 shares of our Common Stock. We are registering the shares of our Common Stock included in this prospectus pursuant to the provisions of the Engagement Letter in order to permit Cantor to offer the shares included in this prospectus for resale from time to time. Except for the transactions contemplated by the Engagement Letter and as set forth in this section and in the section titled “</w:t>
      </w:r>
      <w:r>
        <w:rPr>
          <w:rFonts w:ascii="Times New Roman" w:cs="Times New Roman" w:eastAsia="Times New Roman" w:hAnsi="Times New Roman"/>
          <w:sz w:val="18"/>
          <w:szCs w:val="18"/>
          <w:i w:val="1"/>
          <w:iCs w:val="1"/>
          <w:color w:val="auto"/>
        </w:rPr>
        <w:t>Plan of Distribution (Conflict of Interest) – Offer and Resale of Common Stock by Cantor</w:t>
      </w:r>
      <w:r>
        <w:rPr>
          <w:rFonts w:ascii="Times New Roman" w:cs="Times New Roman" w:eastAsia="Times New Roman" w:hAnsi="Times New Roman"/>
          <w:sz w:val="18"/>
          <w:szCs w:val="18"/>
          <w:color w:val="auto"/>
        </w:rPr>
        <w:t>” in this prospectus, Cantor has not had any material relationship with us within the past three years.</w:t>
      </w:r>
    </w:p>
    <w:p>
      <w:pPr>
        <w:spacing w:after="0" w:line="183"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Cantor may from time to time offer and sell any or all of the Common Stock set forth below pursuant to this prospectus. In this prospectus, the term “Cantor” includes (i) the entity identified in the table below (as such table may be amended from time to time by means of an amendment to the registration statement of which this prospectus forms a part or by a supplement to this prospectus) and (ii) any donees, pledgees, transferees or other successors-in-interest (as a gift, pledge, partnership distribution or other non-sale related transfer) that acquire any of the securities covered by this prospectus after the date of this prospectus from Cantor.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40"/>
          </w:cols>
          <w:pgMar w:left="320" w:top="482"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table below sets forth, as of the date of this prospectus, Cantor’s name for which we are registering Common Stock for resale to the public, and the aggregate principal amount that Cantor may offer pursuant to this prospectus. In accordance with SEC rules, the entity below is shown as having beneficial ownership over the securities it owns or has the right to acquire within 60 days, as well as securities for which it has the right to vote or dispose of such securities. Also in accordance with SEC rules, for purposes of calculating percentages of beneficial ownership, Common Stock, which a person has the right to acquire within 60 days of the date of this prospectus, are included both in that person’s beneficial ownership as well as in the total number of Common Stock issued used to calculate that person’s percentage ownership but not for purposes of calculating the percentage for other persons.</w:t>
      </w:r>
    </w:p>
    <w:p>
      <w:pPr>
        <w:spacing w:after="0" w:line="189"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Subject to certain exceptions, the Engagement Letter provides that Cantor shall not transfer (A) 384,616 shares of Common Stock issued to Cantor until the earlier of (i) April 11, 2026, (ii) the date on which the VWAP of the Common Stock equals or exceeds $7.00 per share for any 20 trading days within a 30-trading day period and (iii) the date upon which the Company completes a liquidation, merger, capital stock exchange, reorganization or other similar transaction that results in all of the Company’s stockholders having the right to exchange their shares of Common Stock for cash, securities or other property and (B) 384,615 shares of Common Stock issued to Cantor until the earlier of (i) April 11, 2026, (ii) the date on which the VWAP of the Common Stock equals or exceeds $10.00 per share for any 20 trading days within a 30-trading day period and (iii) the date upon which the Company completes a liquidation, merger, capital stock exchange, reorganization or other similar transaction that results in all of the Company’s stockholders having the right to exchange their shares of Common Stock for cash, securities or other property (collectively, the “Lock-Up Period”).</w:t>
      </w:r>
    </w:p>
    <w:p>
      <w:pPr>
        <w:spacing w:after="0" w:line="17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cannot advise you as to whether Cantor will in fact sell any or all of such securities. In addition, following expiration of the Lock-Up Period, Cantor may sell, transfer or otherwise dispose of, at any time and from time to time, the Common Stock in transactions exempt from the registration requirements of the Securities Act after the date of this prospectus, subject to applicable law.</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Cantor is not a party to, and has no involvement in, the committed equity facility entered into between the Company and B. Riley Principal Capital II. The 769,231 shares of Common Stock being registered for resale by Cantor under this registration statement are entirely unrelated to the committed equity facility with B. Riley Principal Capital II and were acquired independently of that arrangement. No proceeds from the equity facility will be used in connection with Cantor and Cantor has no rights or obligations under the Purchase Agreement or Registration Rights Agreement with B. Riley.</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Cantor’s information for each additional Cantor successor-in-interest, if any, will be set forth by prospectus supplement to the extent required prior to the time of any offer or sale of such Cantor successor-in-interest’s securities pursuant to this prospectus. Any prospectus supplement may add, update, substitute, or change the information contained in this prospectus, including the identity of each Cantor successor-in-interest and the number of securities registered on its behalf. Cantor may sell all, some or none of such securities in this offering. See “</w:t>
      </w:r>
      <w:r>
        <w:rPr>
          <w:rFonts w:ascii="Times New Roman" w:cs="Times New Roman" w:eastAsia="Times New Roman" w:hAnsi="Times New Roman"/>
          <w:sz w:val="18"/>
          <w:szCs w:val="18"/>
          <w:i w:val="1"/>
          <w:iCs w:val="1"/>
          <w:color w:val="auto"/>
        </w:rPr>
        <w:t>Plan of Distribution (Conflict of Interest)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 and Sale of Class A Common Stock by Cantor.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information in the table below is based upon information provided by Cantor.</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360" w:type="dxa"/>
            <w:vAlign w:val="bottom"/>
            <w:gridSpan w:val="4"/>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9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174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360" w:type="dxa"/>
            <w:vAlign w:val="bottom"/>
            <w:gridSpan w:val="4"/>
            <w:vMerge w:val="continue"/>
          </w:tcPr>
          <w:p>
            <w:pPr>
              <w:spacing w:after="0"/>
              <w:rPr>
                <w:sz w:val="12"/>
                <w:szCs w:val="12"/>
                <w:color w:val="auto"/>
              </w:rPr>
            </w:pPr>
          </w:p>
        </w:tc>
        <w:tc>
          <w:tcPr>
            <w:tcW w:w="19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7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360" w:type="dxa"/>
            <w:vAlign w:val="bottom"/>
            <w:gridSpan w:val="4"/>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9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Stock to be Offered</w:t>
            </w:r>
          </w:p>
        </w:tc>
        <w:tc>
          <w:tcPr>
            <w:tcW w:w="174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3100" w:type="dxa"/>
            <w:vAlign w:val="bottom"/>
          </w:tcPr>
          <w:p>
            <w:pPr>
              <w:spacing w:after="0"/>
              <w:rPr>
                <w:sz w:val="12"/>
                <w:szCs w:val="12"/>
                <w:color w:val="auto"/>
              </w:rPr>
            </w:pPr>
          </w:p>
        </w:tc>
        <w:tc>
          <w:tcPr>
            <w:tcW w:w="2360" w:type="dxa"/>
            <w:vAlign w:val="bottom"/>
            <w:gridSpan w:val="4"/>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9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 this</w:t>
            </w:r>
          </w:p>
        </w:tc>
        <w:tc>
          <w:tcPr>
            <w:tcW w:w="174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67"/>
        </w:trPr>
        <w:tc>
          <w:tcPr>
            <w:tcW w:w="1920" w:type="dxa"/>
            <w:vAlign w:val="bottom"/>
            <w:vMerge w:val="continue"/>
          </w:tcPr>
          <w:p>
            <w:pPr>
              <w:spacing w:after="0"/>
              <w:rPr>
                <w:sz w:val="14"/>
                <w:szCs w:val="14"/>
                <w:color w:val="auto"/>
              </w:rPr>
            </w:pPr>
          </w:p>
        </w:tc>
        <w:tc>
          <w:tcPr>
            <w:tcW w:w="3100" w:type="dxa"/>
            <w:vAlign w:val="bottom"/>
          </w:tcPr>
          <w:p>
            <w:pPr>
              <w:spacing w:after="0"/>
              <w:rPr>
                <w:sz w:val="14"/>
                <w:szCs w:val="14"/>
                <w:color w:val="auto"/>
              </w:rPr>
            </w:pPr>
          </w:p>
        </w:tc>
        <w:tc>
          <w:tcPr>
            <w:tcW w:w="2360" w:type="dxa"/>
            <w:vAlign w:val="bottom"/>
            <w:gridSpan w:val="4"/>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Prior to Offering</w:t>
            </w:r>
          </w:p>
        </w:tc>
        <w:tc>
          <w:tcPr>
            <w:tcW w:w="190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Prospectus</w:t>
            </w:r>
          </w:p>
        </w:tc>
        <w:tc>
          <w:tcPr>
            <w:tcW w:w="1740" w:type="dxa"/>
            <w:vAlign w:val="bottom"/>
            <w:gridSpan w:val="4"/>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After Offering</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49"/>
        </w:trPr>
        <w:tc>
          <w:tcPr>
            <w:tcW w:w="1920" w:type="dxa"/>
            <w:vAlign w:val="bottom"/>
            <w:tcBorders>
              <w:top w:val="single" w:sz="8" w:color="auto"/>
            </w:tcBorders>
          </w:tcPr>
          <w:p>
            <w:pPr>
              <w:spacing w:after="0"/>
              <w:rPr>
                <w:sz w:val="12"/>
                <w:szCs w:val="12"/>
                <w:color w:val="auto"/>
              </w:rPr>
            </w:pPr>
          </w:p>
        </w:tc>
        <w:tc>
          <w:tcPr>
            <w:tcW w:w="3100" w:type="dxa"/>
            <w:vAlign w:val="bottom"/>
          </w:tcPr>
          <w:p>
            <w:pPr>
              <w:spacing w:after="0"/>
              <w:rPr>
                <w:sz w:val="12"/>
                <w:szCs w:val="12"/>
                <w:color w:val="auto"/>
              </w:rPr>
            </w:pPr>
          </w:p>
        </w:tc>
        <w:tc>
          <w:tcPr>
            <w:tcW w:w="1200" w:type="dxa"/>
            <w:vAlign w:val="bottom"/>
            <w:tcBorders>
              <w:top w:val="single" w:sz="8" w:color="auto"/>
            </w:tcBorders>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r>
              <w:rPr>
                <w:rFonts w:ascii="Times New Roman" w:cs="Times New Roman" w:eastAsia="Times New Roman" w:hAnsi="Times New Roman"/>
                <w:sz w:val="10"/>
                <w:szCs w:val="10"/>
                <w:b w:val="1"/>
                <w:bCs w:val="1"/>
                <w:color w:val="auto"/>
              </w:rPr>
              <w:t>(1)</w:t>
            </w:r>
          </w:p>
        </w:tc>
        <w:tc>
          <w:tcPr>
            <w:tcW w:w="6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r>
              <w:rPr>
                <w:rFonts w:ascii="Times New Roman" w:cs="Times New Roman" w:eastAsia="Times New Roman" w:hAnsi="Times New Roman"/>
                <w:sz w:val="10"/>
                <w:szCs w:val="10"/>
                <w:b w:val="1"/>
                <w:bCs w:val="1"/>
                <w:color w:val="auto"/>
              </w:rPr>
              <w:t>(2)</w:t>
            </w:r>
          </w:p>
        </w:tc>
        <w:tc>
          <w:tcPr>
            <w:tcW w:w="56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Borders>
              <w:top w:val="single" w:sz="8" w:color="auto"/>
            </w:tcBorders>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92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Cantor Fitzgerald &amp; Co.</w:t>
            </w:r>
            <w:r>
              <w:rPr>
                <w:rFonts w:ascii="Times New Roman" w:cs="Times New Roman" w:eastAsia="Times New Roman" w:hAnsi="Times New Roman"/>
                <w:sz w:val="24"/>
                <w:szCs w:val="24"/>
                <w:color w:val="auto"/>
                <w:vertAlign w:val="superscript"/>
              </w:rPr>
              <w:t>(4)</w:t>
            </w:r>
          </w:p>
        </w:tc>
        <w:tc>
          <w:tcPr>
            <w:tcW w:w="3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769,231</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769,231</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1.0% of the outstanding shares of our Common Stock.</w:t>
      </w:r>
    </w:p>
    <w:p>
      <w:pPr>
        <w:spacing w:after="0" w:line="27" w:lineRule="exact"/>
        <w:rPr>
          <w:sz w:val="20"/>
          <w:szCs w:val="20"/>
          <w:color w:val="auto"/>
        </w:rPr>
      </w:pPr>
    </w:p>
    <w:p>
      <w:pPr>
        <w:ind w:left="540" w:right="300" w:hanging="424"/>
        <w:spacing w:after="0" w:line="260"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769,231 shares of our Common Stock we issued to Cantor on July 15, 2025 as in consideration for acting as our capital markets advisor pursuant to the Engagement Letter.</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40"/>
          </w:cols>
          <w:pgMar w:left="320" w:top="482"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101,682,422 shares of our Common Stock outstanding as of July 14, 2025.</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769,231 shares of our Common Stock held by Cantor being offered for resale pursuant to this prospectus.</w:t>
      </w:r>
    </w:p>
    <w:p>
      <w:pPr>
        <w:spacing w:after="0" w:line="9" w:lineRule="exact"/>
        <w:rPr>
          <w:rFonts w:ascii="Times New Roman" w:cs="Times New Roman" w:eastAsia="Times New Roman" w:hAnsi="Times New Roman"/>
          <w:sz w:val="18"/>
          <w:szCs w:val="18"/>
          <w:color w:val="auto"/>
        </w:rPr>
      </w:pPr>
    </w:p>
    <w:p>
      <w:pPr>
        <w:ind w:left="540" w:hanging="424"/>
        <w:spacing w:after="0" w:line="251"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Cantor is the record owner of the securities reported herein. The business address of Cantor is 110 East 59th Street, New York, NY 10022. Cantor Fitzgerald Securities (“CFS”) controls the managing general partner of Cantor. Cantor Fitzgerald, L.P. (“CFLP”) indirectly controls each of CFS and Cantor. CFLP is controlled by CF Group Management, Inc. (“CFGM”), its managing general partner. Mr. Howard W. Lutnick is the trustee of the sole stockholder of CFGM and therefore controls CFGM. As such, each of CFS, CFLP, CFGM and Mr. Lutnick may be deemed to have beneficial ownership of the securities directly held by Cantor. Each such entity or person disclaims any beneficial ownership of the reported shares other than to the extent of any pecuniary interest they may have therein, directly or indirectly. On May 16, 2025, Howard W. Lutnick, in his capacity as trustee of a trust, entered into agreements to sell to trusts controlled by Brandon G. Lutnick all of the voting shares of CFGM. Following the closing of the transactions contemplated by such agreements, Brandon G. Lutnick will be deemed to have voting or dispositive power over the shares reported herein, and Howard W. Lutnick will no longer have voting or dispositive power over such shares.</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82"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some of the terms of our certificate of incorporation and bylaws and the DGCL. This description is summarized from, and qualified in its entirety by reference to, our certificate of incorporation and bylaws, each of which has been publicly filed with the SEC, as well as the relevant provisions of the DGCL.</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purpose is to engage in any lawful act or activity for which corporations may now or hereafter be organized under the DGCL. Our authorized capital stock consists of 600,000,000 shares of Common Stock, par value $0.0001 per share, and 20,000,000 shares of preferred stock, par value $0.0001 per share. No shares of preferred stock are issued or outstanding. Unless our board of directors determines otherwise, we will issue all shares of our capital stock in uncertificated form.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required by law, as otherwise provided in our certificate of incorporation (as may be amended from time to time) or as otherwise provided in any certificate of designation for any series of preferred stock, the holders of shares of our Common Stock possess all voting power for the election of directors and all other matters requiring stockholder action. Holders of shares of our Common Stock are entitled to one vote for each share held on all matters to be voted on by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Subject to applicable law, the rights and preferences of the holders of our preferred stock and any other provisions of our certificate of incorporation, as it may be amended from time to time, holders of our Common Stock are entitled to receive such dividends and other distributions in cash, stock or property of Blaize when, as and if declared thereon by our Board, in its discretion, from time to time out of assets or funds of Blaize legally available therefor.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Subject to the rights of holders of our preferred stock, in the event of any liquidation, dissolution or winding up of our affairs, whether voluntary or involuntary, after payment or provision for payment of our debts and any other payments required by law and amounts payable upon shares of our preferred stock ranking senior to the shares of our Common Stock upon such dissolution, liquidation or winding up, if any, our remaining net assets will be distributed to the holders of our Common Stock and the holders of any other class or series of capital stock ranking equally with our Common Stock upon such dissolution, liquidation or winding up, equally on a per share basis.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stockholders have no preemptive or other subscription rights. No sinking fund provisions are applicable to our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82"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liquidation preference and the number of shares constituting any series or the designation of any series, all to the fullest extent now or hereafter permitted by the DGCL. The issuance of our preferred stock could have the effect of decreasing the trading price of our Common Stock, restricting dividends on the capital stock of Blaize, diluting the voting power of our Common Stock, impairing the liquidation rights of the capital stock of Blaize, or delaying or preventing a change in control of Blaize.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and as contemplated by the Merger Agreement, we and certain stockholders of Legacy Blaize entered into that certain Registration Rights Agreement (the “Registration Rights Agreement”), pursuant to which we agreed to register for resale, pursuant to the Securities Act, certain shares of our Common Stock and other equity securities of Blaize that are held by the parties thereto from time to time on the terms and subject to the conditions set forth therein.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of Directors and Vacancies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Subject to the rights of the holders of any one or more series of preferred stock to elect additional directors under specified circumstances and the terms, the number of directors of our Board is fixed solely and exclusively by our Board, but it initially consists of seven (7) directors.</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Under the Proposed Bylaws and except as otherwise provided by the Proposed Charter, at all meetings of stockholders called for the election of directors at which a quorum is present, a plurality of the votes properly cast is sufficient to elect such directors to the Board.</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Except as the DGCL may otherwise require and subject to the rights, if any, of the holders of any one or more series of our preferred stock, newly created directorships and any vacancies on our Board, including unfilled vacancies resulting from the removal of directors, may be filled only by the affirmative vote of a majority of the remaining directors then in office, although less than a quorum, or by the sole remaining director (other than any directors elected by the separate vote of one or more outstanding series of preferred stock), and shall not be filled by the stockholders. All directors will hold office until the expiration of their respective terms of office and until their successors will have been elected and qualified or until their earlier death, resignation, disqualification or removal. A director elected or appointed to fill a vacancy resulting from the death, resignation or removal of a director or a newly created directorship will serve for a term expiring at the next annual meeting of the stockholders of Blaize and until his or her successor will have been elected and qualified or until such director’s earlier death, resignation, disqualification or removal.</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the rights, if any, of the holders of any one or more series of our preferred stock, any director may be removed from office only for cause and only by the affirmative vote of the holders of not less than sixty-six and two-thirds percent (662/3%) of the outstanding capital stock of Blaize then entitled to vote generally in the election of directors.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powers and authorities hereinbefore or by statute expressly conferred upon them, the directors are hereby empowered to exercise all such powers and do all such acts and things as may be exercised or done by Blaize, subject, nevertheless, to the provisions of the DGCL, our certificate of incorporation and our bylaws; provided, however, that no bylaw so adopted will invalidate any prior act of the directors which would have been valid if such bylaw had not been adopted.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Voting</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of the voting power of the capital stock issued and outstanding and entitled to vote thereat, present in person, or by remote communication, if applicable, or represented by proxy, constitutes a quorum at all meetings of the stockholders for the transaction of business except as otherwise required by law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82"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provided by our certificate of incorporation and bylaws. If, however, such quorum will not be present or represented at any meeting of the stockholders, the person presiding over the meeting or holders of a majority of the voting power present in person, or by remote communication, if applicable, or represented by proxy, has the power to recess or adjourn the meeting from time to time, without notice other than announcement at the meeting or in any other manner permitted by the DGCL, until a quorum will be present or represented. At such recessed or adjourned meeting at which a quorum will be present or represented, any business may be transacted which might have been transacted at the meeting as originally noticed. If the adjournment is for more than thirty (30) days, a notice of the adjourned meeting will be given to each stockholder of record entitled to vote at such adjourned meeting. If after the adjournment a new record date for determination of stockholders entitled to vote is fixed for the adjourned meeting, our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The stockholders present at a duly called or convened meeting, at which a quorum is present, may continue to transact business until adjournment, notwithstanding the withdrawal of enough stockholders to leave less than a quorum.</w:t>
      </w:r>
    </w:p>
    <w:p>
      <w:pPr>
        <w:spacing w:after="0" w:line="192" w:lineRule="exact"/>
        <w:rPr>
          <w:sz w:val="20"/>
          <w:szCs w:val="20"/>
          <w:color w:val="auto"/>
        </w:rPr>
      </w:pPr>
    </w:p>
    <w:p>
      <w:pPr>
        <w:jc w:val="both"/>
        <w:ind w:left="120" w:right="220" w:firstLine="440"/>
        <w:spacing w:after="0" w:line="270" w:lineRule="auto"/>
        <w:rPr>
          <w:sz w:val="20"/>
          <w:szCs w:val="20"/>
          <w:color w:val="auto"/>
        </w:rPr>
      </w:pPr>
      <w:r>
        <w:rPr>
          <w:rFonts w:ascii="Times New Roman" w:cs="Times New Roman" w:eastAsia="Times New Roman" w:hAnsi="Times New Roman"/>
          <w:sz w:val="17"/>
          <w:szCs w:val="17"/>
          <w:color w:val="auto"/>
        </w:rPr>
        <w:t>Unless a different or minimum vote is required by statute or by the applicable stock exchange rules, or by our certificate of incorporation or our bylaws, in which case such different or minimum vote shall be the applicable vote on the matter, in all matters other than the election of directors, the affirmative vote of a majority of the voting power of the shares present in person, by remote communication, if applicable, or represented by proxy at the meeting and voting affirmatively or negatively (excluding abstentions and broker non-votes) on such matter shall be the act of the stockholders.</w:t>
      </w:r>
    </w:p>
    <w:p>
      <w:pPr>
        <w:spacing w:after="0" w:line="3"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Except as otherwise provided by statute, our certificate of incorporation or our bylaws, directors shall be elected by a plurality of the votes of the shares present in person, by remote communication, if applicable, or represented by proxy at the meeting and entitled to vote in the election of directors. Where a separate vote by a class or classes or series is required, except where otherwise provided by statute or by our certificate of incorporation or our bylaws or any applicable stock exchange rules, the holders of a majority of the voting power of the outstanding shares of such class or classes or series, present in person, by remote communication, if applicable, or represented by proxy, shall constitute a quorum entitled to take action with respect to that vote on that matter. Except where otherwise provided by statute or by our certificate of incorporation or our bylaws or any applicable stock exchange rules, the affirmative vote of the holders of a majority (plurality, in the case of the election of directors) of the voting power of the shares of such class or classes or series present in person, by remote communication, if applicable, or represented by proxy at the meeting and voting affirmatively or negatively (excluding abstention and broker non-votes) on such matter shall be the act of such class or classes or series.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the Proposed Charter and the Proposed Bylaws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or our bylaws contain provisions that may delay, defer or discourage another party from acquiring control of us. We expect that these provisions, which are summarized above, will discourage coercive takeover practices or inadequate takeover bids. These provisions are also designed to encourage persons seeking to acquire control of us to first negotiate with our Board, which we believe may result in an improvement of the terms of any such acquisition in favor of our stockholders. However, they also give our Board the power to discourage acquisitions that some stockholders may favor.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Nasdaq, which would apply if and so long as our Common Stock (or units or Warrants) remains listed on the Nasdaq, require stockholder approval of certain issuances equal to or exceeding 20% of the then outstanding voting power or then outstanding number of shares of our Common Stock.</w:t>
      </w:r>
    </w:p>
    <w:p>
      <w:pPr>
        <w:spacing w:after="0" w:line="17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Additional shares that may be issued in the future may be used for a variety of corporate purposes, including future public offerings, to raise additional capital or to facilitate acquisitions.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82"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may be to enable our Board to issue shares to persons friendly to current management, which issuance could render more difficult or discourage an attempt to obtain control of Blaize by means of a merger, tender offer, proxy contest or otherwise and thereby protect the continuity of management and possibly deprive stockholders of opportunities to sell their shares of our Common Stock at prices higher than prevailing market prices.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Meeting, Action by Written Consent and Advance Notice Requirements for Stockholder Proposals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required by law, and subject to the rights, if any, of the holders of any one or more series of our preferred stock, special meetings of the stockholders of Blaize, for any purpose or purposes, may be called only by (a) the Chairperson of our Board, (b) the Chief Executive Officer, (c) our Board or (d) the President.</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Unless otherwise required by law, written notice of a special meeting of stockholders, stating the place, date and time of the meeting, the means of remote communication by which stockholders and proxy holders may be deemed to be present in person and vote at such meeting, and purpose or purposes thereof, shall be given to each stockholder entitled to vote at such meeting, not less than ten (10) or more than sixty (60) days before the date fixed for the meeting. Business transacted at any special meeting of stockholders will be limited to the purposes stated in the notice.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bylaws also provide that unless otherwise restricted by our certificate of incorporation or our bylaws, any action required or permitted to be taken at any meeting of our Board or of any committee thereof may be taken without a meeting, if all members of our Board or of such committee, as the case may be, consent thereto in writing or by electronic transmission, and the writing or writings or electronic transmission or transmissions are filed with the minutes of proceedings of our Board or committee.</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Chairperson of our Board or our Board, or by a stockholder of record on the record date for the meeting, who is entitled to vote at the meeting and who has delivered a timely written notice in proper form to our secretary, of the stockholder’s intention to bring such business before the meeting.</w:t>
      </w:r>
    </w:p>
    <w:p>
      <w:pPr>
        <w:spacing w:after="0" w:line="183"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These provisions could have the effect of delaying until the next stockholder meeting any stockholder actions, even if they are favored by the holders of a majority of our outstanding voting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to Certificate of Incorporation and Bylaws</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however, in addition to the votes required by law, that the following provisions therein may be amended, altered, repealed or rescinded only by the affirmative vote of the holders of at least sixty-six and two-thirds percent (662/3%) of the voting power of all of the then-outstanding shares of capital stock of Blaize entitled to thereon, voting together as a single class:</w:t>
      </w:r>
    </w:p>
    <w:p>
      <w:pPr>
        <w:spacing w:after="0" w:line="81" w:lineRule="exact"/>
        <w:rPr>
          <w:sz w:val="20"/>
          <w:szCs w:val="20"/>
          <w:color w:val="auto"/>
        </w:rPr>
      </w:pPr>
    </w:p>
    <w:p>
      <w:pPr>
        <w:ind w:left="1080" w:right="48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two classes of capital stock of Blaize and the designations and the powers, privileges and rights, and the qualifications, limitations or restrictions thereof in respect of each class of capital stock;</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management of Blaize, the size of our Board, the election and removal of directors to our Board, the filling of vacancies, preferred stockholder election rights, and bylaw amendments;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00"/>
          </w:cols>
          <w:pgMar w:left="320" w:top="482"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58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actions of stockholders of Blaize, advance notice of business to be brought by stockholders and special meetings of stockholders;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limited liability of directors or officers of Blaize;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indemnification of the current and former officers, directors, employees and agents of Blaize;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exclusive forums for certain actions;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amending our certificate of incorporation.</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Subject to our certificate of incorporation, our Board is expressly empowered to adopt, amend or repeal our bylaws. The stockholders also shall have power to adopt, amend or repeal our bylaws; provided, however, that, in addition to any vote of the holders of any class or series of stock of Blaize required by applicable law or by our certificate of incorporation (including any certificate of designation relating to any series of preferred stock), such action by stockholders shall require the affirmative vote of the holders of sixty-six and two-thirds percent (662/3%) of the voting power of all of the then-outstanding shares of the capital stock of Blaize entitled to vote thereon, voting together as a single class.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limits the liability of the directors and officers of Blaize to the fullest extent permitted by law, and our bylaws provide that we will indemnify them to the fullest extent permitted by such law. We have entered and expect to continue to enter into agreements to indemnify our directors, executive officers and other employees as determined by our Board.</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 indemnitee’s involvement was by reason of the fact that the indemnitee, or a person for whom he or she is the legal representative, is or was a director or officer of Blaize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 may reduce our available funds to satisfy successful third-party claims against us and may reduce the amount of money available to us.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 of Certain Actions</w:t>
      </w:r>
    </w:p>
    <w:p>
      <w:pPr>
        <w:spacing w:after="0" w:line="121"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color w:val="auto"/>
        </w:rPr>
        <w:t>Under our certificate of incorporation, unless we consent in writing to the selection of an alternative forum, the Court of Chancery of the State of Delaware (or, in the event that the Court of Chancery of the State of Delaware does not have jurisdiction, the federal district court for the District of Delaware or other state courts of the State of Delaware) and any appellate court therefrom shall be the sole and exclusive forum for the following claims or causes of action under Delaware statutory or common law: (A) any derivative action, suit or proceeding brought on behalf of Blaize; (B) any action, suit or proceeding asserting a claim of breach of a fiduciary duty owed by any director, officer or stockholder of Blaize, to Blaize or its stockholders;</w:t>
      </w:r>
    </w:p>
    <w:p>
      <w:pPr>
        <w:spacing w:after="0" w:line="3" w:lineRule="exact"/>
        <w:rPr>
          <w:sz w:val="20"/>
          <w:szCs w:val="20"/>
          <w:color w:val="auto"/>
        </w:rPr>
      </w:pPr>
    </w:p>
    <w:p>
      <w:pPr>
        <w:ind w:left="120" w:right="240" w:hanging="4"/>
        <w:spacing w:after="0" w:line="253" w:lineRule="auto"/>
        <w:tabs>
          <w:tab w:leader="none" w:pos="40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suit or proceeding arising out of or pursuant to any provision of the DGCL, our certificate of incorporation or our bylaws; and (D) any action, suit or proceeding asserting a claim against Blaize governed by the internal affairs doctrine, in all cases to the fullest extent permitted by law. Unless we consent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including all causes of action asserted against any defendant named in such complaint.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482" w:right="4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Section 27 of the Exchange Act creates exclusive federal jurisdiction over all suits brought to enforce any duty or liability created by the Exchange Act or the rules and regulations thereunder. As a result, this provision will not apply to claims or suits brought to enforce any duty or liability created by the Exchange Act or any other claim for which the federal courts have exclusive jurisdiction. Any person or entity holding, owning or otherwise acquiring any interest in any security of Blaize shall be deemed to have notice of and consented to the provisions of our certificate of incorporation.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Each whole Public Warrant entitles the registered holder to purchase one share of Common Stock at a price of $11.50 per share, subject to adjustment as discussed below, at any time commencing 30 days after Closing. Pursuant to the warrant agreement, a Public Warrant holder may exercise its Public Warrants only for a whole number of shares of Common Stock. This means that only a whole Public Warrant may be exercised at any given time by a Public Warrant holder. No fractional Public Warrants will be issued upon separation of the BurTech Units and only whole Public Warrants will trade. The Public Warrants will expire five years after the Closing, at 5:00 p.m., New York City time, or earlier upon redemption or liquidation.</w:t>
      </w:r>
    </w:p>
    <w:p>
      <w:pPr>
        <w:spacing w:after="0" w:line="16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Common Stock pursuant to the exercise of a Public Warrant and will have no obligation to settle such Public Warrant exercise unless a registration statement under the Securities Act with respect to the shares of Common Stock underlying the Public Warrants is then effective and a prospectus relating thereto is current, subject to us satisfying our obligations described below with respect to registration. No Public Warrant will be exercisable and we will not be obligated to issue shares of Common Stock upon exercise of a Public Warrant unless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warrant. In the event that a registration statement is not effective for the exercised Public Warrants, the purchaser of a BurTech Unit containing such Public Warrant will have paid the full purchase price for the BurTech Unit solely for the share of Common Stock underlying such BurTech Unit.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of Public Warrants when the price per share of Common Stock equals or exceeds $18.00</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call the Public Warrants for redemption for cash:</w:t>
      </w:r>
    </w:p>
    <w:p>
      <w:pPr>
        <w:spacing w:after="0" w:line="131" w:lineRule="exact"/>
        <w:rPr>
          <w:sz w:val="20"/>
          <w:szCs w:val="20"/>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Public Warrants become exercisable (the “30-day redemption period”) to each Public Warrant holder;</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Common Stock equals or exceeds $18.00 per share (as adjusted for stock splits, stock capitalizations, reorganizations, recapitalizations and the like) for any 20 trading days within a 30-trading day period commencing once the Public Warrants become exercisable and ending three business days before we send the notice of redemption to the Public Warrant holders;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have established the last of the redemption criteria discussed above to prevent a redemption call unless there is at the time of the call a significant premium to the Public Warrant exercise price. If the foregoing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82"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conditions are satisfied and we issue a notice of redemption of the Public Warrants, each Public Warrant holder will be entitled to exercise its Public Warrant prior to the scheduled redemption date. However, the price of Common Stock may fall below the $18.00 redemption trigger price (as adjusted for stock splits, stock dividends, reorganizations, recapitalizations and the like) as well as the $11.50 (for whole shares) warrant exercise price after the redemption notice is issued.</w:t>
      </w:r>
    </w:p>
    <w:p>
      <w:pPr>
        <w:spacing w:after="0" w:line="180"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we will have the option to require any holder that wishes to exercise its Public Warrant to do so on a “cashless basis.” In determining whether to require all holders to exercise their Public Warrants on a “cashless basis,” we will consider, among other factors, our cash position, the number of Public Warrants that are outstanding and the dilutive effect on our stockholders of issuing the maximum number of shares of Common Stock issuable upon the exercise of the Public Warrants. If we take advantage of this option, all holders of Public Warrants would pay the exercise price by surrendering their Public Warrants for that number of shares of Common Stock equal to the quotient obtained by dividing (x) the product of the number of shares of Common Stock underlying the Public Warrants, multiplied by the difference between exercise price of the Price Warrants and the “fair market value” of Common Stock (defined below) by (y) the fair market value. The “fair market value” means the average reported last sale price of Common Stock for the 5 trading days ending on the third trading day prior to the date on which the notice of redemption is sent to the holders of Public Warrants. If we take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Public Warrant redemption.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of Common Stock outstanding immediately after giving effect to such exercise.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Common Stock is increased by a capitalization or share dividend payable in Common Stock, or by a split-up of shares of Common Stock or other similar event, then, on the effective date of such stock dividend, split-up or similar event, the number of shares of Common Stock issuable on exercise of each whole Public Warrant will be increased in proportion to such increase in the outstanding ordinary stock.</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shares of Common Stock on account of such shares (or other securities into which the Public Warrants are convertible), other than (a) as described above, (b) certain ordinary cash dividends, (c) to satisfy the redemption rights of the holders of shares of Common Stock in connection with the Business Combination, (d) to satisfy the redemption rights of the holders of Common Stock in connection with a stockholder vote to amend our certificate of incorporation to modify the substance or timing of BurTech’s obligation to redeem 100% of its Common Stock if BurTech does not complete an initial business combination within 24 months from the closing of its initial public offering or to provide for redemption in connection with the Closing or (e) in connection with the redemption of Common Stock upon BurTech’s failure to complete an initial business combination, then the warrant exercise price will be decreased, effective immediately after the effective date of such event, by the amount of cash and the fair market value of any securities or other assets paid on each share of Common Stock in respect of such event.</w:t>
      </w:r>
    </w:p>
    <w:p>
      <w:pPr>
        <w:spacing w:after="0" w:line="188"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If the number of outstanding shares of Common Stock is decreased by a consolidation, combination, reverse stock split or reclassification of shares of Common Stock or other similar event, then, on the effective date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82"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such consolidation, combination, reverse stock split, reclassification or similar event, the number of shares of Common Stock issuable on exercise of each Public Warrant will be decreased in proportion to such decrease in outstanding shares of Common Stock.</w:t>
      </w:r>
    </w:p>
    <w:p>
      <w:pPr>
        <w:spacing w:after="0" w:line="162" w:lineRule="exact"/>
        <w:rPr>
          <w:sz w:val="20"/>
          <w:szCs w:val="20"/>
          <w:color w:val="auto"/>
        </w:rPr>
      </w:pPr>
    </w:p>
    <w:p>
      <w:pPr>
        <w:ind w:left="120" w:right="480" w:firstLine="440"/>
        <w:spacing w:after="0" w:line="276" w:lineRule="auto"/>
        <w:rPr>
          <w:sz w:val="20"/>
          <w:szCs w:val="20"/>
          <w:color w:val="auto"/>
        </w:rPr>
      </w:pPr>
      <w:r>
        <w:rPr>
          <w:rFonts w:ascii="Times New Roman" w:cs="Times New Roman" w:eastAsia="Times New Roman" w:hAnsi="Times New Roman"/>
          <w:sz w:val="17"/>
          <w:szCs w:val="17"/>
          <w:color w:val="auto"/>
        </w:rPr>
        <w:t>Whenever the number of shares of Common Stock purchasable upon the exercise of the Public Warrants is adjusted, as described above, the Public Warrant exercise price will be adjusted by multiplying the Public Warrant exercise price immediately prior to such adjustment by a fraction</w:t>
      </w:r>
    </w:p>
    <w:p>
      <w:pPr>
        <w:spacing w:after="0" w:line="1" w:lineRule="exact"/>
        <w:rPr>
          <w:sz w:val="20"/>
          <w:szCs w:val="20"/>
          <w:color w:val="auto"/>
        </w:rPr>
      </w:pPr>
    </w:p>
    <w:p>
      <w:pPr>
        <w:ind w:left="120" w:right="220" w:hanging="4"/>
        <w:spacing w:after="0" w:line="260" w:lineRule="auto"/>
        <w:tabs>
          <w:tab w:leader="none" w:pos="37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18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In case of any reclassification or reorganization of the outstanding shares of Common Stock (other than those described above or that solely affects the par value of such shares of Common Stock), or in the case of any merger or consolidation of Blaize with or into another corporation (other than a consolidation or merger in which Blaize is the continuing corporation and that does not result in any reclassification or reorganization of the outstanding shares of Common Stock), or in the case of any sale or conveyance to another corporation or entity of the assets or other property of Blaize as an entirety or substantially as an entirety in connection with which Blaize is dissolved, the holders of the Public Warrants will thereafter have the right to purchase and receive, upon the basis and upon the terms and conditions specified in the Public Warrants and in lieu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Terms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Public Warrants are issued in registered form under a warrant agreement between Continental Stock Transfer &amp; Trust Company, as warrant agent, and BurTech. The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if (x) BurTech issues additional shares of Common Stock or equity-linked securities for capital raising purposes in connection with the Closing at an issue price or effective issue price of less than $9.20 per share (with such issue price or effective issue price to be determined in good faith by the BurTech Board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Business Combination on the Closing Date (net of redemptions), and (z) the volume weighted average trading price of Common Stock during the 20 trading day period starting on the trading day prior to the Closing Date (such price, the “Market Value”) is below $9.20 per share, the exercise price of the Public Warrants will be adjusted (to the nearest cent) to be equal to 115% of the higher of the Market Value and the Newly Issued Price, the $18.00 per share redemption trigger price described above under “Redemption of Public Warrants when the price per share of Common Stock equals or exceeds $18.00” will be adjusted (to the nearest cent) to be equal to 180% of the higher of the Market Value and the Newly Issued Price.</w:t>
      </w:r>
    </w:p>
    <w:p>
      <w:pPr>
        <w:spacing w:after="0" w:line="194"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Blaize, for the number of Public Warrants being exercised. The Public Warrant holders do not have the rights or privileges of holders of Common Stock and 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82"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voting rights until they exercise their Public Warrants and receive Common Stock. After the issuance of Common Stock upon exercise of the Public Warrants, each holder will be entitled to one vote for each share held of record on all matters to be voted on by stockholders.</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Public Warrants. If, upon exercise of the Public Warrants, a holder would be entitled to receive a fractional interest in a share, we will, upon exercise, round up to the nearest whole number of shares of Common Stock to be issued to the warrant 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Except as described below, the Private Placement Warrants have terms and provisions that are identical to those of the Public Warrants. The Private Placement Warrants (including Common Stock issuable upon exercise of the Private Placement Warrants) will not be transferable, assignable or salable until 30 days after the Closing (except pursuant to limited exceptions to BurTech’s officers and directors and other persons or entities affiliated with the initial purchasers of the Private Placement Warrants). In addition, holders of our Private Placement Warrants are entitled to certain registration rights, which rights are described above under “</w:t>
      </w: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order to fund working capital deficiencies or finance transaction costs in connection with an intended initial business combination, the Sponsor or an affiliate of the Sponsor or certain of BurTech’s officers and directors may, but are not obligated to, loan us funds as may be required on a non-interest basis. Up to $1,500,000 of such loans may be convertible into units of the post business combination entity at a price of $10.00 per unit at the option of the lender. Such units would be identical to the Private Placement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for our Common Stock and warrant agent for the Public Warrants and Private Placement Warrants is Continental Stock Transfer &amp; Trust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Symbols and Market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and Warrants are listed on the Nasdaq Global Market under the symbol “BZAI” and “BZAIW,” respectively.</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40"/>
          </w:cols>
          <w:pgMar w:left="320" w:top="482" w:right="5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ACT RESTRICTIONS ON RESALE OF OUR SECURITIES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Pursuant to Rule 144 under the Securities Act (“Rule 144”), a person who has beneficially owned restricted shares of our Common Stock or Warrants for at least six months would be entitled to sell their securities provided that (i) such person is not deemed to have been an affiliate of Blaize at the time of, or at any time during the three months preceding, a sale and (ii) Blaize is subject to the Exchange Act periodic reporting requirements for at least three months before the sale and have filed all required reports under Section 13 or 15(d) of the Exchange Act during the 12 months (or such shorter period as Blaize was required to file reports) preceding the sale.</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shares of Common Stock or Warrants for at least six months but who are affiliates of Blaize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1" w:lineRule="exact"/>
        <w:rPr>
          <w:sz w:val="20"/>
          <w:szCs w:val="20"/>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shares of Common Stock then outstanding; or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our Common Stock during the four calendar weeks preceding the filing of a notice on Form 144 with respect to the sale.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Sales by affiliates of Blaize under Rule 144 are also limited by manner of sale provisions and notice requirements and to the availability of current public information about Blaize.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1" w:lineRule="exact"/>
        <w:rPr>
          <w:sz w:val="20"/>
          <w:szCs w:val="20"/>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consummation of the Business Combination, we are no longer a shell company, and so, once the conditions set forth in the exceptions listed above are satisfied, Rule 144 will become available for the resale of the above noted restricted securities.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00"/>
          </w:cols>
          <w:pgMar w:left="320" w:top="482" w:right="4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PLAN OF DISTRIBUTION (CONFLICT OF INTEREST)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 and Resale of Common Stock by the Selling Stockholder</w:t>
      </w:r>
    </w:p>
    <w:p>
      <w:pPr>
        <w:spacing w:after="0" w:line="121"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BRPC Shares offered by this prospectus are being offered by the Selling Stockholder, B. Riley Principal Capital II, LLC. The shares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shares of BRPC Shares offered by this prospectus could be effected in one or more of the following methods:</w:t>
      </w:r>
    </w:p>
    <w:p>
      <w:pPr>
        <w:spacing w:after="0" w:line="70" w:lineRule="exact"/>
        <w:rPr>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our Common Stock;</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business markets, including direct sales to purchasers or sales effected through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 Riley Principal Capital II is an “underwriter” within the meaning of Section 2(a)(11) of the Securities Act.</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 Riley Principal Capital II has informed us that it presently anticipates using, but is not required to use, B. Riley Securities, Inc. (“BRS”), a registered broker-dealer and FINRA member and an affiliate of B. Riley Principal Capital II, as a broker to effectuate resales, if any, of BRPC Shares that it may acquire from us pursuant to the Purchase Agreement, and that it may also engage one or more other registered broker-dealers to effectuate resales, if any, of BRPC Shares that it may acquire from us. Such resales will be made at prices and at terms then prevailing or at prices related to the then current market price. Each such registered broker-dealer will be an underwriter within the meaning of Section 2(a)(11) of the Securities Act. B. Riley Principal Capital II has informed us that each such broker-dealer it engages to effectuate resales of BRPC Shares on its behalf, excluding BRS, may receive commissions from B. Riley Principal Capital II for executing such resales for B. Riley Principal Capital II and, if so, such commissions will not exceed customary brokerage commissions.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 Riley Principal Capital II is an affiliate of BRS, a registered broker-dealer and FINRA member, which will act as an executing broker that will effectuate resales of BRPC Shares that may be acquired by B. Riley Principal Capital II from us pursuant to the Purchase Agreement to the public in this offering. Because B. Riley Principal Capital II will receive all the net proceeds from such resales of BRPC Shares made to the public through BRS, BRS is deemed to have a “conflict of interest” within the meaning of FINRA Rule 5121. Consequently, this offering will be conducted in compliance with the provisions of FINRA Rule 5121. In accordance with FINRA Rule 5121, BRS is not permitted to sell shares of BRPC Shares in this offering to an account over which it exercises discretionary authority without the prior specific written approval of the account holder.</w:t>
      </w:r>
    </w:p>
    <w:p>
      <w:pPr>
        <w:spacing w:after="0" w:line="187"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Except as set forth above, we know of no existing arrangements between the Selling Stockholder and any other stockholder, broker, dealer, underwriter or agent relating to the sale or distribution of BRPC Shares offered by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82"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BRPC Shares sold by the Selling Stockholder through this prospectus. The compensation paid to any such particular broker-dealer by any such purchasers of BRPC Shares sold by the Selling Stockholder may be less than or in excess of customary commissions. Neither we nor the Selling Stockholder can presently estimate the amount of compensation that any agent will receive from any purchasers of BRPC Shares sold by the Selling Stockholder.</w:t>
      </w:r>
    </w:p>
    <w:p>
      <w:pPr>
        <w:spacing w:after="0" w:line="16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Stockholder, including with respect to any compensation paid or payable by the Selling Stockholder to any brokers, dealers, underwriters or agents that participate in the distribution of such shares by the Selling Stockholder, and any other related information required to be disclosed under the Securities Act.</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will pay the expenses incident to the registration under the Securities Act of the offer and sale of BRPC Shares covered by this prospectus by the Selling Stockholder.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consideration for its irrevocable commitment to purchase our Common Stock at our direction under the Purchase Agreement, we agreed to</w:t>
      </w:r>
    </w:p>
    <w:p>
      <w:pPr>
        <w:spacing w:after="0" w:line="27" w:lineRule="exact"/>
        <w:rPr>
          <w:sz w:val="20"/>
          <w:szCs w:val="20"/>
          <w:color w:val="auto"/>
        </w:rPr>
      </w:pPr>
    </w:p>
    <w:p>
      <w:pPr>
        <w:ind w:left="120" w:right="80" w:hanging="4"/>
        <w:spacing w:after="0" w:line="251" w:lineRule="auto"/>
        <w:tabs>
          <w:tab w:leader="none" w:pos="33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B. Riley Principal Capital II the Cash Commitment Fee of $200,000, which is equal to 0.4% of B. Riley Principal Capital II’s $50,000,000 total aggregate dollar amount purchase commitment under the Purchase Agreement, and (ii) issue to B. Riley Principal Capital II 83,353 shares of our Common Stock as Commitment Shares, which Commitment Shares have a total aggregate dollar value equal to $250,000, or 0.5% of B. Riley Principal Capital II’s $50,000,000 total aggregate dollar amount purchase commitment under the Purchase Agreement (assuming a purchase price of $2.9993 per Commitment Share, representing the VWAP for the five consecutive days immediately prior to signing of the Purchase Agreement, rounded to the nearest whole, in each case upon our execution of the Purchase Agreement and the Registration Rights Agreement. In accordance with FINRA Rule 5110, the Cash Commitment Fee we paid to B. Riley Principal Capital II and the 83,353 Commitment Shares we issued to B. Riley Principal Capital II upon our execution of the Purchase Agreement are deemed to be underwriting compensation in connection with sales of BRPC Shares by B. Riley Principal Capital II to the public.</w:t>
      </w:r>
    </w:p>
    <w:p>
      <w:pPr>
        <w:spacing w:after="0" w:line="19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we have agreed to reimburse B. Riley Principal Capital II the Initial Legal Fee Reimbursement Amount of $125,000 upon our execution of the Purchase Agreement and Registration Rights Agreement and the Additional Investor Legal Fee Reimbursement Amount of up to $5,000 per fiscal quarter, in each case in connection with the transactions contemplated by the Purchase Agreement and the Registration Rights Agreement. In accordance with FINRA Rule 5110, these reimbursed fees and expenses are deemed to be underwriting compensation in connection with sales of BRPC Shares by B. Riley Principal Capital II to the public. Moreover, in accordance with FINRA Rule 5110, the 3.0% fixed discount to current market prices of our Common Stock reflected in the purchase prices payable by B. Riley Principal Capital II for our Common Stock that we may require it to purchase from us from time to time in one or more Market Open Purchases and/or one or more Intraday Purchases under the Purchase Agreement is deemed to be underwriting compensation in connection with sales of BRPC Shares by B. Riley Principal Capital II to the public.</w:t>
      </w:r>
    </w:p>
    <w:p>
      <w:pPr>
        <w:spacing w:after="0" w:line="19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also have agreed to indemnify B. Riley Principal Capital II and certain other persons against certain liabilities in connection with the offering of BRPC Shares offered hereby, including liabilities arising under the Securities Act or, if such indemnity is unavailable, to contribute amounts required to be paid in respect of such liabilities. B. Riley Principal Capital II has agreed to indemnify us against liabilities under the Securities Act that may arise from certain written information furnished to us by B. Riley Principal Capital II specifically for use in this prospectus or, if such indemnity is unavailable, to contribute amounts required to be paid in respect of such liabilities. Insofar as indemnification for liabilities arising under the Securities Act may be permitted to our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40"/>
          </w:cols>
          <w:pgMar w:left="320" w:top="482"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directors, officers, and controlling persons, we have been advised that in the opinion of the SEC this indemnification is against public policy as expressed in the Securities Act and is therefore, unenforceable.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estimate that the total expenses for the offering will be approximately $650,000.</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 Riley Principal Capital II has represented to us that at no time prior to the date of the Purchase Agreement has B. Riley Principal Capital II, any of its officers, or any entity managed or controlled by B. Riley Principal Capital II, engaged in or effected, in any manner whatsoever, directly or indirectly, for B. Riley Principal Capital II’s own principal account or for the principal account of any such entity managed or controlled by B. Riley Principal Capital II, any short sale (as such term is defined in Rule 200 of Regulation SHO of the Exchange Act) of our Common Stock or any hedging transaction, which establishes a net short position with respect to our Common Stock that remained in effect as of the date of the Purchase Agreement. B. Riley Principal Capital II has agreed that during the term of the Purchase Agreement, none of B. Riley Principal Capital II, any of its officers, or any entity managed or controlled by B. Riley Principal Capital II, will enter into or effect, directly or indirectly, any of the foregoing transactions either for B. Riley Principal Capital II’s own principal account or for the principal account of any such entity managed or controlled by B. Riley Principal Capital II.</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offering will terminate on the date that all BRPC Shares offered by this prospectus have been sold by the Selling Stockholder.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currently listed on Nasdaq under the symbol “BZAI”.</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 Riley Principal Capital II and/or one or more of its affiliates, including BRS, has provided, currently provides and/or from time to time in the future may provide various investment banking and other financial services for us and/or one or more of our affiliates that are unrelated to the transactions contemplated by the Purchase Agreement and the offering of BRPC Shares for resale by B. Riley Principal Capital II to which this prospectus relates, for which investment banking and other financial services they have received and may continue to receive customary fees, commissions and other compensation from us, aside from any discounts, fees and other compensation that B. Riley Principal Capital II has received and may receive in connection with the transactions contemplated by the Purchase Agreement, including (i) the $200,000 Cash Commitment Fee we paid to B. Riley Principal Capital II and the 83,353 Commitment Shares we issued to B. Riley Principal Capital II as consideration for its irrevocable commitment to purchase shares of our Common Stock from us at our direction under the Purchase Agreement, (ii) the 3.0% fixed discount to current market prices of our Common Stock reflected in the purchase prices payable by B. Riley Principal Capital II for our Common Stock that we may require it to purchase from us from time to time in one or more Open Market Purchases and/or one or more Intraday Purchases under the Purchase Agreement, and (iii) our reimbursement of B. Riley Principal Capital II’s legal fees up to $185,000 in the aggregate ($125,000 upon execution of the Purchase Agreement and $5,000 per fiscal quarter for the maximum three year term of the Purchase Agreement) in connection with the transactions contemplated by the Purchase Agreement and the Registration Rights Agreement.</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total underwriting compensation to be received by all participating FINRA members, in the aggregate, in connection with this offering, as determined under FINRA Rule 5110, will not exceed 8.0% of the maximum aggregate offering price of all BRPC Shares that may be resold by B. Riley Principal Capital II to the public through this prospectus. Accordingly, the total amount of any specific item of underwriting compensation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00"/>
          </w:cols>
          <w:pgMar w:left="320" w:top="482" w:right="4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described herein that may be received by any participating FINRA member in connection with this offering shall, in each case, be subject to the limitation on the total underwriting compensation to be received by all participating FINRA members, in the aggregate, in connection with this offering, as determined under FINRA Rule 5110, described in the immediately preceding sentence.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 and Resale of Common Stock by Cantor</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This prospectus also related in part to the offer and sale of up to 769,231 shares of our Common Stock by Cantor (including its donees, pledgees, transferees and other successors-in-interest) named in this prospectus.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any sale by Cantor of the Common Stock being registered for sale hereunder. We will bear all costs, expenses and fees in connection with the registration of the Common Stock offered by this prospectus, including, without limitation, all registration and filing fees, fees and expenses of our counsel and fees and expenses of our independent registered public accountants. Cantor will bear all incremental selling expenses, including commissions, brokerage fees and other similar selling expenses.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Subject to certain exceptions, the Engagement Letter provides that Cantor shall not transfer (A) 384,616 shares of Common Stock issued to Cantor until the earlier of (i) April 11, 2026, (ii) the date on which the VWAP of the Common Stock equals or exceeds $7.00 per share for any 20 trading days within a 30-trading day period and (iii) the date upon which the Company completes a liquidation, merger, capital stock exchange, reorganization or other similar transaction that results in all of the Company’s stockholders having the right to exchange their shares of Common Stock for cash, securities or other property and (B) 384,615 shares of Common Stock issued to Cantor until the earlier of (i) April 11, 2026, (ii) the date on which the VWAP of the Common Stock equals or exceeds $10.00 per share for any 20 trading days within a 30-trading day period and (iii) the date upon which the Company completes a liquidation, merger, capital stock exchange, reorganization or other similar transaction that results in all of the Company’s stockholders having the right to exchange their shares of Common Stock for cash, securities or other property.</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Following expiration of the Lock-Up Period, Cantor may offer and sell, from time to time, some or all of the Common Stock to which this prospectus relates in part. As used herein, “Cantor” includes donees, pledgees, transferees or other successors-in-interest (as a gift, pledge, partnership distribution or other non-sale related transfer) selling shares of Common Stock received after the date of this prospectus from Cantor. We have registered the shares of Common Stock to which this prospectus relates in part for offer and sale so that those shares may be freely sold to the public by Cantor. Registration of the shares of Common Stock to which this prospectus relates in part does not mean, however, that those shares necessarily will be offered or resold by Cantor.</w:t>
      </w:r>
    </w:p>
    <w:p>
      <w:pPr>
        <w:spacing w:after="0" w:line="18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Sales of the Common Stock offered hereby may be effected by Cantor from time to time in one or more types of transactions (which may include block transactions), including but not limited to, in negotiated transactions, through put or call options transactions relating to the securities offered hereby, through short sales of the securities offered hereby, or a combination of such methods of sale. Such transactions may or may not involve brokers or dealers. In effecting sales, brokers or dealers engaged by Cantor may arrange for other brokers or dealers to participate. Broker-dealer transactions may include purchases of the securities by a broker-dealer as principal and resales of the securities by the broker-dealer for its account pursuant to this prospectus, ordinary brokerage transactions or transactions in which the broker-dealer solicits purchasers. Such broker-dealers may receive compensation in the form of discounts, concessions or commissions from Cantor and/or the purchasers of the securities offered hereby for whom such broker-dealers may act as agents or to whom they sell as principal, or both (which compensation as to a particular broker-dealer might be in excess of customary commissions). Any broker-dealers participating in the distribution of the securities covered by this prospectus may be deemed to be “underwriters” within the meaning of the Securities Act, and any commissions received by any of those broker-dealers may be deemed to be underwriting commissions under the Securities Act. Cantor has not advised us that they have entered into any agreements, understandings or arrangements with any broker-dealers regarding the sale of the Common Stock to which this prospectus relates in part.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82"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addition, Cantor may elect to make a pro rata in-kind distribution of Common Stock to its members, partners or shareholders pursuant to the registration statement of which this prospectus is a part by delivering a prospectus with a plan of distribution. Such members, partners or shareholders would thereby receive freely tradeable shares of Common Stock pursuant to the distribution through a registration statement. To the extent a distributee is an affiliate of ours (or to the extent otherwise required by law), we may file a prospectus supplement in order to permit the distributees to use the prospectus to resell the shares of Common Stock acquired in the distribution.</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There can be no assurance that Cantor will sell all or any of the Common Stock offered by this prospectus. In addition, any shares that qualify for sale pursuant to Rule 144 may be sold under Rule 144 of the Securities Act, if available, or in other transactions exempt from registration, rather than pursuant to this prospectus.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Cantor may enter into hedging transactions with broker-dealers or other financial institutions. In connection with such transactions, broker-dealers or other financial institutions may engage in short sales of shares of Common Stock offered hereby in the course of hedging positions they assume with Cantor. Cantor may also enter into options or other transactions with broker-dealers or other financial institutions which require the delivery to such broker-dealers or other financial institutions of the shares offered by this prospectus, which shares such broker-dealer or other financial institution may resell pursuant to this prospectus (as amended or supplemented to reflect such transaction).</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Cantor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Cantor or borrowed from Cantor or others to settle those sales or to close out any related open borrowings of stock, and may use securities received from Cantor in settlement of those derivatives to close out any related open borrowings of securities. The third party in such sale transactions will be an underwriter and will be identified in the applicable prospectus supplement (or a post-effective amendment). In addition, Cantor may otherwise loan or pledge the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8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Cantor is not a party to, and has no involvement in, the committed equity facility entered into between the Company and B. Riley Principal Capital II. The 769,231 shares of Common Stock being registered for resale by Cantor under this registration statement are entirely unrelated to the committed equity facility with B. Riley Principal Capital II and were acquired independently of that arrangement. No proceeds from the equity facility will be used in connection with Cantor and Cantor has no rights or obligations under the Purchase Agreement or Registration Rights Agreement with B. Riley.</w:t>
      </w:r>
    </w:p>
    <w:p>
      <w:pPr>
        <w:spacing w:after="0" w:line="18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To the extent required, we will use our best efforts to file one or more supplements to this prospectus to describe any material information with respect to the plan of distribution not previously disclosed in this prospectus or any material change to such information.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40"/>
          </w:cols>
          <w:pgMar w:left="320" w:top="482" w:right="4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validity of the shares of Common Stock offered hereby will be passed upon for us by Latham &amp; Watkins LLP, Houston, Texas.</w:t>
      </w:r>
    </w:p>
    <w:p>
      <w:pPr>
        <w:spacing w:after="0" w:line="16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0139"/>
          </w:cols>
          <w:pgMar w:left="320" w:top="482"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Blaize, Inc. and Subsidiaries as of December 31, 2024 and 2023, and for each of the years in the two-year period ended December 31, 2024 included in this prospectus have been audited by UHY LLP, an independent registered public accounting firm, as set forth in their report thereon (which contains an explanatory paragraph relating to Blaize’s ability to continue as a going concern), appearing elsewhere in this prospectus, and are included in reliance on the report of such firm given upon their authority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82"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We have also filed a registration statement on Form S-1, including exhibits, under the Securities Act with respect to the shares of Common Stock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w:t>
      </w:r>
      <w:r>
        <w:rPr>
          <w:rFonts w:ascii="Times New Roman" w:cs="Times New Roman" w:eastAsia="Times New Roman" w:hAnsi="Times New Roman"/>
          <w:sz w:val="18"/>
          <w:szCs w:val="18"/>
          <w:i w:val="1"/>
          <w:iCs w:val="1"/>
          <w:color w:val="auto"/>
        </w:rPr>
        <w:t>http:// www.sec.gov</w:t>
      </w:r>
      <w:r>
        <w:rPr>
          <w:rFonts w:ascii="Times New Roman" w:cs="Times New Roman" w:eastAsia="Times New Roman" w:hAnsi="Times New Roman"/>
          <w:sz w:val="18"/>
          <w:szCs w:val="18"/>
          <w:color w:val="auto"/>
        </w:rPr>
        <w:t>. Those filings are also available to the public on, or accessible through, our website under the heading “Investors Relations” at www.blaize.com. The information on our web site, however, is not, and should not be deemed to be, a part of this prospectus.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60"/>
          </w:cols>
          <w:pgMar w:left="320" w:top="482" w:right="5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56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auto"/>
              </w:rPr>
              <w:t>BLAIZE HOLDINGS, INC. FINANCIAL STATEMENTS</w:t>
            </w: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0560" w:type="dxa"/>
            <w:vAlign w:val="bottom"/>
            <w:gridSpan w:val="14"/>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056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 of Blaize Holdings, Inc.:</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56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2025 and December 31, 2024 (unaudited)</w:t>
            </w:r>
          </w:p>
        </w:tc>
        <w:tc>
          <w:tcPr>
            <w:tcW w:w="4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Months Ended March 31, 2025 and 2024 (unaudited)</w:t>
            </w:r>
          </w:p>
        </w:tc>
        <w:tc>
          <w:tcPr>
            <w:tcW w:w="2040" w:type="dxa"/>
            <w:vAlign w:val="bottom"/>
            <w:gridSpan w:val="4"/>
          </w:tcPr>
          <w:p>
            <w:pPr>
              <w:spacing w:after="0"/>
              <w:rPr>
                <w:sz w:val="17"/>
                <w:szCs w:val="17"/>
                <w:color w:val="auto"/>
              </w:rPr>
            </w:pPr>
          </w:p>
        </w:tc>
        <w:tc>
          <w:tcPr>
            <w:tcW w:w="4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196"/>
        </w:trPr>
        <w:tc>
          <w:tcPr>
            <w:tcW w:w="98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(Deficit) for the Three Months ended March 31, 2025 and 2024 (unaudited)</w:t>
            </w:r>
          </w:p>
        </w:tc>
        <w:tc>
          <w:tcPr>
            <w:tcW w:w="680" w:type="dxa"/>
            <w:vAlign w:val="bottom"/>
            <w:gridSpan w:val="2"/>
          </w:tcPr>
          <w:p>
            <w:pPr>
              <w:spacing w:after="0"/>
              <w:rPr>
                <w:sz w:val="17"/>
                <w:szCs w:val="17"/>
                <w:color w:val="auto"/>
              </w:rPr>
            </w:pPr>
          </w:p>
        </w:tc>
        <w:tc>
          <w:tcPr>
            <w:tcW w:w="4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2025 and 2024 (unaudited)</w:t>
            </w:r>
          </w:p>
        </w:tc>
        <w:tc>
          <w:tcPr>
            <w:tcW w:w="4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196"/>
        </w:trPr>
        <w:tc>
          <w:tcPr>
            <w:tcW w:w="85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 (unaudited)</w:t>
            </w:r>
          </w:p>
        </w:tc>
        <w:tc>
          <w:tcPr>
            <w:tcW w:w="2000" w:type="dxa"/>
            <w:vAlign w:val="bottom"/>
            <w:gridSpan w:val="3"/>
          </w:tcPr>
          <w:p>
            <w:pPr>
              <w:spacing w:after="0"/>
              <w:rPr>
                <w:sz w:val="17"/>
                <w:szCs w:val="17"/>
                <w:color w:val="auto"/>
              </w:rPr>
            </w:pPr>
          </w:p>
        </w:tc>
        <w:tc>
          <w:tcPr>
            <w:tcW w:w="4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430"/>
        </w:trPr>
        <w:tc>
          <w:tcPr>
            <w:tcW w:w="51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BLAIZE, INC. FINANCIAL STATEMENTS</w:t>
            </w:r>
          </w:p>
        </w:tc>
        <w:tc>
          <w:tcPr>
            <w:tcW w:w="5440" w:type="dxa"/>
            <w:vAlign w:val="bottom"/>
            <w:gridSpan w:val="8"/>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56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Blaize, Inc. and Subsidiaries: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22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340" w:type="dxa"/>
            <w:vAlign w:val="bottom"/>
            <w:gridSpan w:val="10"/>
          </w:tcPr>
          <w:p>
            <w:pPr>
              <w:spacing w:after="0"/>
              <w:rPr>
                <w:sz w:val="16"/>
                <w:szCs w:val="16"/>
                <w:color w:val="auto"/>
              </w:rPr>
            </w:pPr>
          </w:p>
        </w:tc>
        <w:tc>
          <w:tcPr>
            <w:tcW w:w="40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w w:val="99"/>
              </w:rPr>
              <w:t>F-38</w:t>
            </w: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2023</w:t>
            </w:r>
          </w:p>
        </w:tc>
        <w:tc>
          <w:tcPr>
            <w:tcW w:w="4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99"/>
              </w:rPr>
              <w:t>F-39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2024, and 2023</w:t>
            </w:r>
          </w:p>
        </w:tc>
        <w:tc>
          <w:tcPr>
            <w:tcW w:w="4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99"/>
              </w:rPr>
              <w:t>F-40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33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Redeemable Convertible Preferred Stock and Stockholders’ Deficit for the Years Ended December 31, 2024, and</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260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99"/>
              </w:rPr>
              <w:t>F-41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408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2024 and 2023</w:t>
            </w:r>
          </w:p>
        </w:tc>
        <w:tc>
          <w:tcPr>
            <w:tcW w:w="4080" w:type="dxa"/>
            <w:vAlign w:val="bottom"/>
            <w:gridSpan w:val="6"/>
          </w:tcPr>
          <w:p>
            <w:pPr>
              <w:spacing w:after="0"/>
              <w:rPr>
                <w:sz w:val="17"/>
                <w:szCs w:val="17"/>
                <w:color w:val="auto"/>
              </w:rPr>
            </w:pPr>
          </w:p>
        </w:tc>
        <w:tc>
          <w:tcPr>
            <w:tcW w:w="4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99"/>
              </w:rPr>
              <w:t>F-42</w:t>
            </w: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99"/>
              </w:rPr>
              <w:t>F-43</w:t>
            </w:r>
          </w:p>
        </w:tc>
        <w:tc>
          <w:tcPr>
            <w:tcW w:w="0" w:type="dxa"/>
            <w:vAlign w:val="bottom"/>
          </w:tcPr>
          <w:p>
            <w:pPr>
              <w:spacing w:after="0"/>
              <w:rPr>
                <w:sz w:val="1"/>
                <w:szCs w:val="1"/>
                <w:color w:val="auto"/>
              </w:rPr>
            </w:pPr>
          </w:p>
        </w:tc>
      </w:tr>
      <w:tr>
        <w:trPr>
          <w:trHeight w:val="385"/>
        </w:trPr>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4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8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 except shares and per share amounts)</w:t>
            </w: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94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9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44,967</w:t>
            </w:r>
          </w:p>
        </w:tc>
        <w:tc>
          <w:tcPr>
            <w:tcW w:w="40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50,237</w:t>
            </w: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Funds held in escrow</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33,350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1,008</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8,383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8,561</w:t>
            </w: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5,836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14,837</w:t>
            </w:r>
          </w:p>
        </w:tc>
        <w:tc>
          <w:tcPr>
            <w:tcW w:w="0" w:type="dxa"/>
            <w:vAlign w:val="bottom"/>
          </w:tcPr>
          <w:p>
            <w:pPr>
              <w:spacing w:after="0"/>
              <w:rPr>
                <w:sz w:val="1"/>
                <w:szCs w:val="1"/>
                <w:color w:val="auto"/>
              </w:rPr>
            </w:pPr>
          </w:p>
        </w:tc>
      </w:tr>
      <w:tr>
        <w:trPr>
          <w:trHeight w:val="156"/>
        </w:trPr>
        <w:tc>
          <w:tcPr>
            <w:tcW w:w="89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current assets</w:t>
            </w: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93,544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73,690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2,054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2,081</w:t>
            </w: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income tax assets</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2,167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2,157</w:t>
            </w: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1,623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1,773</w:t>
            </w: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815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815</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100,203</w:t>
            </w:r>
          </w:p>
        </w:tc>
        <w:tc>
          <w:tcPr>
            <w:tcW w:w="40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80,516</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common stock subject to possible redemption, and stockholders’ equity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17,115</w:t>
            </w:r>
          </w:p>
        </w:tc>
        <w:tc>
          <w:tcPr>
            <w:tcW w:w="40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7,904</w:t>
            </w: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11,524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11,996</w:t>
            </w:r>
          </w:p>
        </w:tc>
        <w:tc>
          <w:tcPr>
            <w:tcW w:w="0" w:type="dxa"/>
            <w:vAlign w:val="bottom"/>
          </w:tcPr>
          <w:p>
            <w:pPr>
              <w:spacing w:after="0"/>
              <w:rPr>
                <w:sz w:val="1"/>
                <w:szCs w:val="1"/>
                <w:color w:val="auto"/>
              </w:rPr>
            </w:pPr>
          </w:p>
        </w:tc>
      </w:tr>
      <w:tr>
        <w:trPr>
          <w:trHeight w:val="149"/>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loss on purchase commitments</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601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603</w:t>
            </w: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1,763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1,613</w:t>
            </w: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Income tax payable</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2,537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2,109</w:t>
            </w: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542</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578</w:t>
            </w: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Working capital loan (Note 8)</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Advances from related party (Note 8)</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2,857</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Warrant liabilities, current</w:t>
            </w:r>
          </w:p>
        </w:tc>
        <w:tc>
          <w:tcPr>
            <w:tcW w:w="8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14,711</w:t>
            </w: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Convertible notes, current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148,629</w:t>
            </w:r>
          </w:p>
        </w:tc>
        <w:tc>
          <w:tcPr>
            <w:tcW w:w="0" w:type="dxa"/>
            <w:vAlign w:val="bottom"/>
          </w:tcPr>
          <w:p>
            <w:pPr>
              <w:spacing w:after="0"/>
              <w:rPr>
                <w:sz w:val="1"/>
                <w:szCs w:val="1"/>
                <w:color w:val="auto"/>
              </w:rPr>
            </w:pPr>
          </w:p>
        </w:tc>
      </w:tr>
      <w:tr>
        <w:trPr>
          <w:trHeight w:val="155"/>
        </w:trPr>
        <w:tc>
          <w:tcPr>
            <w:tcW w:w="89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current liabilities</w:t>
            </w: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38,439</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188,143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1,050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1,166</w:t>
            </w: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Earnout share liabilities</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9,507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1,436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1,670</w:t>
            </w:r>
          </w:p>
        </w:tc>
        <w:tc>
          <w:tcPr>
            <w:tcW w:w="0" w:type="dxa"/>
            <w:vAlign w:val="bottom"/>
          </w:tcPr>
          <w:p>
            <w:pPr>
              <w:spacing w:after="0"/>
              <w:rPr>
                <w:sz w:val="1"/>
                <w:szCs w:val="1"/>
                <w:color w:val="auto"/>
              </w:rPr>
            </w:pPr>
          </w:p>
        </w:tc>
      </w:tr>
      <w:tr>
        <w:trPr>
          <w:trHeight w:val="155"/>
        </w:trPr>
        <w:tc>
          <w:tcPr>
            <w:tcW w:w="89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50,432</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190,979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 (Note 14)</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94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Common stock subject to possible redemption, 2,854,242 and zero outstanding at a redemption value of approximately $33,061 and $0 as of</w:t>
            </w:r>
          </w:p>
        </w:tc>
        <w:tc>
          <w:tcPr>
            <w:tcW w:w="80" w:type="dxa"/>
            <w:vAlign w:val="bottom"/>
          </w:tcPr>
          <w:p>
            <w:pPr>
              <w:spacing w:after="0"/>
              <w:rPr>
                <w:sz w:val="10"/>
                <w:szCs w:val="10"/>
                <w:color w:val="auto"/>
              </w:rPr>
            </w:pP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33,061</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89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March 31, 2025 and December 31, 2024, respectively</w:t>
            </w: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94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Common stock - $0.0001 par value; 600,000,000 and 136,562,809 shares authorized as of March 31, 2025 and December 31, 2024,</w:t>
            </w:r>
          </w:p>
        </w:tc>
        <w:tc>
          <w:tcPr>
            <w:tcW w:w="80" w:type="dxa"/>
            <w:vAlign w:val="bottom"/>
          </w:tcPr>
          <w:p>
            <w:pPr>
              <w:spacing w:after="0"/>
              <w:rPr>
                <w:sz w:val="10"/>
                <w:szCs w:val="10"/>
                <w:color w:val="auto"/>
              </w:rPr>
            </w:pP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89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respectively; 98,818,874 and 48,376,052 shares issued and outstanding as of March 31, 2025 and December 31, 2024, respectively</w:t>
            </w: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602,266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318,783</w:t>
            </w: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Shareholder note receivable</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(8,554)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(577,012)</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(429,251)</w:t>
            </w:r>
          </w:p>
        </w:tc>
        <w:tc>
          <w:tcPr>
            <w:tcW w:w="0" w:type="dxa"/>
            <w:vAlign w:val="bottom"/>
          </w:tcPr>
          <w:p>
            <w:pPr>
              <w:spacing w:after="0"/>
              <w:rPr>
                <w:sz w:val="1"/>
                <w:szCs w:val="1"/>
                <w:color w:val="auto"/>
              </w:rPr>
            </w:pPr>
          </w:p>
        </w:tc>
      </w:tr>
      <w:tr>
        <w:trPr>
          <w:trHeight w:val="163"/>
        </w:trPr>
        <w:tc>
          <w:tcPr>
            <w:tcW w:w="89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stockholders’ equity (deficit)</w:t>
            </w: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16,710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(110,463)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 common stock subject to redemption, and stockholders’ equity (deficit)</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100,203</w:t>
            </w:r>
          </w:p>
        </w:tc>
        <w:tc>
          <w:tcPr>
            <w:tcW w:w="40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80,516</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40"/>
          </w:cols>
          <w:pgMar w:left="320" w:top="482" w:right="4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 except shares and per share amounts)</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7"/>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700" w:type="dxa"/>
            <w:vAlign w:val="bottom"/>
            <w:tcBorders>
              <w:bottom w:val="single" w:sz="8" w:color="CCEEFF"/>
            </w:tcBorders>
            <w:vMerge w:val="continue"/>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Hardware revenue</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Engineering services revenue - related party (Note 15)</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23"/>
        </w:trPr>
        <w:tc>
          <w:tcPr>
            <w:tcW w:w="6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1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4,094</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3,988</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8,686</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(38,021)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foreign exchange transactions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(165,703)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(60,345)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earnout share liabilities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116,518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(109,578)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(147,599)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(147,761</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(16,743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 and diluted</w:t>
            </w: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91,747,685</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13,613,270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82" w:right="4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8"/>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00" w:type="dxa"/>
            <w:vAlign w:val="bottom"/>
          </w:tcPr>
          <w:p>
            <w:pPr>
              <w:spacing w:after="0"/>
              <w:rPr>
                <w:sz w:val="15"/>
                <w:szCs w:val="15"/>
                <w:color w:val="auto"/>
              </w:rPr>
            </w:pPr>
          </w:p>
        </w:tc>
        <w:tc>
          <w:tcPr>
            <w:tcW w:w="126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12"/>
          </w:tcPr>
          <w:p>
            <w:pPr>
              <w:ind w:left="60"/>
              <w:spacing w:after="0"/>
              <w:rPr>
                <w:sz w:val="20"/>
                <w:szCs w:val="20"/>
                <w:color w:val="auto"/>
              </w:rPr>
            </w:pPr>
            <w:r>
              <w:rPr>
                <w:rFonts w:ascii="Times New Roman" w:cs="Times New Roman" w:eastAsia="Times New Roman" w:hAnsi="Times New Roman"/>
                <w:sz w:val="14"/>
                <w:szCs w:val="14"/>
                <w:b w:val="1"/>
                <w:bCs w:val="1"/>
                <w:color w:val="auto"/>
              </w:rPr>
              <w:t>Stockholder’s Equity/(Deficit)</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gridSpan w:val="8"/>
            <w:vMerge w:val="continue"/>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6"/>
            <w:vMerge w:val="continue"/>
          </w:tcPr>
          <w:p>
            <w:pPr>
              <w:spacing w:after="0"/>
              <w:rPr>
                <w:sz w:val="9"/>
                <w:szCs w:val="9"/>
                <w:color w:val="auto"/>
              </w:rPr>
            </w:pPr>
          </w:p>
        </w:tc>
        <w:tc>
          <w:tcPr>
            <w:tcW w:w="7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8"/>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360" w:type="dxa"/>
            <w:vAlign w:val="bottom"/>
            <w:gridSpan w:val="7"/>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Possible</w:t>
            </w:r>
          </w:p>
        </w:tc>
        <w:tc>
          <w:tcPr>
            <w:tcW w:w="7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5"/>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2"/>
                <w:szCs w:val="12"/>
                <w:color w:val="auto"/>
              </w:rPr>
            </w:pPr>
          </w:p>
        </w:tc>
        <w:tc>
          <w:tcPr>
            <w:tcW w:w="7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2"/>
                <w:szCs w:val="12"/>
                <w:color w:val="auto"/>
              </w:rPr>
            </w:pPr>
          </w:p>
        </w:tc>
        <w:tc>
          <w:tcPr>
            <w:tcW w:w="8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8"/>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2"/>
                <w:szCs w:val="12"/>
                <w:color w:val="auto"/>
              </w:rPr>
            </w:pPr>
          </w:p>
        </w:tc>
        <w:tc>
          <w:tcPr>
            <w:tcW w:w="1260" w:type="dxa"/>
            <w:vAlign w:val="bottom"/>
            <w:gridSpan w:val="6"/>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1320" w:type="dxa"/>
            <w:vAlign w:val="bottom"/>
            <w:gridSpan w:val="8"/>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10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18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(Amounts in thousands, except</w:t>
            </w: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700" w:type="dxa"/>
            <w:vAlign w:val="bottom"/>
            <w:gridSpan w:val="4"/>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Note</w:t>
            </w:r>
          </w:p>
        </w:tc>
        <w:tc>
          <w:tcPr>
            <w:tcW w:w="40" w:type="dxa"/>
            <w:vAlign w:val="bottom"/>
          </w:tcPr>
          <w:p>
            <w:pPr>
              <w:spacing w:after="0"/>
              <w:rPr>
                <w:sz w:val="2"/>
                <w:szCs w:val="2"/>
                <w:color w:val="auto"/>
              </w:rPr>
            </w:pPr>
          </w:p>
        </w:tc>
        <w:tc>
          <w:tcPr>
            <w:tcW w:w="9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
                <w:szCs w:val="2"/>
                <w:color w:val="auto"/>
              </w:rPr>
            </w:pPr>
          </w:p>
        </w:tc>
        <w:tc>
          <w:tcPr>
            <w:tcW w:w="80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04"/>
        </w:trPr>
        <w:tc>
          <w:tcPr>
            <w:tcW w:w="1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gridSpan w:val="2"/>
            <w:vMerge w:val="restart"/>
          </w:tcPr>
          <w:p>
            <w:pPr>
              <w:spacing w:after="0"/>
              <w:rPr>
                <w:sz w:val="9"/>
                <w:szCs w:val="9"/>
                <w:color w:val="auto"/>
              </w:rPr>
            </w:pPr>
          </w:p>
        </w:tc>
        <w:tc>
          <w:tcPr>
            <w:tcW w:w="6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gridSpan w:val="2"/>
            <w:vMerge w:val="restart"/>
          </w:tcPr>
          <w:p>
            <w:pPr>
              <w:spacing w:after="0"/>
              <w:rPr>
                <w:sz w:val="9"/>
                <w:szCs w:val="9"/>
                <w:color w:val="auto"/>
              </w:rPr>
            </w:pPr>
          </w:p>
        </w:tc>
        <w:tc>
          <w:tcPr>
            <w:tcW w:w="56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60" w:type="dxa"/>
            <w:vAlign w:val="bottom"/>
            <w:vMerge w:val="restart"/>
          </w:tcPr>
          <w:p>
            <w:pPr>
              <w:spacing w:after="0"/>
              <w:rPr>
                <w:sz w:val="9"/>
                <w:szCs w:val="9"/>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gridSpan w:val="2"/>
            <w:vMerge w:val="restart"/>
          </w:tcPr>
          <w:p>
            <w:pPr>
              <w:spacing w:after="0"/>
              <w:rPr>
                <w:sz w:val="9"/>
                <w:szCs w:val="9"/>
                <w:color w:val="auto"/>
              </w:rPr>
            </w:pPr>
          </w:p>
        </w:tc>
        <w:tc>
          <w:tcPr>
            <w:tcW w:w="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gridSpan w:val="2"/>
            <w:vMerge w:val="restart"/>
          </w:tcPr>
          <w:p>
            <w:pPr>
              <w:spacing w:after="0"/>
              <w:rPr>
                <w:sz w:val="9"/>
                <w:szCs w:val="9"/>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vMerge w:val="restart"/>
          </w:tcPr>
          <w:p>
            <w:pPr>
              <w:spacing w:after="0"/>
              <w:rPr>
                <w:sz w:val="9"/>
                <w:szCs w:val="9"/>
                <w:color w:val="auto"/>
              </w:rPr>
            </w:pPr>
          </w:p>
        </w:tc>
        <w:tc>
          <w:tcPr>
            <w:tcW w:w="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shares)</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gridSpan w:val="2"/>
            <w:vMerge w:val="continue"/>
          </w:tcPr>
          <w:p>
            <w:pPr>
              <w:spacing w:after="0"/>
              <w:rPr>
                <w:sz w:val="15"/>
                <w:szCs w:val="15"/>
                <w:color w:val="auto"/>
              </w:rPr>
            </w:pPr>
          </w:p>
        </w:tc>
        <w:tc>
          <w:tcPr>
            <w:tcW w:w="600" w:type="dxa"/>
            <w:vAlign w:val="bottom"/>
            <w:tcBorders>
              <w:bottom w:val="single" w:sz="8" w:color="auto"/>
            </w:tcBorders>
            <w:gridSpan w:val="3"/>
            <w:vMerge w:val="continue"/>
          </w:tcPr>
          <w:p>
            <w:pPr>
              <w:spacing w:after="0"/>
              <w:rPr>
                <w:sz w:val="15"/>
                <w:szCs w:val="15"/>
                <w:color w:val="auto"/>
              </w:rPr>
            </w:pPr>
          </w:p>
        </w:tc>
        <w:tc>
          <w:tcPr>
            <w:tcW w:w="180" w:type="dxa"/>
            <w:vAlign w:val="bottom"/>
            <w:tcBorders>
              <w:bottom w:val="single" w:sz="8" w:color="CCEEFF"/>
            </w:tcBorders>
            <w:gridSpan w:val="2"/>
            <w:vMerge w:val="continue"/>
          </w:tcPr>
          <w:p>
            <w:pPr>
              <w:spacing w:after="0"/>
              <w:rPr>
                <w:sz w:val="15"/>
                <w:szCs w:val="15"/>
                <w:color w:val="auto"/>
              </w:rPr>
            </w:pPr>
          </w:p>
        </w:tc>
        <w:tc>
          <w:tcPr>
            <w:tcW w:w="56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gridSpan w:val="2"/>
            <w:vMerge w:val="continue"/>
          </w:tcPr>
          <w:p>
            <w:pPr>
              <w:spacing w:after="0"/>
              <w:rPr>
                <w:sz w:val="15"/>
                <w:szCs w:val="15"/>
                <w:color w:val="auto"/>
              </w:rPr>
            </w:pPr>
          </w:p>
        </w:tc>
        <w:tc>
          <w:tcPr>
            <w:tcW w:w="52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CCEEFF"/>
            </w:tcBorders>
            <w:gridSpan w:val="2"/>
            <w:vMerge w:val="continue"/>
          </w:tcPr>
          <w:p>
            <w:pPr>
              <w:spacing w:after="0"/>
              <w:rPr>
                <w:sz w:val="15"/>
                <w:szCs w:val="15"/>
                <w:color w:val="auto"/>
              </w:rPr>
            </w:pPr>
          </w:p>
        </w:tc>
        <w:tc>
          <w:tcPr>
            <w:tcW w:w="50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52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Borders>
              <w:bottom w:val="single" w:sz="8" w:color="CCEEFF"/>
            </w:tcBorders>
            <w:gridSpan w:val="2"/>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80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 as of December 31,</w:t>
            </w:r>
          </w:p>
        </w:tc>
        <w:tc>
          <w:tcPr>
            <w:tcW w:w="860" w:type="dxa"/>
            <w:vAlign w:val="bottom"/>
            <w:tcBorders>
              <w:left w:val="single" w:sz="8" w:color="CCEEFF"/>
            </w:tcBorders>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34,712,525</w:t>
            </w:r>
          </w:p>
        </w:tc>
        <w:tc>
          <w:tcPr>
            <w:tcW w:w="40" w:type="dxa"/>
            <w:vAlign w:val="bottom"/>
            <w:shd w:val="clear" w:color="auto" w:fill="CCEEFF"/>
          </w:tcPr>
          <w:p>
            <w:pPr>
              <w:spacing w:after="0"/>
              <w:rPr>
                <w:sz w:val="9"/>
                <w:szCs w:val="9"/>
                <w:color w:val="auto"/>
              </w:rPr>
            </w:pPr>
          </w:p>
        </w:tc>
        <w:tc>
          <w:tcPr>
            <w:tcW w:w="720" w:type="dxa"/>
            <w:vAlign w:val="bottom"/>
            <w:gridSpan w:val="4"/>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$ 173,347</w:t>
            </w:r>
          </w:p>
        </w:tc>
        <w:tc>
          <w:tcPr>
            <w:tcW w:w="6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5"/>
              </w:rPr>
              <w:t>13,663,527</w:t>
            </w:r>
          </w:p>
        </w:tc>
        <w:tc>
          <w:tcPr>
            <w:tcW w:w="20" w:type="dxa"/>
            <w:vAlign w:val="bottom"/>
            <w:shd w:val="clear" w:color="auto" w:fill="CCEEFF"/>
          </w:tcPr>
          <w:p>
            <w:pPr>
              <w:spacing w:after="0"/>
              <w:rPr>
                <w:sz w:val="9"/>
                <w:szCs w:val="9"/>
                <w:color w:val="auto"/>
              </w:rPr>
            </w:pPr>
          </w:p>
        </w:tc>
        <w:tc>
          <w:tcPr>
            <w:tcW w:w="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96,887</w:t>
            </w:r>
          </w:p>
        </w:tc>
        <w:tc>
          <w:tcPr>
            <w:tcW w:w="140" w:type="dxa"/>
            <w:vAlign w:val="bottom"/>
            <w:tcBorders>
              <w:left w:val="single" w:sz="8" w:color="CCEEFF"/>
            </w:tcBorders>
            <w:shd w:val="clear" w:color="auto" w:fill="CCEEFF"/>
          </w:tcPr>
          <w:p>
            <w:pPr>
              <w:spacing w:after="0"/>
              <w:rPr>
                <w:sz w:val="9"/>
                <w:szCs w:val="9"/>
                <w:color w:val="auto"/>
              </w:rPr>
            </w:pPr>
          </w:p>
        </w:tc>
        <w:tc>
          <w:tcPr>
            <w:tcW w:w="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tcBorders>
              <w:left w:val="single" w:sz="8" w:color="CCEEFF"/>
            </w:tcBorders>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145,441</w:t>
            </w:r>
          </w:p>
        </w:tc>
        <w:tc>
          <w:tcPr>
            <w:tcW w:w="40" w:type="dxa"/>
            <w:vAlign w:val="bottom"/>
            <w:shd w:val="clear" w:color="auto" w:fill="CCEEFF"/>
          </w:tcPr>
          <w:p>
            <w:pPr>
              <w:spacing w:after="0"/>
              <w:rPr>
                <w:sz w:val="9"/>
                <w:szCs w:val="9"/>
                <w:color w:val="auto"/>
              </w:rPr>
            </w:pPr>
          </w:p>
        </w:tc>
        <w:tc>
          <w:tcPr>
            <w:tcW w:w="200" w:type="dxa"/>
            <w:vAlign w:val="bottom"/>
            <w:gridSpan w:val="2"/>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right w:val="single" w:sz="8" w:color="CCEEFF"/>
            </w:tcBorders>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(429,251)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(283,810)</w:t>
            </w:r>
          </w:p>
        </w:tc>
        <w:tc>
          <w:tcPr>
            <w:tcW w:w="0" w:type="dxa"/>
            <w:vAlign w:val="bottom"/>
          </w:tcPr>
          <w:p>
            <w:pPr>
              <w:spacing w:after="0"/>
              <w:rPr>
                <w:sz w:val="1"/>
                <w:szCs w:val="1"/>
                <w:color w:val="auto"/>
              </w:rPr>
            </w:pPr>
          </w:p>
        </w:tc>
      </w:tr>
      <w:tr>
        <w:trPr>
          <w:trHeight w:val="173"/>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left w:val="single" w:sz="8" w:color="CCEEFF"/>
            </w:tcBorders>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gridSpan w:val="4"/>
            <w:vMerge w:val="continue"/>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580" w:type="dxa"/>
            <w:vAlign w:val="bottom"/>
            <w:tcBorders>
              <w:right w:val="single" w:sz="8" w:color="CCEEFF"/>
            </w:tcBorders>
            <w:gridSpan w:val="2"/>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380" w:type="dxa"/>
            <w:vAlign w:val="bottom"/>
            <w:gridSpan w:val="3"/>
            <w:vMerge w:val="continue"/>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240" w:type="dxa"/>
            <w:vAlign w:val="bottom"/>
            <w:tcBorders>
              <w:left w:val="single" w:sz="8" w:color="CCEEFF"/>
            </w:tcBorders>
            <w:gridSpan w:val="3"/>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840" w:type="dxa"/>
            <w:vAlign w:val="bottom"/>
            <w:tcBorders>
              <w:right w:val="single" w:sz="8" w:color="CCEEFF"/>
            </w:tcBorders>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Retroactive application of</w:t>
            </w:r>
          </w:p>
        </w:tc>
        <w:tc>
          <w:tcPr>
            <w:tcW w:w="8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(34,712,525)</w:t>
            </w:r>
          </w:p>
        </w:tc>
        <w:tc>
          <w:tcPr>
            <w:tcW w:w="40" w:type="dxa"/>
            <w:vAlign w:val="bottom"/>
          </w:tcPr>
          <w:p>
            <w:pPr>
              <w:spacing w:after="0"/>
              <w:rPr>
                <w:sz w:val="10"/>
                <w:szCs w:val="10"/>
                <w:color w:val="auto"/>
              </w:rPr>
            </w:pPr>
          </w:p>
        </w:tc>
        <w:tc>
          <w:tcPr>
            <w:tcW w:w="7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(173,347)</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95"/>
              </w:rPr>
              <w:t>34,712,525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0"/>
                <w:szCs w:val="10"/>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(96,887)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173,342</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173,347</w:t>
            </w:r>
          </w:p>
        </w:tc>
        <w:tc>
          <w:tcPr>
            <w:tcW w:w="0" w:type="dxa"/>
            <w:vAlign w:val="bottom"/>
          </w:tcPr>
          <w:p>
            <w:pPr>
              <w:spacing w:after="0"/>
              <w:rPr>
                <w:sz w:val="1"/>
                <w:szCs w:val="1"/>
                <w:color w:val="auto"/>
              </w:rPr>
            </w:pPr>
          </w:p>
        </w:tc>
      </w:tr>
      <w:tr>
        <w:trPr>
          <w:trHeight w:val="171"/>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recapitalization</w:t>
            </w:r>
          </w:p>
        </w:tc>
        <w:tc>
          <w:tcPr>
            <w:tcW w:w="8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8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Adjusted balance - beginning</w:t>
            </w:r>
          </w:p>
        </w:tc>
        <w:tc>
          <w:tcPr>
            <w:tcW w:w="120" w:type="dxa"/>
            <w:vAlign w:val="bottom"/>
            <w:tcBorders>
              <w:left w:val="single" w:sz="8" w:color="CCEEFF"/>
            </w:tcBorders>
            <w:shd w:val="clear" w:color="auto" w:fill="CCEEFF"/>
          </w:tcPr>
          <w:p>
            <w:pPr>
              <w:spacing w:after="0"/>
              <w:rPr>
                <w:sz w:val="10"/>
                <w:szCs w:val="10"/>
                <w:color w:val="auto"/>
              </w:rPr>
            </w:pPr>
          </w:p>
        </w:tc>
        <w:tc>
          <w:tcPr>
            <w:tcW w:w="62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gridSpan w:val="2"/>
            <w:vMerge w:val="restart"/>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CCEEFF"/>
            </w:tcBorders>
            <w:gridSpan w:val="2"/>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1"/>
              </w:rPr>
              <w:t>— </w:t>
            </w:r>
          </w:p>
        </w:tc>
        <w:tc>
          <w:tcPr>
            <w:tcW w:w="60" w:type="dxa"/>
            <w:vAlign w:val="bottom"/>
            <w:tcBorders>
              <w:left w:val="single" w:sz="8" w:color="CCEEFF"/>
            </w:tcBorders>
            <w:vMerge w:val="restart"/>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left w:val="single" w:sz="8" w:color="CCEEFF"/>
              <w:right w:val="single" w:sz="8" w:color="CCEEFF"/>
            </w:tcBorders>
            <w:vMerge w:val="restart"/>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5"/>
              </w:rPr>
              <w:t>48,376,052</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318,783</w:t>
            </w:r>
          </w:p>
        </w:tc>
        <w:tc>
          <w:tcPr>
            <w:tcW w:w="40" w:type="dxa"/>
            <w:vAlign w:val="bottom"/>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(429,251)</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(110,463)</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 period</w:t>
            </w: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18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tcBorders>
              <w:left w:val="single" w:sz="8" w:color="CCEEFF"/>
            </w:tcBorders>
            <w:vMerge w:val="continue"/>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60" w:type="dxa"/>
            <w:vAlign w:val="bottom"/>
            <w:tcBorders>
              <w:left w:val="single" w:sz="8" w:color="CCEEFF"/>
              <w:right w:val="single" w:sz="8" w:color="CCEEFF"/>
            </w:tcBorders>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convertible</w:t>
            </w:r>
          </w:p>
        </w:tc>
        <w:tc>
          <w:tcPr>
            <w:tcW w:w="120" w:type="dxa"/>
            <w:vAlign w:val="bottom"/>
          </w:tcPr>
          <w:p>
            <w:pPr>
              <w:spacing w:after="0"/>
              <w:rPr>
                <w:sz w:val="10"/>
                <w:szCs w:val="10"/>
                <w:color w:val="auto"/>
              </w:rPr>
            </w:pPr>
          </w:p>
        </w:tc>
        <w:tc>
          <w:tcPr>
            <w:tcW w:w="78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0"/>
                <w:szCs w:val="10"/>
                <w:color w:val="auto"/>
              </w:rPr>
            </w:pPr>
          </w:p>
        </w:tc>
        <w:tc>
          <w:tcPr>
            <w:tcW w:w="5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95"/>
              </w:rPr>
              <w:t>31,433,259</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314,331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314,334</w:t>
            </w:r>
          </w:p>
        </w:tc>
        <w:tc>
          <w:tcPr>
            <w:tcW w:w="0" w:type="dxa"/>
            <w:vAlign w:val="bottom"/>
          </w:tcPr>
          <w:p>
            <w:pPr>
              <w:spacing w:after="0"/>
              <w:rPr>
                <w:sz w:val="1"/>
                <w:szCs w:val="1"/>
                <w:color w:val="auto"/>
              </w:rPr>
            </w:pPr>
          </w:p>
        </w:tc>
      </w:tr>
      <w:tr>
        <w:trPr>
          <w:trHeight w:val="171"/>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notes</w:t>
            </w:r>
          </w:p>
        </w:tc>
        <w:tc>
          <w:tcPr>
            <w:tcW w:w="1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exercise of warrants</w:t>
            </w:r>
          </w:p>
        </w:tc>
        <w:tc>
          <w:tcPr>
            <w:tcW w:w="120" w:type="dxa"/>
            <w:vAlign w:val="bottom"/>
            <w:tcBorders>
              <w:left w:val="single" w:sz="8" w:color="CCEEFF"/>
            </w:tcBorders>
            <w:shd w:val="clear" w:color="auto" w:fill="CCEEFF"/>
          </w:tcPr>
          <w:p>
            <w:pPr>
              <w:spacing w:after="0"/>
              <w:rPr>
                <w:sz w:val="12"/>
                <w:szCs w:val="12"/>
                <w:color w:val="auto"/>
              </w:rPr>
            </w:pPr>
          </w:p>
        </w:tc>
        <w:tc>
          <w:tcPr>
            <w:tcW w:w="780" w:type="dxa"/>
            <w:vAlign w:val="bottom"/>
            <w:gridSpan w:val="3"/>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7,505,657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75,056</w:t>
            </w:r>
          </w:p>
        </w:tc>
        <w:tc>
          <w:tcPr>
            <w:tcW w:w="4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75,057</w:t>
            </w:r>
          </w:p>
        </w:tc>
        <w:tc>
          <w:tcPr>
            <w:tcW w:w="0" w:type="dxa"/>
            <w:vAlign w:val="bottom"/>
          </w:tcPr>
          <w:p>
            <w:pPr>
              <w:spacing w:after="0"/>
              <w:rPr>
                <w:sz w:val="1"/>
                <w:szCs w:val="1"/>
                <w:color w:val="auto"/>
              </w:rPr>
            </w:pPr>
          </w:p>
        </w:tc>
      </w:tr>
      <w:tr>
        <w:trPr>
          <w:trHeight w:val="149"/>
        </w:trPr>
        <w:tc>
          <w:tcPr>
            <w:tcW w:w="1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Merger and PIPE financing</w:t>
            </w:r>
          </w:p>
        </w:tc>
        <w:tc>
          <w:tcPr>
            <w:tcW w:w="120" w:type="dxa"/>
            <w:vAlign w:val="bottom"/>
          </w:tcPr>
          <w:p>
            <w:pPr>
              <w:spacing w:after="0"/>
              <w:rPr>
                <w:sz w:val="12"/>
                <w:szCs w:val="12"/>
                <w:color w:val="auto"/>
              </w:rPr>
            </w:pPr>
          </w:p>
        </w:tc>
        <w:tc>
          <w:tcPr>
            <w:tcW w:w="780" w:type="dxa"/>
            <w:vAlign w:val="bottom"/>
            <w:gridSpan w:val="3"/>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2,854,242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33,061</w:t>
            </w:r>
          </w:p>
        </w:tc>
        <w:tc>
          <w:tcPr>
            <w:tcW w:w="1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w w:val="95"/>
              </w:rPr>
              <w:t>11,408,957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w w:val="98"/>
              </w:rPr>
              <w:t>(117,411)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(8,754)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(126,164)</w:t>
            </w:r>
          </w:p>
        </w:tc>
        <w:tc>
          <w:tcPr>
            <w:tcW w:w="0" w:type="dxa"/>
            <w:vAlign w:val="bottom"/>
          </w:tcPr>
          <w:p>
            <w:pPr>
              <w:spacing w:after="0"/>
              <w:rPr>
                <w:sz w:val="1"/>
                <w:szCs w:val="1"/>
                <w:color w:val="auto"/>
              </w:rPr>
            </w:pPr>
          </w:p>
        </w:tc>
      </w:tr>
      <w:tr>
        <w:trPr>
          <w:trHeight w:val="126"/>
        </w:trPr>
        <w:tc>
          <w:tcPr>
            <w:tcW w:w="18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Payment of Shareholder note</w:t>
            </w:r>
          </w:p>
        </w:tc>
        <w:tc>
          <w:tcPr>
            <w:tcW w:w="120" w:type="dxa"/>
            <w:vAlign w:val="bottom"/>
            <w:tcBorders>
              <w:left w:val="single" w:sz="8" w:color="CCEEFF"/>
            </w:tcBorders>
            <w:shd w:val="clear" w:color="auto" w:fill="CCEEFF"/>
          </w:tcPr>
          <w:p>
            <w:pPr>
              <w:spacing w:after="0"/>
              <w:rPr>
                <w:sz w:val="10"/>
                <w:szCs w:val="10"/>
                <w:color w:val="auto"/>
              </w:rPr>
            </w:pPr>
          </w:p>
        </w:tc>
        <w:tc>
          <w:tcPr>
            <w:tcW w:w="780" w:type="dxa"/>
            <w:vAlign w:val="bottom"/>
            <w:gridSpan w:val="3"/>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right w:val="single" w:sz="8" w:color="CCEEFF"/>
            </w:tcBorders>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75"/>
              </w:rPr>
              <w:t>200</w:t>
            </w:r>
          </w:p>
        </w:tc>
        <w:tc>
          <w:tcPr>
            <w:tcW w:w="12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receivable</w:t>
            </w:r>
          </w:p>
        </w:tc>
        <w:tc>
          <w:tcPr>
            <w:tcW w:w="120" w:type="dxa"/>
            <w:vAlign w:val="bottom"/>
            <w:tcBorders>
              <w:left w:val="single" w:sz="8" w:color="CCEEFF"/>
            </w:tcBorders>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2"/>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vMerge w:val="continue"/>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to</w:t>
            </w:r>
          </w:p>
        </w:tc>
        <w:tc>
          <w:tcPr>
            <w:tcW w:w="120" w:type="dxa"/>
            <w:vAlign w:val="bottom"/>
          </w:tcPr>
          <w:p>
            <w:pPr>
              <w:spacing w:after="0"/>
              <w:rPr>
                <w:sz w:val="10"/>
                <w:szCs w:val="10"/>
                <w:color w:val="auto"/>
              </w:rPr>
            </w:pPr>
          </w:p>
        </w:tc>
        <w:tc>
          <w:tcPr>
            <w:tcW w:w="78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0"/>
                <w:szCs w:val="10"/>
                <w:color w:val="auto"/>
              </w:rPr>
            </w:pPr>
          </w:p>
        </w:tc>
        <w:tc>
          <w:tcPr>
            <w:tcW w:w="5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94,949</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300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71"/>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advisors</w:t>
            </w:r>
          </w:p>
        </w:tc>
        <w:tc>
          <w:tcPr>
            <w:tcW w:w="1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Borders>
              <w:left w:val="single" w:sz="8" w:color="CCEEFF"/>
            </w:tcBorders>
            <w:shd w:val="clear" w:color="auto" w:fill="CCEEFF"/>
          </w:tcPr>
          <w:p>
            <w:pPr>
              <w:spacing w:after="0"/>
              <w:rPr>
                <w:sz w:val="10"/>
                <w:szCs w:val="10"/>
                <w:color w:val="auto"/>
              </w:rPr>
            </w:pPr>
          </w:p>
        </w:tc>
        <w:tc>
          <w:tcPr>
            <w:tcW w:w="780" w:type="dxa"/>
            <w:vAlign w:val="bottom"/>
            <w:gridSpan w:val="3"/>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right w:val="single" w:sz="8" w:color="CCEEFF"/>
            </w:tcBorders>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167</w:t>
            </w:r>
          </w:p>
        </w:tc>
        <w:tc>
          <w:tcPr>
            <w:tcW w:w="40" w:type="dxa"/>
            <w:vAlign w:val="bottom"/>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120" w:type="dxa"/>
            <w:vAlign w:val="bottom"/>
            <w:tcBorders>
              <w:left w:val="single" w:sz="8" w:color="CCEEFF"/>
            </w:tcBorders>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2"/>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12"/>
                <w:szCs w:val="12"/>
                <w:color w:val="auto"/>
              </w:rPr>
            </w:pPr>
          </w:p>
        </w:tc>
        <w:tc>
          <w:tcPr>
            <w:tcW w:w="780" w:type="dxa"/>
            <w:vAlign w:val="bottom"/>
            <w:gridSpan w:val="3"/>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5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11,040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11,040</w:t>
            </w:r>
          </w:p>
        </w:tc>
        <w:tc>
          <w:tcPr>
            <w:tcW w:w="0" w:type="dxa"/>
            <w:vAlign w:val="bottom"/>
          </w:tcPr>
          <w:p>
            <w:pPr>
              <w:spacing w:after="0"/>
              <w:rPr>
                <w:sz w:val="1"/>
                <w:szCs w:val="1"/>
                <w:color w:val="auto"/>
              </w:rPr>
            </w:pPr>
          </w:p>
        </w:tc>
      </w:tr>
      <w:tr>
        <w:trPr>
          <w:trHeight w:val="148"/>
        </w:trPr>
        <w:tc>
          <w:tcPr>
            <w:tcW w:w="1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Borders>
              <w:left w:val="single" w:sz="8" w:color="CCEEFF"/>
            </w:tcBorders>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gridSpan w:val="2"/>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CCEEFF"/>
            </w:tcBorders>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1"/>
              </w:rPr>
              <w:t>— </w:t>
            </w:r>
          </w:p>
        </w:tc>
        <w:tc>
          <w:tcPr>
            <w:tcW w:w="60" w:type="dxa"/>
            <w:vAlign w:val="bottom"/>
            <w:tcBorders>
              <w:lef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left w:val="single" w:sz="8" w:color="CCEEFF"/>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gridSpan w:val="2"/>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gridSpan w:val="2"/>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w w:val="75"/>
              </w:rPr>
              <w:t>— </w:t>
            </w:r>
          </w:p>
        </w:tc>
        <w:tc>
          <w:tcPr>
            <w:tcW w:w="12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(147,761)</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(147,761)</w:t>
            </w:r>
          </w:p>
        </w:tc>
        <w:tc>
          <w:tcPr>
            <w:tcW w:w="0" w:type="dxa"/>
            <w:vAlign w:val="bottom"/>
          </w:tcPr>
          <w:p>
            <w:pPr>
              <w:spacing w:after="0"/>
              <w:rPr>
                <w:sz w:val="1"/>
                <w:szCs w:val="1"/>
                <w:color w:val="auto"/>
              </w:rPr>
            </w:pPr>
          </w:p>
        </w:tc>
      </w:tr>
      <w:tr>
        <w:trPr>
          <w:trHeight w:val="20"/>
        </w:trPr>
        <w:tc>
          <w:tcPr>
            <w:tcW w:w="1800" w:type="dxa"/>
            <w:vAlign w:val="bottom"/>
            <w:vMerge w:val="restart"/>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as of March 31,</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w w:val="85"/>
              </w:rPr>
              <w:t>— </w:t>
            </w:r>
          </w:p>
        </w:tc>
        <w:tc>
          <w:tcPr>
            <w:tcW w:w="160" w:type="dxa"/>
            <w:vAlign w:val="bottom"/>
            <w:gridSpan w:val="2"/>
            <w:vMerge w:val="restart"/>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Pr>
          <w:p>
            <w:pPr>
              <w:spacing w:after="0"/>
              <w:rPr>
                <w:sz w:val="11"/>
                <w:szCs w:val="11"/>
                <w:color w:val="auto"/>
              </w:rPr>
            </w:pPr>
          </w:p>
        </w:tc>
        <w:tc>
          <w:tcPr>
            <w:tcW w:w="4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180" w:type="dxa"/>
            <w:vAlign w:val="bottom"/>
            <w:gridSpan w:val="2"/>
            <w:vMerge w:val="restart"/>
          </w:tcPr>
          <w:p>
            <w:pPr>
              <w:spacing w:after="0"/>
              <w:rPr>
                <w:sz w:val="11"/>
                <w:szCs w:val="11"/>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2,854,242</w:t>
            </w:r>
          </w:p>
        </w:tc>
        <w:tc>
          <w:tcPr>
            <w:tcW w:w="6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$ 33,061</w:t>
            </w:r>
          </w:p>
        </w:tc>
        <w:tc>
          <w:tcPr>
            <w:tcW w:w="160" w:type="dxa"/>
            <w:vAlign w:val="bottom"/>
          </w:tcPr>
          <w:p>
            <w:pPr>
              <w:spacing w:after="0"/>
              <w:rPr>
                <w:sz w:val="11"/>
                <w:szCs w:val="11"/>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5"/>
              </w:rPr>
              <w:t>98,818,874</w:t>
            </w:r>
          </w:p>
        </w:tc>
        <w:tc>
          <w:tcPr>
            <w:tcW w:w="20" w:type="dxa"/>
            <w:vAlign w:val="bottom"/>
          </w:tcPr>
          <w:p>
            <w:pPr>
              <w:spacing w:after="0"/>
              <w:rPr>
                <w:sz w:val="11"/>
                <w:szCs w:val="11"/>
                <w:color w:val="auto"/>
              </w:rPr>
            </w:pP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602,266</w:t>
            </w:r>
          </w:p>
        </w:tc>
        <w:tc>
          <w:tcPr>
            <w:tcW w:w="40" w:type="dxa"/>
            <w:vAlign w:val="bottom"/>
          </w:tcPr>
          <w:p>
            <w:pPr>
              <w:spacing w:after="0"/>
              <w:rPr>
                <w:sz w:val="11"/>
                <w:szCs w:val="11"/>
                <w:color w:val="auto"/>
              </w:rPr>
            </w:pPr>
          </w:p>
        </w:tc>
        <w:tc>
          <w:tcPr>
            <w:tcW w:w="20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(8,554)</w:t>
            </w: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(577,012)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16,710</w:t>
            </w:r>
          </w:p>
        </w:tc>
        <w:tc>
          <w:tcPr>
            <w:tcW w:w="0" w:type="dxa"/>
            <w:vAlign w:val="bottom"/>
          </w:tcPr>
          <w:p>
            <w:pPr>
              <w:spacing w:after="0"/>
              <w:rPr>
                <w:sz w:val="1"/>
                <w:szCs w:val="1"/>
                <w:color w:val="auto"/>
              </w:rPr>
            </w:pPr>
          </w:p>
        </w:tc>
      </w:tr>
      <w:tr>
        <w:trPr>
          <w:trHeight w:val="173"/>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8"/>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00" w:type="dxa"/>
            <w:vAlign w:val="bottom"/>
          </w:tcPr>
          <w:p>
            <w:pPr>
              <w:spacing w:after="0"/>
              <w:rPr>
                <w:sz w:val="24"/>
                <w:szCs w:val="24"/>
                <w:color w:val="auto"/>
              </w:rPr>
            </w:pPr>
          </w:p>
        </w:tc>
        <w:tc>
          <w:tcPr>
            <w:tcW w:w="1260" w:type="dxa"/>
            <w:vAlign w:val="bottom"/>
            <w:gridSpan w:val="6"/>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11"/>
          </w:tcPr>
          <w:p>
            <w:pPr>
              <w:ind w:left="220"/>
              <w:spacing w:after="0"/>
              <w:rPr>
                <w:sz w:val="20"/>
                <w:szCs w:val="20"/>
                <w:color w:val="auto"/>
              </w:rPr>
            </w:pPr>
            <w:r>
              <w:rPr>
                <w:rFonts w:ascii="Times New Roman" w:cs="Times New Roman" w:eastAsia="Times New Roman" w:hAnsi="Times New Roman"/>
                <w:sz w:val="14"/>
                <w:szCs w:val="14"/>
                <w:b w:val="1"/>
                <w:bCs w:val="1"/>
                <w:color w:val="auto"/>
              </w:rPr>
              <w:t>Stockholder’s Deficit</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gridSpan w:val="8"/>
            <w:vMerge w:val="continue"/>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8"/>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2"/>
                <w:szCs w:val="12"/>
                <w:color w:val="auto"/>
              </w:rPr>
            </w:pPr>
          </w:p>
        </w:tc>
        <w:tc>
          <w:tcPr>
            <w:tcW w:w="126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Possible</w:t>
            </w:r>
          </w:p>
        </w:tc>
        <w:tc>
          <w:tcPr>
            <w:tcW w:w="1320" w:type="dxa"/>
            <w:vAlign w:val="bottom"/>
            <w:gridSpan w:val="8"/>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10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2"/>
                <w:szCs w:val="12"/>
                <w:color w:val="auto"/>
              </w:rPr>
            </w:pPr>
          </w:p>
        </w:tc>
        <w:tc>
          <w:tcPr>
            <w:tcW w:w="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8"/>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2"/>
                <w:szCs w:val="12"/>
                <w:color w:val="auto"/>
              </w:rPr>
            </w:pPr>
          </w:p>
        </w:tc>
        <w:tc>
          <w:tcPr>
            <w:tcW w:w="126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1320" w:type="dxa"/>
            <w:vAlign w:val="bottom"/>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18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(Amounts in thousands, except</w:t>
            </w: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3"/>
            <w:vMerge w:val="restart"/>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Note</w:t>
            </w:r>
          </w:p>
        </w:tc>
        <w:tc>
          <w:tcPr>
            <w:tcW w:w="1000" w:type="dxa"/>
            <w:vAlign w:val="bottom"/>
            <w:gridSpan w:val="4"/>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3"/>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04"/>
        </w:trPr>
        <w:tc>
          <w:tcPr>
            <w:tcW w:w="1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89"/>
              </w:rPr>
              <w:t>Amount</w:t>
            </w:r>
          </w:p>
        </w:tc>
        <w:tc>
          <w:tcPr>
            <w:tcW w:w="160" w:type="dxa"/>
            <w:vAlign w:val="bottom"/>
            <w:vMerge w:val="restart"/>
          </w:tcPr>
          <w:p>
            <w:pPr>
              <w:spacing w:after="0"/>
              <w:rPr>
                <w:sz w:val="9"/>
                <w:szCs w:val="9"/>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1"/>
              </w:rPr>
              <w:t>Amount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shares)</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gridSpan w:val="3"/>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3"/>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80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 as of December 31,</w:t>
            </w:r>
          </w:p>
        </w:tc>
        <w:tc>
          <w:tcPr>
            <w:tcW w:w="900" w:type="dxa"/>
            <w:vAlign w:val="bottom"/>
            <w:tcBorders>
              <w:left w:val="single" w:sz="8" w:color="CCEEFF"/>
            </w:tcBorders>
            <w:gridSpan w:val="4"/>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34,712,525</w:t>
            </w:r>
          </w:p>
        </w:tc>
        <w:tc>
          <w:tcPr>
            <w:tcW w:w="780" w:type="dxa"/>
            <w:vAlign w:val="bottom"/>
            <w:tcBorders>
              <w:right w:val="single" w:sz="8" w:color="CCEEFF"/>
            </w:tcBorders>
            <w:gridSpan w:val="5"/>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$ 173,347</w:t>
            </w: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13,613,269</w:t>
            </w:r>
          </w:p>
        </w:tc>
        <w:tc>
          <w:tcPr>
            <w:tcW w:w="22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96,887</w:t>
            </w:r>
          </w:p>
        </w:tc>
        <w:tc>
          <w:tcPr>
            <w:tcW w:w="2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Borders>
              <w:left w:val="single" w:sz="8" w:color="CCEEFF"/>
            </w:tcBorders>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141,496</w:t>
            </w:r>
          </w:p>
        </w:tc>
        <w:tc>
          <w:tcPr>
            <w:tcW w:w="200" w:type="dxa"/>
            <w:vAlign w:val="bottom"/>
            <w:gridSpan w:val="2"/>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CCEEFF"/>
            </w:tcBorders>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(368,056)</w:t>
            </w:r>
          </w:p>
        </w:tc>
        <w:tc>
          <w:tcPr>
            <w:tcW w:w="12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(226,560)</w:t>
            </w:r>
          </w:p>
        </w:tc>
        <w:tc>
          <w:tcPr>
            <w:tcW w:w="0" w:type="dxa"/>
            <w:vAlign w:val="bottom"/>
          </w:tcPr>
          <w:p>
            <w:pPr>
              <w:spacing w:after="0"/>
              <w:rPr>
                <w:sz w:val="1"/>
                <w:szCs w:val="1"/>
                <w:color w:val="auto"/>
              </w:rPr>
            </w:pPr>
          </w:p>
        </w:tc>
      </w:tr>
      <w:tr>
        <w:trPr>
          <w:trHeight w:val="173"/>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Borders>
              <w:left w:val="single" w:sz="8" w:color="CCEEFF"/>
            </w:tcBorders>
            <w:gridSpan w:val="4"/>
            <w:vMerge w:val="continue"/>
            <w:shd w:val="clear" w:color="auto" w:fill="CCEEFF"/>
          </w:tcPr>
          <w:p>
            <w:pPr>
              <w:spacing w:after="0"/>
              <w:rPr>
                <w:sz w:val="15"/>
                <w:szCs w:val="15"/>
                <w:color w:val="auto"/>
              </w:rPr>
            </w:pPr>
          </w:p>
        </w:tc>
        <w:tc>
          <w:tcPr>
            <w:tcW w:w="780" w:type="dxa"/>
            <w:vAlign w:val="bottom"/>
            <w:tcBorders>
              <w:right w:val="single" w:sz="8" w:color="CCEEFF"/>
            </w:tcBorders>
            <w:gridSpan w:val="5"/>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580" w:type="dxa"/>
            <w:vAlign w:val="bottom"/>
            <w:tcBorders>
              <w:right w:val="single" w:sz="8" w:color="CCEEFF"/>
            </w:tcBorders>
            <w:gridSpan w:val="2"/>
            <w:vMerge w:val="continue"/>
            <w:shd w:val="clear" w:color="auto" w:fill="CCEEFF"/>
          </w:tcPr>
          <w:p>
            <w:pPr>
              <w:spacing w:after="0"/>
              <w:rPr>
                <w:sz w:val="15"/>
                <w:szCs w:val="15"/>
                <w:color w:val="auto"/>
              </w:rPr>
            </w:pPr>
          </w:p>
        </w:tc>
        <w:tc>
          <w:tcPr>
            <w:tcW w:w="720" w:type="dxa"/>
            <w:vAlign w:val="bottom"/>
            <w:gridSpan w:val="3"/>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380" w:type="dxa"/>
            <w:vAlign w:val="bottom"/>
            <w:gridSpan w:val="3"/>
            <w:vMerge w:val="continue"/>
            <w:shd w:val="clear" w:color="auto" w:fill="CCEEFF"/>
          </w:tcPr>
          <w:p>
            <w:pPr>
              <w:spacing w:after="0"/>
              <w:rPr>
                <w:sz w:val="15"/>
                <w:szCs w:val="15"/>
                <w:color w:val="auto"/>
              </w:rPr>
            </w:pPr>
          </w:p>
        </w:tc>
        <w:tc>
          <w:tcPr>
            <w:tcW w:w="640" w:type="dxa"/>
            <w:vAlign w:val="bottom"/>
            <w:gridSpan w:val="3"/>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240" w:type="dxa"/>
            <w:vAlign w:val="bottom"/>
            <w:tcBorders>
              <w:left w:val="single" w:sz="8" w:color="CCEEFF"/>
            </w:tcBorders>
            <w:gridSpan w:val="3"/>
            <w:vMerge w:val="continue"/>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840" w:type="dxa"/>
            <w:vAlign w:val="bottom"/>
            <w:tcBorders>
              <w:right w:val="single" w:sz="8" w:color="CCEEFF"/>
            </w:tcBorders>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Retroactive application of</w:t>
            </w:r>
          </w:p>
        </w:tc>
        <w:tc>
          <w:tcPr>
            <w:tcW w:w="120" w:type="dxa"/>
            <w:vAlign w:val="bottom"/>
            <w:vMerge w:val="restart"/>
          </w:tcPr>
          <w:p>
            <w:pPr>
              <w:spacing w:after="0"/>
              <w:rPr>
                <w:sz w:val="10"/>
                <w:szCs w:val="10"/>
                <w:color w:val="auto"/>
              </w:rPr>
            </w:pPr>
          </w:p>
        </w:tc>
        <w:tc>
          <w:tcPr>
            <w:tcW w:w="900" w:type="dxa"/>
            <w:vAlign w:val="bottom"/>
            <w:gridSpan w:val="4"/>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(34,712,525)</w:t>
            </w:r>
          </w:p>
        </w:tc>
        <w:tc>
          <w:tcPr>
            <w:tcW w:w="80" w:type="dxa"/>
            <w:vAlign w:val="bottom"/>
          </w:tcPr>
          <w:p>
            <w:pPr>
              <w:spacing w:after="0"/>
              <w:rPr>
                <w:sz w:val="10"/>
                <w:szCs w:val="10"/>
                <w:color w:val="auto"/>
              </w:rPr>
            </w:pP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(173,347)</w:t>
            </w:r>
          </w:p>
        </w:tc>
        <w:tc>
          <w:tcPr>
            <w:tcW w:w="100" w:type="dxa"/>
            <w:vAlign w:val="bottom"/>
          </w:tcPr>
          <w:p>
            <w:pPr>
              <w:spacing w:after="0"/>
              <w:rPr>
                <w:sz w:val="10"/>
                <w:szCs w:val="10"/>
                <w:color w:val="auto"/>
              </w:rPr>
            </w:pP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34,712,525</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w:t>
            </w:r>
          </w:p>
        </w:tc>
        <w:tc>
          <w:tcPr>
            <w:tcW w:w="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(96,887)</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173,342</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173,347</w:t>
            </w:r>
          </w:p>
        </w:tc>
        <w:tc>
          <w:tcPr>
            <w:tcW w:w="0" w:type="dxa"/>
            <w:vAlign w:val="bottom"/>
          </w:tcPr>
          <w:p>
            <w:pPr>
              <w:spacing w:after="0"/>
              <w:rPr>
                <w:sz w:val="1"/>
                <w:szCs w:val="1"/>
                <w:color w:val="auto"/>
              </w:rPr>
            </w:pPr>
          </w:p>
        </w:tc>
      </w:tr>
      <w:tr>
        <w:trPr>
          <w:trHeight w:val="171"/>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recapitalization</w:t>
            </w:r>
          </w:p>
        </w:tc>
        <w:tc>
          <w:tcPr>
            <w:tcW w:w="120" w:type="dxa"/>
            <w:vAlign w:val="bottom"/>
            <w:vMerge w:val="continue"/>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8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w w:val="97"/>
              </w:rPr>
              <w:t>Adjusted balance - beginning of</w:t>
            </w:r>
          </w:p>
        </w:tc>
        <w:tc>
          <w:tcPr>
            <w:tcW w:w="120" w:type="dxa"/>
            <w:vAlign w:val="bottom"/>
            <w:tcBorders>
              <w:left w:val="single" w:sz="8" w:color="CCEEFF"/>
            </w:tcBorders>
            <w:shd w:val="clear" w:color="auto" w:fill="CCEEFF"/>
          </w:tcPr>
          <w:p>
            <w:pPr>
              <w:spacing w:after="0"/>
              <w:rPr>
                <w:sz w:val="10"/>
                <w:szCs w:val="10"/>
                <w:color w:val="auto"/>
              </w:rPr>
            </w:pPr>
          </w:p>
        </w:tc>
        <w:tc>
          <w:tcPr>
            <w:tcW w:w="740" w:type="dxa"/>
            <w:vAlign w:val="bottom"/>
            <w:gridSpan w:val="2"/>
            <w:vMerge w:val="restart"/>
            <w:shd w:val="clear" w:color="auto" w:fill="CCEEFF"/>
          </w:tcPr>
          <w:p>
            <w:pPr>
              <w:jc w:val="center"/>
              <w:ind w:left="448"/>
              <w:spacing w:after="0"/>
              <w:rPr>
                <w:sz w:val="20"/>
                <w:szCs w:val="20"/>
                <w:color w:val="auto"/>
              </w:rPr>
            </w:pPr>
            <w:r>
              <w:rPr>
                <w:rFonts w:ascii="Times New Roman" w:cs="Times New Roman" w:eastAsia="Times New Roman" w:hAnsi="Times New Roman"/>
                <w:sz w:val="14"/>
                <w:szCs w:val="14"/>
                <w:color w:val="auto"/>
                <w:w w:val="85"/>
              </w:rPr>
              <w:t>— </w:t>
            </w:r>
          </w:p>
        </w:tc>
        <w:tc>
          <w:tcPr>
            <w:tcW w:w="40" w:type="dxa"/>
            <w:vAlign w:val="bottom"/>
            <w:vMerge w:val="restart"/>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60" w:type="dxa"/>
            <w:vAlign w:val="bottom"/>
            <w:tcBorders>
              <w:right w:val="single" w:sz="8" w:color="CCEEFF"/>
            </w:tcBorders>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Borders>
              <w:left w:val="single" w:sz="8" w:color="CCEEFF"/>
            </w:tcBorders>
            <w:vMerge w:val="restart"/>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w w:val="73"/>
              </w:rPr>
              <w:t>— </w:t>
            </w:r>
          </w:p>
        </w:tc>
        <w:tc>
          <w:tcPr>
            <w:tcW w:w="160" w:type="dxa"/>
            <w:vAlign w:val="bottom"/>
            <w:tcBorders>
              <w:left w:val="single" w:sz="8" w:color="CCEEFF"/>
              <w:right w:val="single" w:sz="8" w:color="CCEEFF"/>
            </w:tcBorders>
            <w:vMerge w:val="restart"/>
            <w:shd w:val="clear" w:color="auto" w:fill="CCEEFF"/>
          </w:tcPr>
          <w:p>
            <w:pPr>
              <w:spacing w:after="0"/>
              <w:rPr>
                <w:sz w:val="10"/>
                <w:szCs w:val="10"/>
                <w:color w:val="auto"/>
              </w:rPr>
            </w:pPr>
          </w:p>
        </w:tc>
        <w:tc>
          <w:tcPr>
            <w:tcW w:w="7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48,325,794</w:t>
            </w:r>
          </w:p>
        </w:tc>
        <w:tc>
          <w:tcPr>
            <w:tcW w:w="20" w:type="dxa"/>
            <w:vAlign w:val="bottom"/>
            <w:vMerge w:val="restart"/>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Borders>
              <w:left w:val="single" w:sz="8" w:color="CCEEFF"/>
            </w:tcBorders>
            <w:vMerge w:val="restart"/>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314,838</w:t>
            </w:r>
          </w:p>
        </w:tc>
        <w:tc>
          <w:tcPr>
            <w:tcW w:w="40" w:type="dxa"/>
            <w:vAlign w:val="bottom"/>
            <w:vMerge w:val="restart"/>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75"/>
              </w:rPr>
              <w:t>— </w:t>
            </w:r>
          </w:p>
        </w:tc>
        <w:tc>
          <w:tcPr>
            <w:tcW w:w="120" w:type="dxa"/>
            <w:vAlign w:val="bottom"/>
            <w:tcBorders>
              <w:left w:val="single" w:sz="8" w:color="CCEEFF"/>
            </w:tcBorders>
            <w:vMerge w:val="restart"/>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(368,056)</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(53,213)</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period</w:t>
            </w:r>
          </w:p>
        </w:tc>
        <w:tc>
          <w:tcPr>
            <w:tcW w:w="120" w:type="dxa"/>
            <w:vAlign w:val="bottom"/>
            <w:tcBorders>
              <w:left w:val="single" w:sz="8" w:color="CCEEFF"/>
            </w:tcBorders>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tcBorders>
              <w:left w:val="single" w:sz="8" w:color="CCEEFF"/>
            </w:tcBorders>
            <w:vMerge w:val="continue"/>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60" w:type="dxa"/>
            <w:vAlign w:val="bottom"/>
            <w:tcBorders>
              <w:left w:val="single" w:sz="8" w:color="CCEEFF"/>
              <w:right w:val="single" w:sz="8" w:color="CCEEFF"/>
            </w:tcBorders>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40" w:type="dxa"/>
            <w:vAlign w:val="bottom"/>
            <w:tcBorders>
              <w:left w:val="single" w:sz="8" w:color="CCEEFF"/>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40" w:type="dxa"/>
            <w:vAlign w:val="bottom"/>
            <w:vMerge w:val="continue"/>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20" w:type="dxa"/>
            <w:vAlign w:val="bottom"/>
            <w:tcBorders>
              <w:left w:val="single" w:sz="8" w:color="CCEEFF"/>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12"/>
                <w:szCs w:val="12"/>
                <w:color w:val="auto"/>
              </w:rPr>
            </w:pPr>
          </w:p>
        </w:tc>
        <w:tc>
          <w:tcPr>
            <w:tcW w:w="780" w:type="dxa"/>
            <w:vAlign w:val="bottom"/>
            <w:gridSpan w:val="3"/>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148"/>
        </w:trPr>
        <w:tc>
          <w:tcPr>
            <w:tcW w:w="1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Borders>
              <w:left w:val="single" w:sz="8" w:color="CCEEFF"/>
            </w:tcBorders>
            <w:shd w:val="clear" w:color="auto" w:fill="CCEEFF"/>
          </w:tcPr>
          <w:p>
            <w:pPr>
              <w:spacing w:after="0"/>
              <w:rPr>
                <w:sz w:val="12"/>
                <w:szCs w:val="12"/>
                <w:color w:val="auto"/>
              </w:rPr>
            </w:pPr>
          </w:p>
        </w:tc>
        <w:tc>
          <w:tcPr>
            <w:tcW w:w="780" w:type="dxa"/>
            <w:vAlign w:val="bottom"/>
            <w:gridSpan w:val="3"/>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3"/>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gridSpan w:val="3"/>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(16,743)</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(16,743)</w:t>
            </w:r>
          </w:p>
        </w:tc>
        <w:tc>
          <w:tcPr>
            <w:tcW w:w="0" w:type="dxa"/>
            <w:vAlign w:val="bottom"/>
          </w:tcPr>
          <w:p>
            <w:pPr>
              <w:spacing w:after="0"/>
              <w:rPr>
                <w:sz w:val="1"/>
                <w:szCs w:val="1"/>
                <w:color w:val="auto"/>
              </w:rPr>
            </w:pPr>
          </w:p>
        </w:tc>
      </w:tr>
      <w:tr>
        <w:trPr>
          <w:trHeight w:val="156"/>
        </w:trPr>
        <w:tc>
          <w:tcPr>
            <w:tcW w:w="18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120" w:type="dxa"/>
            <w:vAlign w:val="bottom"/>
          </w:tcPr>
          <w:p>
            <w:pPr>
              <w:spacing w:after="0"/>
              <w:rPr>
                <w:sz w:val="13"/>
                <w:szCs w:val="13"/>
                <w:color w:val="auto"/>
              </w:rPr>
            </w:pPr>
          </w:p>
        </w:tc>
        <w:tc>
          <w:tcPr>
            <w:tcW w:w="740" w:type="dxa"/>
            <w:vAlign w:val="bottom"/>
            <w:tcBorders>
              <w:top w:val="single" w:sz="8" w:color="auto"/>
              <w:bottom w:val="single" w:sz="8" w:color="auto"/>
            </w:tcBorders>
            <w:gridSpan w:val="2"/>
          </w:tcPr>
          <w:p>
            <w:pPr>
              <w:jc w:val="center"/>
              <w:ind w:left="448"/>
              <w:spacing w:after="0" w:line="155"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gridSpan w:val="2"/>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w w:val="95"/>
              </w:rPr>
              <w:t>— </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9"/>
                <w:szCs w:val="9"/>
                <w:b w:val="1"/>
                <w:bCs w:val="1"/>
                <w:color w:val="auto"/>
                <w:w w:val="73"/>
              </w:rPr>
              <w:t>— </w:t>
            </w:r>
          </w:p>
        </w:tc>
        <w:tc>
          <w:tcPr>
            <w:tcW w:w="160" w:type="dxa"/>
            <w:vAlign w:val="bottom"/>
          </w:tcPr>
          <w:p>
            <w:pPr>
              <w:spacing w:after="0"/>
              <w:rPr>
                <w:sz w:val="13"/>
                <w:szCs w:val="13"/>
                <w:color w:val="auto"/>
              </w:rPr>
            </w:pPr>
          </w:p>
        </w:tc>
        <w:tc>
          <w:tcPr>
            <w:tcW w:w="70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48,325,794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60" w:type="dxa"/>
            <w:vAlign w:val="bottom"/>
            <w:gridSpan w:val="2"/>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315,175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ind w:left="400"/>
              <w:spacing w:after="0" w:line="155" w:lineRule="exact"/>
              <w:rPr>
                <w:sz w:val="20"/>
                <w:szCs w:val="20"/>
                <w:color w:val="auto"/>
              </w:rPr>
            </w:pPr>
            <w:r>
              <w:rPr>
                <w:rFonts w:ascii="Times New Roman" w:cs="Times New Roman" w:eastAsia="Times New Roman" w:hAnsi="Times New Roman"/>
                <w:sz w:val="14"/>
                <w:szCs w:val="14"/>
                <w:b w:val="1"/>
                <w:bCs w:val="1"/>
                <w:color w:val="auto"/>
                <w:w w:val="75"/>
              </w:rPr>
              <w:t>— </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(384,799</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(69,619)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82" w:right="4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5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2500" w:type="dxa"/>
            <w:vAlign w:val="bottom"/>
          </w:tcPr>
          <w:p>
            <w:pPr>
              <w:spacing w:after="0"/>
              <w:rPr>
                <w:sz w:val="15"/>
                <w:szCs w:val="15"/>
                <w:color w:val="auto"/>
              </w:rPr>
            </w:pPr>
          </w:p>
        </w:tc>
        <w:tc>
          <w:tcPr>
            <w:tcW w:w="156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960" w:type="dxa"/>
            <w:vAlign w:val="bottom"/>
            <w:tcBorders>
              <w:bottom w:val="single" w:sz="8" w:color="CCEEFF"/>
            </w:tcBorders>
            <w:vMerge w:val="continue"/>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9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3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(147,761)</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 (16,743)</w:t>
            </w: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3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33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48"/>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33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11,040</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Credit loss expense</w:t>
            </w:r>
          </w:p>
        </w:tc>
        <w:tc>
          <w:tcPr>
            <w:tcW w:w="2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48"/>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33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Change in fair value of earnout share liabilities</w:t>
            </w:r>
          </w:p>
        </w:tc>
        <w:tc>
          <w:tcPr>
            <w:tcW w:w="33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(116,518)</w:t>
            </w: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Change in fair value of convertible notes</w:t>
            </w:r>
          </w:p>
        </w:tc>
        <w:tc>
          <w:tcPr>
            <w:tcW w:w="33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165,703</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4,651</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3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60,345</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3,515</w:t>
            </w:r>
          </w:p>
        </w:tc>
        <w:tc>
          <w:tcPr>
            <w:tcW w:w="0" w:type="dxa"/>
            <w:vAlign w:val="bottom"/>
          </w:tcPr>
          <w:p>
            <w:pPr>
              <w:spacing w:after="0"/>
              <w:rPr>
                <w:sz w:val="1"/>
                <w:szCs w:val="1"/>
                <w:color w:val="auto"/>
              </w:rPr>
            </w:pPr>
          </w:p>
        </w:tc>
      </w:tr>
      <w:tr>
        <w:trPr>
          <w:trHeight w:val="148"/>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33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33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(953)</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(2,138)</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Accounts receivable - related party</w:t>
            </w:r>
          </w:p>
        </w:tc>
        <w:tc>
          <w:tcPr>
            <w:tcW w:w="2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8"/>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33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(1,767)</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33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8,504</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8"/>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33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Accounts payable and accrued liabilities</w:t>
            </w:r>
          </w:p>
        </w:tc>
        <w:tc>
          <w:tcPr>
            <w:tcW w:w="33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3,583</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5,286</w:t>
            </w:r>
          </w:p>
        </w:tc>
        <w:tc>
          <w:tcPr>
            <w:tcW w:w="0" w:type="dxa"/>
            <w:vAlign w:val="bottom"/>
          </w:tcPr>
          <w:p>
            <w:pPr>
              <w:spacing w:after="0"/>
              <w:rPr>
                <w:sz w:val="1"/>
                <w:szCs w:val="1"/>
                <w:color w:val="auto"/>
              </w:rPr>
            </w:pPr>
          </w:p>
        </w:tc>
      </w:tr>
      <w:tr>
        <w:trPr>
          <w:trHeight w:val="149"/>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Advances from related party</w:t>
            </w:r>
          </w:p>
        </w:tc>
        <w:tc>
          <w:tcPr>
            <w:tcW w:w="33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33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48"/>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33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Accrued loss on purchase commitments</w:t>
            </w:r>
          </w:p>
        </w:tc>
        <w:tc>
          <w:tcPr>
            <w:tcW w:w="33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(1,581)</w:t>
            </w:r>
          </w:p>
        </w:tc>
        <w:tc>
          <w:tcPr>
            <w:tcW w:w="0" w:type="dxa"/>
            <w:vAlign w:val="bottom"/>
          </w:tcPr>
          <w:p>
            <w:pPr>
              <w:spacing w:after="0"/>
              <w:rPr>
                <w:sz w:val="1"/>
                <w:szCs w:val="1"/>
                <w:color w:val="auto"/>
              </w:rPr>
            </w:pPr>
          </w:p>
        </w:tc>
      </w:tr>
      <w:tr>
        <w:trPr>
          <w:trHeight w:val="148"/>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33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(15,944)</w:t>
            </w:r>
          </w:p>
        </w:tc>
        <w:tc>
          <w:tcPr>
            <w:tcW w:w="1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(7,363)</w:t>
            </w: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(661)</w:t>
            </w: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(661)</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(177)</w:t>
            </w:r>
          </w:p>
        </w:tc>
        <w:tc>
          <w:tcPr>
            <w:tcW w:w="0" w:type="dxa"/>
            <w:vAlign w:val="bottom"/>
          </w:tcPr>
          <w:p>
            <w:pPr>
              <w:spacing w:after="0"/>
              <w:rPr>
                <w:sz w:val="1"/>
                <w:szCs w:val="1"/>
                <w:color w:val="auto"/>
              </w:rPr>
            </w:pPr>
          </w:p>
        </w:tc>
      </w:tr>
      <w:tr>
        <w:trPr>
          <w:trHeight w:val="149"/>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Merger and PIPE financing, net of transaction costs</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15,874</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83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Payment of deferred offering costs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(4,531)</w:t>
            </w: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49"/>
        </w:trPr>
        <w:tc>
          <w:tcPr>
            <w:tcW w:w="8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Proceeds from convertible notes</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11,500</w:t>
            </w:r>
          </w:p>
        </w:tc>
        <w:tc>
          <w:tcPr>
            <w:tcW w:w="0" w:type="dxa"/>
            <w:vAlign w:val="bottom"/>
          </w:tcPr>
          <w:p>
            <w:pPr>
              <w:spacing w:after="0"/>
              <w:rPr>
                <w:sz w:val="1"/>
                <w:szCs w:val="1"/>
                <w:color w:val="auto"/>
              </w:rPr>
            </w:pPr>
          </w:p>
        </w:tc>
      </w:tr>
      <w:tr>
        <w:trPr>
          <w:trHeight w:val="155"/>
        </w:trPr>
        <w:tc>
          <w:tcPr>
            <w:tcW w:w="83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1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11,343</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11,372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change in cash, cash equivalents and restricted cash</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(5,262)</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3,832</w:t>
            </w:r>
          </w:p>
        </w:tc>
        <w:tc>
          <w:tcPr>
            <w:tcW w:w="0" w:type="dxa"/>
            <w:vAlign w:val="bottom"/>
          </w:tcPr>
          <w:p>
            <w:pPr>
              <w:spacing w:after="0"/>
              <w:rPr>
                <w:sz w:val="1"/>
                <w:szCs w:val="1"/>
                <w:color w:val="auto"/>
              </w:rPr>
            </w:pPr>
          </w:p>
        </w:tc>
      </w:tr>
      <w:tr>
        <w:trPr>
          <w:trHeight w:val="149"/>
        </w:trPr>
        <w:tc>
          <w:tcPr>
            <w:tcW w:w="8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50,488</w:t>
            </w:r>
          </w:p>
        </w:tc>
        <w:tc>
          <w:tcPr>
            <w:tcW w:w="14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3,213</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12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45,226</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7,045</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Components of cash, cash equivalents and restricted cash:</w:t>
            </w: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30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44,967</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7,045</w:t>
            </w:r>
          </w:p>
        </w:tc>
        <w:tc>
          <w:tcPr>
            <w:tcW w:w="0" w:type="dxa"/>
            <w:vAlign w:val="bottom"/>
          </w:tcPr>
          <w:p>
            <w:pPr>
              <w:spacing w:after="0"/>
              <w:rPr>
                <w:sz w:val="1"/>
                <w:szCs w:val="1"/>
                <w:color w:val="auto"/>
              </w:rPr>
            </w:pPr>
          </w:p>
        </w:tc>
      </w:tr>
      <w:tr>
        <w:trPr>
          <w:trHeight w:val="149"/>
        </w:trPr>
        <w:tc>
          <w:tcPr>
            <w:tcW w:w="8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Restricted cash (included within other assets)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14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12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45,226</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7,045</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cash flow disclosures:</w:t>
            </w: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30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Cash paid for income taxes</w:t>
            </w:r>
          </w:p>
        </w:tc>
        <w:tc>
          <w:tcPr>
            <w:tcW w:w="12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48"/>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non-cash disclosures: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Property and equipment acquired in accounts payable and accrued expenses and other current liabilities</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497</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48"/>
        </w:trPr>
        <w:tc>
          <w:tcPr>
            <w:tcW w:w="83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Capitalized deferred offering costs included in accounts payable and accrued expenses and other current liabilities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49"/>
        </w:trPr>
        <w:tc>
          <w:tcPr>
            <w:tcW w:w="8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Issuance of warrants with convertible notes</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909</w:t>
            </w:r>
          </w:p>
        </w:tc>
        <w:tc>
          <w:tcPr>
            <w:tcW w:w="0" w:type="dxa"/>
            <w:vAlign w:val="bottom"/>
          </w:tcPr>
          <w:p>
            <w:pPr>
              <w:spacing w:after="0"/>
              <w:rPr>
                <w:sz w:val="1"/>
                <w:szCs w:val="1"/>
                <w:color w:val="auto"/>
              </w:rPr>
            </w:pPr>
          </w:p>
        </w:tc>
      </w:tr>
      <w:tr>
        <w:trPr>
          <w:trHeight w:val="148"/>
        </w:trPr>
        <w:tc>
          <w:tcPr>
            <w:tcW w:w="83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Conversion of convertible notes to common stock</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314,334</w:t>
            </w:r>
          </w:p>
        </w:tc>
        <w:tc>
          <w:tcPr>
            <w:tcW w:w="14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Net exercise of warrants for common stock</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75,056</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83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Issuance of warrants for professional services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14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Issuance of common stock for shareholder note receivable</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8,754</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82" w:right="4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Blaize Holdings, Inc. (together with its subsidiaries, the “Company,” “Blaize,” “we,” “our,” “us,” or the “registrant,”) is headquartered in El Dorado Hills, California, and consists of four separate operating entities: Blaize, Inc. (United States of America), Blaize New Computing Technologies India Private Limited (India), Blaize Technologies Philippines, Inc. (Philippines) and Blaize U.K. LTD (England).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Blaize designs and develops low-power, high-efficiency, programmable artificial intelligence (“AI”) edge computing hardware and software. The Company leads a new generation of computing, which unleashes the potential of AI in order to enable significant increases in the value that technology delivers to improve the way people work and live. Blaize offers transformative edge computing solutions for AI data collection and processing, with a focus on smart vision and other AI applications for the automotive, retail, security and industrial markets.</w:t>
      </w:r>
    </w:p>
    <w:p>
      <w:pPr>
        <w:spacing w:after="0" w:line="180"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 November 2023, Blaize entered into a Memorandum of Understanding with a United Arab Emirates (“UAE”) based third-party investment entity to establish a cooperative framework for both entities to discuss and explore commercial and technical collaboration in the UAE. The collaboration is intended to be operationalized through a newly created entity, Blaize Artificial Intelligence Middle East, LLC, in which the Company has a 35% ownership in the entity. As of March 31, 2025, there has not been an operating agreement executed between the Company and the holder of the 65% interest that would make us the primary beneficiary of this new legal entity. The newly established entity has incurred insignificant expenses since its incorporation.</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first quarter of 2025, the U.S. government announced a series of new tariff policies affecting imports from several countries, including China. While these actions impact a range of global trade flows, the new tariffs targeting imports from China are the most significant for our business. While the ultimate implications of the tariffs remain unclear, they could materially increase the Company’s import costs and potentially lead to higher prices that reduce consumer demand. The Company is monitoring the situation closely and is proactively evaluating strategies to mitigate the impact on its supply chain and margins. These efforts include exploring alternative sourcing outside of China, working with our suppliers to manage cost increases, and implementing price increases. These actions that we take may not fully offset the impact of tariffs and, as a result, our revenues, gross margins and overall financial performance may be materially impacted.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and Reverse Recapitalization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 January 13, 2025 (the “Closing Date”), the Company consummated the transactions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On the Closing Date, Merger Sub merged with and into Legacy Blaize, with Legacy Blaize, surviving the Merger as a wholly owned subsidiary of the Company.</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Concurrent with the Merger, BurTech was renamed Blaize Holdings, Inc. Beginning on January 14, 2025, Blaize’s common stock and warrants trade on Nasdaq under the ticker symbols “BZAI” and “BZAIW”, respectively (see Note 3).</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20"/>
          </w:cols>
          <w:pgMar w:left="320" w:top="482"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Merger</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Merger is accounted for as a reverse recapitalization, with BurTech being treated as the acquired company and Legacy Blaize was treated as the acquirer for financial reporting purposes. This accounting treatment is equivalent to Legacy Blaize issuing stock for the net assets of BurTech, accompanied by a recapitalization whereby no goodwill or other intangible assets are recorded. Operations prior to the Merger are those of Legacy Blaize. For periods prior to the Merger, the reported share and per share amounts have been retroactively converted (“Retroactive Conversion”) by applying the Exchange Ratio. Legacy Blaize shareholders were issued 87,314,968 shares of common stock.</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Prior to the Merger, BurTech LP, LLC was the sponsor (the “Sponsor”, “BurTech LP”) of BurTech and with the close of the Merger, BurTech LP and its affiliated entities, have remained a significant shareholder in Blaize.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right="100" w:firstLine="991"/>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(“JOBS Act”).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16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Since the inception of the Company and through March 31, 2025, the Company has funded its operations primarily with cash flows from contributions from founders or other investors and other financing activities. The Company has incurred recurring losses and negative cash flows since its inception, including net losses of $147.8 million and $16.7 million for the three months ended March 31, 2025 and 2024, respectively. As of March 31, 2025, the Company had cash and cash equivalents of approximately $45.0 million, and an accumulated deficit of $577.0 million.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82"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its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and equity. If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w:t>
      </w:r>
    </w:p>
    <w:p>
      <w:pPr>
        <w:spacing w:after="0" w:line="187"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As a result of the above, in connection with its assessment of going concern considerations in accordance with Financial Accounting Standard Board’s (“FASB”) Accounting Standards Update (“ASU”) 2014-15, </w:t>
      </w:r>
      <w:r>
        <w:rPr>
          <w:rFonts w:ascii="Times New Roman" w:cs="Times New Roman" w:eastAsia="Times New Roman" w:hAnsi="Times New Roman"/>
          <w:sz w:val="18"/>
          <w:szCs w:val="18"/>
          <w:i w:val="1"/>
          <w:iCs w:val="1"/>
          <w:color w:val="auto"/>
        </w:rPr>
        <w:t>Disclosures of Uncertainties about an Entity’s Ability to Continue as a 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Concern</w:t>
      </w:r>
      <w:r>
        <w:rPr>
          <w:rFonts w:ascii="Times New Roman" w:cs="Times New Roman" w:eastAsia="Times New Roman" w:hAnsi="Times New Roman"/>
          <w:sz w:val="18"/>
          <w:szCs w:val="18"/>
          <w:color w:val="auto"/>
        </w:rPr>
        <w:t>, management has determined that the Company’s liquidity condition raises substantial doubt about its ability to continue as a going concern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one year from the date that these condensed consolidated financial statements are issued.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These condensed consolidated financial statements have been prepared in accordance with generally accepted accounting principles in the United States (“U.S. GAAP”) for interim financial information and with the instructions to Form 10-Q and Rule 10-01 of Regulation S-X. Accordingly, they do not include all the information and footnotes required by U.S. GAAP for complete financial statements. The accompanying unaudited interim condensed consolidated financial statements reflect all adjustments which are, in the opinion of management, necessary for a fair statement of the results for the interim periods presented. The results of operations of any interim period are not necessarily indicative of the results of operations to be expected for the full fiscal year. The unaudited interim condensed consolidated financial statements should be read in conjunction with Blaize, Inc.’s consolidated financial statements and accompanying footnotes included in the Company’s Form 8-K/A filed with the U.S. Securities and Exchange Commission (“SEC”) on April 15, 2025, which provides a more complete discussion of the Company’s accounting policies and certain other information.</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U.S. GAAP requires the Company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presented. Such estimates and assumptions include, but are not limited to, those related to revenue recognition, the allowance for credit losses, the net realizable value of inventory, the useful lives of long-lived assets, the incremental borrowing rate used in calculating operating lease right of use assets, the accounting for income taxes, the estimates used to evaluate the recoverability of long-lived assets, amortization method and periods for capitalized software, and the estimated fair values of convertible notes, warrant liabilities, earnout share liabilities, and common stock, and stock-based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82"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The Company considers all highly liquid investments with an original maturity of 90 days or less to be cash equivalents in the condensed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insurance limits. The Company has not experienced losses in such accounts and periodically evaluates the creditworthiness of its financial institutions.</w:t>
      </w:r>
    </w:p>
    <w:p>
      <w:pPr>
        <w:spacing w:after="0" w:line="16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Company had cash and cash equivalents balances, inclusive of funds held in escrow, in excess of domestic and international insurance limits of approximately $71.9 million and $49.3 million, respectively.</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held $30.9 million in U.S. Government treasury securities, $5.3 million in U.S. Government money market funds, and $5.1 million in mutual funds, while as of December 31, 2024, the Company held $30.6 million in U.S. Government treasury securities, $9.2 million in U.S. Government money market funds, and $5.1 million in mutual funds (see Note 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Restricted cash represents cash balances held as security deposits related to international payment services. As of March 31, 2025 and December 31, 2024, restricted cash of $0.3 million was included within other assets on the condensed consolidated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Funds Held in Escrow</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held $33.4 million of cash in an interest-earning escrow account pursuant to certain non-redemption agreements entered into with several unaffiliated stockholders of the Company, whereby amounts are required to be held in a separate account at the Closing of the Merger and held until such time that certain non-redeemed shares are either sold in the open market and/or put to the Company. The funds in escrow approximate $11.57 per non-redeemed share (see Note 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off against the allowance after all means of collection have been exhausted and the potential for recovery is considered remote. The allowance for credit losses was $0.4 million as of March 31, 2025 and December 31, 2024.</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82"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condensed consolidated statements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Deferred offering costs consist of direct incremental legal, consulting and banking fees primarily relating to the Merger (see Note 3). The capitalized costs were fully expensed upon the consummation of the Merger within transaction costs on the condensed consolidated statement of operations during the three months ended March 31, 2025. As of December 31, 2024, there were $11.1 million of capitalized deferred offering costs included in prepaid expenses and other current assets on the condensed consolidated balance sheets.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three months ended March 31, 2025 and 2024, the Company did not recognize any impairment expense related to its long-lived assets.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Evaluation</w:t>
      </w:r>
    </w:p>
    <w:p>
      <w:pPr>
        <w:spacing w:after="0" w:line="121"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Blaize Convertible Notes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Prior to the consummation of the Merger, the Company accounted for its convertible notes, some of which contained predominantly fixed rate conversion features under ASU 2020-06 </w:t>
      </w:r>
      <w:r>
        <w:rPr>
          <w:rFonts w:ascii="Times New Roman" w:cs="Times New Roman" w:eastAsia="Times New Roman" w:hAnsi="Times New Roman"/>
          <w:sz w:val="18"/>
          <w:szCs w:val="18"/>
          <w:i w:val="1"/>
          <w:iCs w:val="1"/>
          <w:color w:val="auto"/>
        </w:rPr>
        <w:t>Debt—Debt with Conversion and Other Options (Subtopic 470-20), Derivatives and Hedging—Contracts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Entity’s Own Equity (Subtopic 815-40)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Accounting for Convertible Instruments and Contracts in an Entity’s Own Equity</w:t>
      </w:r>
      <w:r>
        <w:rPr>
          <w:rFonts w:ascii="Times New Roman" w:cs="Times New Roman" w:eastAsia="Times New Roman" w:hAnsi="Times New Roman"/>
          <w:sz w:val="18"/>
          <w:szCs w:val="18"/>
          <w:color w:val="auto"/>
        </w:rPr>
        <w:t>. The Company elected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 for its convertible notes at fair value at each period end pursuant to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wherein changes in the fair value were recorded as change in fair value of convertible notes in the condensed consolidated statements of operations. The convertible notes were remeasured just prior to the date of the Merger and upon the closing of the Merger, the convertible notes were fully converted into shares of common stock (see Note 3 and Note 5).</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00"/>
          </w:cols>
          <w:pgMar w:left="320" w:top="482" w:right="4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Blaize Warrant Liabilities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Prior to the consummation of the Merger, the Company had issued freestanding warrants in connection with certain of its convertible debt agreements and preferred stock issuances which were recorded as current liabilities on the condensed consolidated balance sheets at their estimated fair value. At initial recognition, the warrants were recorded at their estimated fair value calculated using the Black-Scholes-Merton (“Black-Scholes”) option pricing model (see Note 9). The liability associated with these warrants were subject to fair value remeasurement at each balance sheet date, with changes in fair value recorded as change in the fair value of warrant liabilities on the condensed consolidated statements of operations. The warrants were remeasured just prior to the date of the Merger and, upon the consummation of the Merger, the warrant liabilities were fully converted into shares of common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Merger, Legacy Blaize shareholders and outstanding equity award holders (including stock options and RSUs) are entitled to receive up to 15,000,000 shares of the Company’s Class A common stock (the “Earnout Shares”) (see Note 3). Earnout Shares issued to eligible Legacy Blaize equity holders (including holders of stock options and restricted stock units (“RSUs”)) are considered a compensatory award and are accounted for under ASC 718,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Further these awards have been determined to be equity classified and accordingly will not be remeasured at each reporting date.</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Earnout Shares issued to Burkhan and all other equity holders not within the scope of ASC 718 in connection with consummation of the Merger, were evaluated by management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(see Note 3). The Company determined that the Earnout Shares are freestanding and not liability classified under ASC 480. Subsequently, management evaluated whether the Earnout Shares represented a derivative instrument pursuant to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Company concluded that the Earnout Shares under the arrangement resulted in liability classification pursuant to ASC 815-40. The liability for such Earnout Shares will be remeasured at each reporting date with changes in the fair value recorded to earnings on the condensed consolidated statements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Blaize Redeemable Convertible Preferred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Prior to the consummation of the Merger, the Company had (i) Series Seed Shadow Preferred Stock, (ii) Series A Shadow Preferred Stock,</w:t>
      </w:r>
    </w:p>
    <w:p>
      <w:pPr>
        <w:spacing w:after="0" w:line="27" w:lineRule="exact"/>
        <w:rPr>
          <w:sz w:val="20"/>
          <w:szCs w:val="20"/>
          <w:color w:val="auto"/>
        </w:rPr>
      </w:pPr>
    </w:p>
    <w:p>
      <w:pPr>
        <w:ind w:left="120" w:hanging="4"/>
        <w:spacing w:after="0" w:line="252" w:lineRule="auto"/>
        <w:tabs>
          <w:tab w:leader="none" w:pos="43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Shadow B Shadow Preferred Stock, (iv) Series C Shadow Preferred Stock, (v) Series D Shadow Preferred Stock, (vi) Series D Exchange Shadow Preferred Stock, (vii) Series D-1 Shadow Preferred Stock, (viii) Series D-1 Exchange Shadow Preferred Stock, and (ix) Series D-2 Shadow Preferred Stock, all outstanding. The Company’s redeemable convertible preferred stock had been classified outside of stockholders’ equity (deficit), as mezzanine equity, due to the redemption option of the preferred stock shareholders. The Company recorded redeemable convertible preferred stock at fair value on the dates of issuance, net of issuance costs. The Company adjusted the carrying values of the redeemable convertible preferred stock, subsequent to the initial issuance date, to the redemption value of such shares because it was probable that the convertible preferred stock would become redeemable.</w:t>
      </w:r>
    </w:p>
    <w:p>
      <w:pPr>
        <w:spacing w:after="0" w:line="18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Upon the consummation of the Merger, all shares of redeemable convertible preferred stock outstanding were converted into shares of common stock (see Note 3). All shares of redeemable convertible preferred stock which were converted into shares of common stock were retroactively adjusted using the exchange ratio and reclassified into permanent equity as a result of the Merger.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00"/>
          </w:cols>
          <w:pgMar w:left="320" w:top="482" w:right="4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common stock subject to possible redemption in accordance with the guidance in ASC Topic 480 </w:t>
      </w:r>
      <w:r>
        <w:rPr>
          <w:rFonts w:ascii="Times New Roman" w:cs="Times New Roman" w:eastAsia="Times New Roman" w:hAnsi="Times New Roman"/>
          <w:sz w:val="18"/>
          <w:szCs w:val="18"/>
          <w:i w:val="1"/>
          <w:iCs w:val="1"/>
          <w:color w:val="auto"/>
        </w:rPr>
        <w:t>Distinguishing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 from Equity</w:t>
      </w:r>
      <w:r>
        <w:rPr>
          <w:rFonts w:ascii="Times New Roman" w:cs="Times New Roman" w:eastAsia="Times New Roman" w:hAnsi="Times New Roman"/>
          <w:sz w:val="18"/>
          <w:szCs w:val="18"/>
          <w:color w:val="auto"/>
        </w:rPr>
        <w:t>. Certain common stock is held in escrow pursuant to Non-Redemption Agreements and feature certain redemption rights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to be outside of the Company’s control and within the control of the holders (see Note 3). Accordingly, as of March 31, 2025, 2,854,242 shares of common stock are subject to possible redemption, and have been presented at redemption value as temporary equity, outside of the stockholders’ equity (deficit) section of the condensed consolidated balance sheet.</w:t>
      </w:r>
    </w:p>
    <w:p>
      <w:pPr>
        <w:spacing w:after="0" w:line="185"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by adjusting the carrying value of common stock subject to possible redemption to equal the redemption value as of the end of each reporting period. Changes in the carrying amount of redeemable common stock are affected by charges against additional paid-in capital and accumulated deficit.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480 and ASC 815, Derivatives and Hedging. The assessment considers whether the warrants are freestanding financial instruments pursuant to ASC 480, meet the definition of a liability pursuant to ASC 480, and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as well as each subsequent reporting period while the warrants are outstanding.</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 analyzed the warrants issued in BurTech’s Initial Public Offering (“Public Warrants”),warrants included in the Private Placement Units (the “Private Warrants”) and warrants issued to advisor for services (the “Common Stock Warrants”) and determined they are considered to be freestanding instruments and do not exhibit any of the characteristics in ASC 480 and therefore are not classified as liabilities under ASC 480. As of March 31, 2025, the Company’s outstanding public warrants and private warrants met all the requirements for equity classification under ASC 815 and therefore were classified as equity. As of December 31, 2024, Legacy Blaize warrants were classified as liabilities, as described above.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derives revenue from product sales, license and development arrangements, joint marketing arrangements and cloud services. The Company recognizes revenue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in which it determines revenue recognition through the following steps: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80"/>
          </w:cols>
          <w:pgMar w:left="320" w:top="482" w:right="4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11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11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5: Recognize revenue when the company satisfies a performance obligation.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w:t>
      </w:r>
    </w:p>
    <w:p>
      <w:pPr>
        <w:spacing w:after="0" w:line="180"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Revenue from hardware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Company’s license and development arrangements entail revenue from the licensing of its intellectual property (“IP”) and also include nonrecurring engineering development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82"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2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vMerge w:val="continue"/>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to deferred revenue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recognized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these fees are reflected in revenue and the related fulfillment costs are accrued as cost of revenue as the related fulfillment costs incurred.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sales.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is subject to tax audits in various jurisdictions. The Company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the provision for income taxes.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the cost of employee, non-employee consultants and non-employee directors’ services received in exchange for awards of stock options based on the fair value of those awards at the date of grant over the requisite service period. The fair value of stock options granted is determined using the Black-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82"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Scholes option-pricing model using various inputs, including Company estimates of expected stock price volatility, term, risk-free rate and future dividends. The Company has elected the simplified method to determine the expected term of the option grants.</w:t>
      </w:r>
    </w:p>
    <w:p>
      <w:pPr>
        <w:spacing w:after="0" w:line="162"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The Company also grants RSUs to employees and non-employee consultants, which vest upon the satisfaction of both a service-based condition and a liquidity event condition, as defined. The fair value of RSUs is determined based on the Company’s estimated fair value of common stock at the date of grant. Due to the Merger that occurred during the three months ended March 31, 2025, the Company recorded cumulative stock-based compensation using the accelerated attribution method for those RSUs for which the service condition has been satisfied prior to the Merger, and will record the remaining unrecognized stock-based compensation over the remainder of the requisite service period (see Note 13). The Company did not record any stock-based compensation expense associated with the RSUs during the three months ended March 31, 2024, as a liquidity event had not occurred during that period.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Forfeitures are recognized as they occur.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right="340" w:firstLine="440"/>
        <w:spacing w:after="0" w:line="256" w:lineRule="auto"/>
        <w:rPr>
          <w:sz w:val="20"/>
          <w:szCs w:val="20"/>
          <w:color w:val="auto"/>
        </w:rPr>
      </w:pPr>
      <w:r>
        <w:rPr>
          <w:rFonts w:ascii="Times New Roman" w:cs="Times New Roman" w:eastAsia="Times New Roman" w:hAnsi="Times New Roman"/>
          <w:sz w:val="18"/>
          <w:szCs w:val="18"/>
          <w:color w:val="auto"/>
        </w:rPr>
        <w:t>The Company determines fair value measurements used in its condensed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 Fair Value Measurements, requires fair value measurements be classified and disclosed in one of the following pricing categories:</w:t>
      </w:r>
    </w:p>
    <w:p>
      <w:pPr>
        <w:sectPr>
          <w:pgSz w:w="11900" w:h="16838" w:orient="portrait"/>
          <w:cols w:equalWidth="0" w:num="1">
            <w:col w:w="11140"/>
          </w:cols>
          <w:pgMar w:left="320" w:top="482" w:right="439" w:bottom="1440" w:gutter="0" w:footer="0" w:header="0"/>
        </w:sectPr>
      </w:pP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Level</w:t>
      </w:r>
      <w:r>
        <w:rPr>
          <w:rFonts w:ascii="Times New Roman" w:cs="Times New Roman" w:eastAsia="Times New Roman" w:hAnsi="Times New Roman"/>
          <w:sz w:val="17"/>
          <w:szCs w:val="17"/>
          <w:color w:val="auto"/>
        </w:rPr>
        <w:t> 1:</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level consists of unadjusted quoted prices in active markets for identical assets or liabilities that the reporting entity can access at the measurement date.</w:t>
      </w:r>
    </w:p>
    <w:p>
      <w:pPr>
        <w:spacing w:after="0" w:line="52" w:lineRule="exact"/>
        <w:rPr>
          <w:sz w:val="20"/>
          <w:szCs w:val="20"/>
          <w:color w:val="auto"/>
        </w:rPr>
      </w:pPr>
    </w:p>
    <w:p>
      <w:pPr>
        <w:sectPr>
          <w:pgSz w:w="11900" w:h="16838" w:orient="portrait"/>
          <w:cols w:equalWidth="0" w:num="2">
            <w:col w:w="680" w:space="320"/>
            <w:col w:w="10140"/>
          </w:cols>
          <w:pgMar w:left="320" w:top="482"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i w:val="1"/>
          <w:iCs w:val="1"/>
          <w:color w:val="auto"/>
        </w:rPr>
        <w:t>Level 2:</w:t>
      </w:r>
    </w:p>
    <w:p>
      <w:pPr>
        <w:spacing w:after="0" w:line="20" w:lineRule="exact"/>
        <w:rPr>
          <w:sz w:val="20"/>
          <w:szCs w:val="20"/>
          <w:color w:val="auto"/>
        </w:rPr>
      </w:pPr>
      <w:r>
        <w:rPr>
          <w:sz w:val="20"/>
          <w:szCs w:val="20"/>
          <w:color w:val="auto"/>
        </w:rPr>
        <w:br w:type="column"/>
      </w:r>
    </w:p>
    <w:p>
      <w:pPr>
        <w:ind w:right="140"/>
        <w:spacing w:after="0" w:line="266" w:lineRule="auto"/>
        <w:rPr>
          <w:sz w:val="20"/>
          <w:szCs w:val="20"/>
          <w:color w:val="auto"/>
        </w:rPr>
      </w:pPr>
      <w:r>
        <w:rPr>
          <w:rFonts w:ascii="Times New Roman" w:cs="Times New Roman" w:eastAsia="Times New Roman" w:hAnsi="Times New Roman"/>
          <w:sz w:val="18"/>
          <w:szCs w:val="18"/>
          <w:color w:val="auto"/>
        </w:rPr>
        <w:t>This level consists of observable inputs other than the quoted prices included within Level 1, such as quoted prices for similar assets or liabilities in markets that are not active or for which all significant inputs are observable or can be corroborated by observable market data, either directly or indirectly, for substantially the full term of the asset or liability.</w:t>
      </w:r>
    </w:p>
    <w:p>
      <w:pPr>
        <w:spacing w:after="0" w:line="66" w:lineRule="exact"/>
        <w:rPr>
          <w:sz w:val="20"/>
          <w:szCs w:val="20"/>
          <w:color w:val="auto"/>
        </w:rPr>
      </w:pPr>
    </w:p>
    <w:p>
      <w:pPr>
        <w:sectPr>
          <w:pgSz w:w="11900" w:h="16838" w:orient="portrait"/>
          <w:cols w:equalWidth="0" w:num="2">
            <w:col w:w="700" w:space="300"/>
            <w:col w:w="10140"/>
          </w:cols>
          <w:pgMar w:left="320" w:top="482"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i w:val="1"/>
          <w:iCs w:val="1"/>
          <w:color w:val="auto"/>
        </w:rPr>
        <w:t>Level 3:</w:t>
      </w:r>
    </w:p>
    <w:p>
      <w:pPr>
        <w:spacing w:after="0" w:line="20" w:lineRule="exact"/>
        <w:rPr>
          <w:sz w:val="20"/>
          <w:szCs w:val="20"/>
          <w:color w:val="auto"/>
        </w:rPr>
      </w:pPr>
      <w:r>
        <w:rPr>
          <w:sz w:val="20"/>
          <w:szCs w:val="20"/>
          <w:color w:val="auto"/>
        </w:rPr>
        <w:br w:type="column"/>
      </w:r>
    </w:p>
    <w:p>
      <w:pPr>
        <w:ind w:right="60"/>
        <w:spacing w:after="0" w:line="266" w:lineRule="auto"/>
        <w:rPr>
          <w:sz w:val="20"/>
          <w:szCs w:val="20"/>
          <w:color w:val="auto"/>
        </w:rPr>
      </w:pPr>
      <w:r>
        <w:rPr>
          <w:rFonts w:ascii="Times New Roman" w:cs="Times New Roman" w:eastAsia="Times New Roman" w:hAnsi="Times New Roman"/>
          <w:sz w:val="18"/>
          <w:szCs w:val="18"/>
          <w:color w:val="auto"/>
        </w:rPr>
        <w:t>This level consists of unobservable inputs for the asset or liability to the extent that observable inputs are not available, thereby allowing for situations in which there is little or no market data for the asset or liability at the measurement date. This requires the reporting entity to develop its own assumptions that market participants would use in pricing the asset or liability.</w:t>
      </w:r>
    </w:p>
    <w:p>
      <w:pPr>
        <w:spacing w:after="0" w:line="176" w:lineRule="exact"/>
        <w:rPr>
          <w:sz w:val="20"/>
          <w:szCs w:val="20"/>
          <w:color w:val="auto"/>
        </w:rPr>
      </w:pPr>
    </w:p>
    <w:p>
      <w:pPr>
        <w:sectPr>
          <w:pgSz w:w="11900" w:h="16838" w:orient="portrait"/>
          <w:cols w:equalWidth="0" w:num="2">
            <w:col w:w="700" w:space="300"/>
            <w:col w:w="10140"/>
          </w:cols>
          <w:pgMar w:left="320" w:top="482" w:right="439" w:bottom="1440" w:gutter="0" w:footer="0" w:header="0"/>
          <w:type w:val="continuous"/>
        </w:sect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carrying amounts of cash, funds held in escrow, accounts receivable, prepaid expenses and other current assets, accounts payable, accrued loss on purchase commitments, working capital loans, and accrued expenses and other liabilities approximate their fair values due to their short-term maturities.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The Company’s reporting and functional currency is the United Stated dollar (“USD”). The local currencies of its foreign subsidiaries are the Indian rupee, British pound, or Philippine peso,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 Revenues, cost of revenues, and operating expenses are remeasured at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40"/>
          </w:cols>
          <w:pgMar w:left="320" w:top="482" w:right="43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average exchange rates in effect during each reporting period. The resulting transaction gains or losses are recognized in other income (expense), net, in the condensed consolidated statements of operations. During the three months ended March 31, 2025 and 2024, foreign currency transaction gains and losses were immaterial.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Company’s cash and cash equivalents are primarily on deposit at high-credit quality financial institutions or invested in U.S. Government treasury securities, mutual funds, and money market funds. The Company’s cash accounts in a financial institution may at times exceed the Federal Depository Insurance coverage of $250,000. Investments in money markets are not insured or guaranteed by the Federal Deposit Insurance Corporation or any other government agency.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exposed to credit risk in the event of nonpayment by customers up to the amounts recorded on the consolidated balance sheets.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manages its accounts receivable credit risk through ongoing credit evaluation of its customers’ financial conditions.</w:t>
      </w:r>
    </w:p>
    <w:p>
      <w:pPr>
        <w:spacing w:after="0" w:line="20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one customer accounted for approximately 95% of the Company’s accounts receivable. As of December 31, 2024, one customer accounted for approximately 98% of the Company’s accounts receivable.</w:t>
      </w:r>
    </w:p>
    <w:p>
      <w:pPr>
        <w:spacing w:after="0" w:line="16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For the three months ended March 31, 2025, one customer accounted for approximately 95% of the Company’s revenue. For the three months ended March 31, 2024, two customers, both related parties, accounted for approximately 61% and 39% of the Company’s revenue (see Note 15).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 class method requires income (loss) available to common stockholders for the period to be allocated between common and participating securities based upon their respective rights to shares in undistributed earnings as if all income (loss) for the period had been distributed.</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 average number of common stock outstanding during the period, without consideration of potentially dilutive securities. Diluted net loss per share is computed by dividing the net loss attributable to common stockholders by the weighted average number of common stock and potentially dilutive securities outstanding for the period. For purposes of this calculation, stock options and warrants have been excluded from the calculation of diluted net loss per share attributable to common stockholders as their effect is anti-dilutive for all periods presented.</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the Merger has been accounted for as a reverse recapitalization, net loss per share was also retroactively adjusted for periods ended prior to the Merger.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80"/>
          </w:cols>
          <w:pgMar w:left="320" w:top="482" w:right="4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reporting segment. Operating segments are defined as components of an enterprise about which separate financial information is evaluated regularly by the chief operating decision maker (“CODM”) in deciding how to allocate resources and assessing performance. The Company’s Chief Executive Officer is the CODM, who reviews financial information presented on a consolidated basis for the purposes of making operating decisions, allocating resources and evaluating financial performance.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This ASU clarifies guidance in Topic 820 and introduces new disclosure requirements for equity securities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sale restrictions that are measured at fair value in accordance with Topic 820. The Company adopted this standard on January 1, 2025. The adoption of this standard did not have an impact on the condensed consolidated financial statements.</w:t>
      </w:r>
    </w:p>
    <w:p>
      <w:pPr>
        <w:spacing w:after="0" w:line="180"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ASU enhances the transparency and decision usefulness of income tax disclosures. The Company is currently evaluating the impact that the adoption of this ASU will have on the condensed consolidated financial statements.</w:t>
      </w:r>
    </w:p>
    <w:p>
      <w:pPr>
        <w:spacing w:after="0" w:line="17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Debt Instruments. </w:t>
      </w:r>
      <w:r>
        <w:rPr>
          <w:rFonts w:ascii="Times New Roman" w:cs="Times New Roman" w:eastAsia="Times New Roman" w:hAnsi="Times New Roman"/>
          <w:sz w:val="18"/>
          <w:szCs w:val="18"/>
          <w:color w:val="auto"/>
        </w:rPr>
        <w:t>This ASU clarifies guidance on the requirements for determining whether certain settlements of convertible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should be accounted for as an induced conversion or extinguishment. This guidance is effective for Blaize beginning on January 1, 2026, and early adoption is permitted, although the Company does not plan to early adopt. The Company is currently evaluating the impact that the adoption of this ASU will have on the condensed consolidated financial statements.</w:t>
      </w:r>
    </w:p>
    <w:p>
      <w:pPr>
        <w:spacing w:after="0" w:line="18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This ASU requires disaggregated disclosure of income statement expenses for public business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ASU does not change the expense captions an entity presents on the face of the income statement; rather, it requires disaggregation of certain expense captions into specified categories in disclosures within the notes to the condensed consolidated financial statements. This guidance is effective for Blaize beginning on January 1, 2027, and early adoption is permitted, although the Company does not plan to early adopt. The Company is currently evaluating the impact of the adoption of this standard.</w:t>
      </w:r>
    </w:p>
    <w:p>
      <w:pPr>
        <w:spacing w:after="0" w:line="184"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The Company does not believe that any other recently issued, not yet effective, accounting standards would have a material effect on the accompanying condensed consolidated financial statements, if adopted.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Merger and Reverse Recapitalization</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discussed above, the Merger was consummated on January 13, 2025, which, for accounting purposes, was treated as the equivalent of Legacy Blaize issuing stock for the net assets of BurTech, accompanied by a recapitalization (see Note 1). Under this method of accounting, BurTech was treated as the acquired company for financial accounting and reporting purposes under U.S. GAAP.</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each share of Legacy Blaize common stock issued and outstanding was canceled and converted into the right to receive approximately 0.78 shares (the “Exchange Ratio”) of common stock of BurTech.</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00"/>
          </w:cols>
          <w:pgMar w:left="320" w:top="482" w:right="4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Blaize Redeemable Convertible Preferred Stock, Convertible Promissory Notes and Warrants</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Merger, all outstanding convertible notes, inclusive of accrued and unpaid interest, each of the issued and outstanding shares of redeemable convertible preferred stock, and all outstanding warrants, net exercised, were automatically converted into shares of common stock.</w:t>
      </w:r>
    </w:p>
    <w:p>
      <w:pPr>
        <w:spacing w:after="0" w:line="176"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(i) each outstanding stock option to purchase Legacy Blaize common stock was converted into a stock option of the Company, upon substantially the same terms and conditions as in effect with respect to the corresponding Legacy Blaize option, and the right to receive a number of earnout shares. Additionally, each Legacy Blaize RSU was converted into an RSU of the Company, upon substantially the same terms and conditions as in effect with respect to the corresponding Legacy Blaize RSU, and the right to receive a number of earnout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Arrangements entered into at time of Merger or assumed upon the consummation of the Merger: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Public and Private Placement Warrants</w:t>
      </w:r>
    </w:p>
    <w:p>
      <w:pPr>
        <w:spacing w:after="0" w:line="119" w:lineRule="exact"/>
        <w:rPr>
          <w:sz w:val="20"/>
          <w:szCs w:val="20"/>
          <w:color w:val="auto"/>
        </w:rPr>
      </w:pPr>
    </w:p>
    <w:p>
      <w:pPr>
        <w:jc w:val="both"/>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BurTech’s 28,750,000 public warrants and 898,250 private warrants, both outstanding immediately prior to the consummation of the Merger, became warrants of the Company.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PIPE Shares</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From December 31, 2024 through January 13, 2025, BurTech and certain other subscribers (collectively, the “Subscribers”) entered into subscription agreements under which BurTech agreed to issue and sell to the Subscribers, immediately before the Closing Date, collectively, 1,529,500 shares of Class A Stock (the “PIPE Shares”) at a price per share equal to $10.00. Such shares that were outstanding immediately prior to the Merger became shares of common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Shareholder Note Receivable</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BurTech LP issued a secured promissory note and pledge agreement (the “Shareholder Note”) to BurTech in the principal amount of $8,753,744 in exchange for 750,000 shares of common stock. The principal of the Shareholder Note will decrease when BurTech LP pays for transaction costs that the Company assumed from BurTech in the Merger. The Shareholder Note bears interest at 7.0%, compounding annually on December 31 of each year and is secured by 2,000,000 shares of the Company’s common stock owned by BurTech LP.</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December 31, 2024 and through January 13, 2025, BurTech, BurTech LP and Legacy Blaize entered into Non-Redemption Agreements with several unaffiliated stockholders of BurTech (each, an “Investor”) who agreed not to redeem (or validly rescind any redemption requests on) their shares of common stock (“Non-Redeemed Shares”). These Non-Redeemed Shares were exchanged for shares of the Company’s common stock and are held in a separate escrow account. In exchange for the foregoing commitments not to redeem the Non-Redeemed Shares, the Company and BurTech LP agreed to guarantee that each Investor receives a return of $1.50 per Non-Redeemed Share above the initial $11.57 per share (for a total redemption value of $13.07 per Non-Redeemed Share) held in the related cash escrow account if the Investor sells the Non-Redeemed Shares in the open market. The funds in the related cash escrow account are sufficient to fulfill the Company’s redemption obligation under the Non-Redemption Agreement. Starting 90 days after the Closing Date through 180 days after</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00"/>
          </w:cols>
          <w:pgMar w:left="320" w:top="482" w:right="4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Closing Date, each Investor has the right to exercise a put option to receive $13.07 per Non-Redeemed Share. The Sponsor, and not the Company, is contractually obligated for the $1.50 per share above the $11.57 held in cash escrow as it relates to the put option. Accordingly, the Company did not recognize a non-redemption liability as of the Closing Date or March 31, 2025.</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elements of the Merger to the condensed consolidated statement of cash flows and the condensed consolidated statement of stockholders’ equity (deficit) for the three months ended March 31, 2025:</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1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Recapitalization</w:t>
            </w: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 BurTech trust and cash, net of redemptions</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Less: Non-redemption escrow</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(33,061)</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 PIPE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15,295</w:t>
            </w:r>
          </w:p>
        </w:tc>
      </w:tr>
      <w:tr>
        <w:trPr>
          <w:trHeight w:val="223"/>
        </w:trPr>
        <w:tc>
          <w:tcPr>
            <w:tcW w:w="20" w:type="dxa"/>
            <w:vAlign w:val="bottom"/>
          </w:tcPr>
          <w:p>
            <w:pPr>
              <w:spacing w:after="0"/>
              <w:rPr>
                <w:sz w:val="19"/>
                <w:szCs w:val="19"/>
                <w:color w:val="auto"/>
              </w:rPr>
            </w:pPr>
          </w:p>
        </w:tc>
        <w:tc>
          <w:tcPr>
            <w:tcW w:w="6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Less: transaction costs and advisory paid by BurTech</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(3,619)</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proceeds from Merger</w:t>
            </w: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100" w:type="dxa"/>
            <w:vAlign w:val="bottom"/>
            <w:gridSpan w:val="2"/>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Earnout share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(126,025)</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net liabilities assumed from BurTech</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(16,013)</w:t>
            </w:r>
          </w:p>
        </w:tc>
      </w:tr>
      <w:tr>
        <w:trPr>
          <w:trHeight w:val="223"/>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Merger and PIPE financing</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(126,164</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following the consummation of the Merger:</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BurTech Class A common stock, outstanding prior to the Merger</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10,816,995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Sponsor forfeiture</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BurTech Class A common stock subject to redemption, outstanding prior to</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the Merger</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4,104,543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Shareholder Note receivable</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Redemption of BurTech Class A common stock</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(937,844)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BurTech Class A Shares in non-redemption escrow</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(2,854,242)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of BurTech</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9,879,452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PIPE shares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BurTech Class B common stock, outstanding prior to the Merger</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Merger and PIPE financing shares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11,408,957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Legacy Blaize shares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87,314,968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common stock to advisors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94,949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immediately after the Merger</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98,818,874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vMerge w:val="restart"/>
          </w:tcPr>
          <w:p>
            <w:pPr>
              <w:ind w:left="3560"/>
              <w:spacing w:after="0"/>
              <w:rPr>
                <w:sz w:val="20"/>
                <w:szCs w:val="20"/>
                <w:color w:val="auto"/>
              </w:rPr>
            </w:pPr>
            <w:r>
              <w:rPr>
                <w:rFonts w:ascii="Times New Roman" w:cs="Times New Roman" w:eastAsia="Times New Roman" w:hAnsi="Times New Roman"/>
                <w:sz w:val="18"/>
                <w:szCs w:val="18"/>
                <w:color w:val="auto"/>
              </w:rPr>
              <w:t>F-19</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3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2" w:right="5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number of Legacy Blaize shares was determined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5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Legacy Blaize</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Legacy Blaize</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 After</w:t>
            </w: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15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17,518,791</w:t>
            </w:r>
          </w:p>
        </w:tc>
        <w:tc>
          <w:tcPr>
            <w:tcW w:w="4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13,663,527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Conversion of redeemable convertible preferred stock</w:t>
            </w: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44,506,781</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34,712,525</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1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40,302,382</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31,433,259</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exercise of warrants</w:t>
            </w: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9,623,432</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7,505,657</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immediately after the Merger</w:t>
            </w:r>
          </w:p>
        </w:tc>
        <w:tc>
          <w:tcPr>
            <w:tcW w:w="1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111,951,386</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87,314,968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Earnout Arrangement with holders of Legacy Blaize Common Stock and outstanding equity awards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Legacy Blaize shareholders and outstanding equity award holders (including stock options and RSUs) are entitled to Earnout Shares in four tranches upon the occurrence of four separate Triggering Events (defined below) during the Earnout Period, which commences on January 13, 2025 and ends on January 13, 2030. The Triggering Events are driven by whether the Company’s closing share price on 20 trading days out of 30 consecutive trading days equals or exceeds defined per share thresholds in each tranche as follows:</w:t>
      </w:r>
    </w:p>
    <w:p>
      <w:pPr>
        <w:spacing w:after="0" w:line="85" w:lineRule="exact"/>
        <w:rPr>
          <w:sz w:val="20"/>
          <w:szCs w:val="20"/>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$12.50 per share, 3,750,000 Earnout Shares will be issued;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$15.00 per share, an additional 3,750,000 Earnout Shares will be issued;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$17.50 per share, an additional 3,750,000 Earnout Shares will be issued;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$20.00 per share, an additional 3,750,000 Earnout Shares will be issued</w:t>
      </w:r>
    </w:p>
    <w:p>
      <w:pPr>
        <w:spacing w:after="0" w:line="11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Company employees entitled to receive Earnout Shares with respect to Blaize options and RSUs, must provide service through the date the target is achieved and if an employee departs, the Earnout Shares are reallocated to the remaining pool of recipients who received the right to the Earnout Shares on the Closing Date.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estimated fair value of the Earnout Shares subject to ASC 718 was $82.9 million, assuming the service conditions were met and assuming no forfeitures. The vested amounts of $3.5 million for the three months ended March 31, 2025 were recorded as stock-based compensation expense as it was probable the market condition would be met. There were 37,090 shares forfeited during the three months ended March 31, 2025, which have been reallocated to the remaining employees. The reallocated shares are considered a forfeiture of the original award and grant of a new award. The new awards have been remeasured upon grant and have an estimated fair value of $33 thousand. Each Triggering Event, as defined, is considered a market condition. The requisite service condition is the period of time it takes to achieve all four market conditions. As this is not explicitly stated in the earnout arrangement, the service period is implied from the expected period over which the shares are expected to achieve the market condition. Under this guidance, the award is measured at fair value at the grant (or issue) date using the Monte Carlo simulation model and expense is recognized over the derived service period of 5 years.</w:t>
      </w:r>
    </w:p>
    <w:p>
      <w:pPr>
        <w:spacing w:after="0" w:line="188"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Additionally, Burkhan has the right to receive up to an aggregate amount of 2,600,000 shares of Blaize Class A Common Stock, 650,000 following the occurrence of each triggering event stated above (the “Burkhan Earnout Shares”). The fair value of the Burkhan Earnout Shares are also valued using the Monte Carlo simulation model.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00"/>
          </w:cols>
          <w:pgMar w:left="320" w:top="482" w:right="47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Company’s revenue information by customer geographical region:</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left="19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72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provides a disaggregation of revenue based on the method of revenue recognition:</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left="19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72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financial assets and liabilities measured at fair value on a recurring basis aggregated by the level in the fair value hierarchy</w:t>
      </w:r>
      <w:r>
        <w:rPr>
          <w:rFonts w:ascii="Times New Roman" w:cs="Times New Roman" w:eastAsia="Times New Roman" w:hAnsi="Times New Roman"/>
          <w:sz w:val="18"/>
          <w:szCs w:val="18"/>
          <w:b w:val="1"/>
          <w:bCs w:val="1"/>
          <w:color w:val="auto"/>
        </w:rPr>
        <w:t>:</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2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20" w:type="dxa"/>
            <w:vAlign w:val="bottom"/>
            <w:gridSpan w:val="2"/>
            <w:vMerge w:val="continue"/>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60" w:type="dxa"/>
            <w:vAlign w:val="bottom"/>
          </w:tcPr>
          <w:p>
            <w:pPr>
              <w:spacing w:after="0"/>
              <w:rPr>
                <w:sz w:val="12"/>
                <w:szCs w:val="12"/>
                <w:color w:val="auto"/>
              </w:rPr>
            </w:pPr>
          </w:p>
        </w:tc>
        <w:tc>
          <w:tcPr>
            <w:tcW w:w="720" w:type="dxa"/>
            <w:vAlign w:val="bottom"/>
            <w:gridSpan w:val="4"/>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320" w:type="dxa"/>
            <w:vAlign w:val="bottom"/>
            <w:gridSpan w:val="6"/>
          </w:tcPr>
          <w:p>
            <w:pPr>
              <w:ind w:left="2580"/>
              <w:spacing w:after="0"/>
              <w:rPr>
                <w:sz w:val="20"/>
                <w:szCs w:val="20"/>
                <w:color w:val="auto"/>
              </w:rPr>
            </w:pPr>
            <w:r>
              <w:rPr>
                <w:rFonts w:ascii="Times New Roman" w:cs="Times New Roman" w:eastAsia="Times New Roman" w:hAnsi="Times New Roman"/>
                <w:sz w:val="18"/>
                <w:szCs w:val="18"/>
                <w:color w:val="auto"/>
              </w:rPr>
              <w:t>$30,883</w:t>
            </w:r>
          </w:p>
        </w:tc>
        <w:tc>
          <w:tcPr>
            <w:tcW w:w="2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30,883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Mutual funds</w:t>
            </w:r>
          </w:p>
        </w:tc>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320" w:type="dxa"/>
            <w:vAlign w:val="bottom"/>
            <w:gridSpan w:val="6"/>
            <w:shd w:val="clear" w:color="auto" w:fill="CCEEFF"/>
          </w:tcPr>
          <w:p>
            <w:pPr>
              <w:ind w:left="25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41,339</w:t>
            </w: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p>
        </w:tc>
        <w:tc>
          <w:tcPr>
            <w:tcW w:w="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41,339</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gridSpan w:val="2"/>
            <w:vMerge w:val="continue"/>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Earnout share liabilities</w:t>
            </w:r>
          </w:p>
        </w:tc>
        <w:tc>
          <w:tcPr>
            <w:tcW w:w="2720" w:type="dxa"/>
            <w:vAlign w:val="bottom"/>
            <w:gridSpan w:val="3"/>
            <w:shd w:val="clear" w:color="auto" w:fill="CCEEFF"/>
          </w:tcPr>
          <w:p>
            <w:pPr>
              <w:ind w:left="25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p>
        </w:tc>
        <w:tc>
          <w:tcPr>
            <w:tcW w:w="118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9,507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9,507</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9,507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2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9"/>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20" w:type="dxa"/>
            <w:vAlign w:val="bottom"/>
            <w:gridSpan w:val="2"/>
            <w:vMerge w:val="continue"/>
          </w:tcPr>
          <w:p>
            <w:pPr>
              <w:spacing w:after="0"/>
              <w:rPr>
                <w:sz w:val="12"/>
                <w:szCs w:val="12"/>
                <w:color w:val="auto"/>
              </w:rPr>
            </w:pPr>
          </w:p>
        </w:tc>
        <w:tc>
          <w:tcPr>
            <w:tcW w:w="2400" w:type="dxa"/>
            <w:vAlign w:val="bottom"/>
          </w:tcPr>
          <w:p>
            <w:pPr>
              <w:spacing w:after="0"/>
              <w:rPr>
                <w:sz w:val="12"/>
                <w:szCs w:val="12"/>
                <w:color w:val="auto"/>
              </w:rPr>
            </w:pPr>
          </w:p>
        </w:tc>
        <w:tc>
          <w:tcPr>
            <w:tcW w:w="920" w:type="dxa"/>
            <w:vAlign w:val="bottom"/>
            <w:gridSpan w:val="5"/>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54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60" w:type="dxa"/>
            <w:vAlign w:val="bottom"/>
          </w:tcPr>
          <w:p>
            <w:pPr>
              <w:spacing w:after="0"/>
              <w:rPr>
                <w:sz w:val="12"/>
                <w:szCs w:val="12"/>
                <w:color w:val="auto"/>
              </w:rPr>
            </w:pPr>
          </w:p>
        </w:tc>
        <w:tc>
          <w:tcPr>
            <w:tcW w:w="72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180" w:type="dxa"/>
            <w:vAlign w:val="bottom"/>
            <w:gridSpan w:val="5"/>
          </w:tcPr>
          <w:p>
            <w:pPr>
              <w:jc w:val="center"/>
              <w:ind w:left="2110"/>
              <w:spacing w:after="0"/>
              <w:rPr>
                <w:sz w:val="20"/>
                <w:szCs w:val="20"/>
                <w:color w:val="auto"/>
              </w:rPr>
            </w:pPr>
            <w:r>
              <w:rPr>
                <w:rFonts w:ascii="Times New Roman" w:cs="Times New Roman" w:eastAsia="Times New Roman" w:hAnsi="Times New Roman"/>
                <w:sz w:val="18"/>
                <w:szCs w:val="18"/>
                <w:color w:val="auto"/>
                <w:w w:val="99"/>
              </w:rPr>
              <w:t>$30,580</w:t>
            </w:r>
          </w:p>
        </w:tc>
        <w:tc>
          <w:tcPr>
            <w:tcW w:w="140" w:type="dxa"/>
            <w:vAlign w:val="bottom"/>
          </w:tcPr>
          <w:p>
            <w:pPr>
              <w:spacing w:after="0"/>
              <w:rPr>
                <w:sz w:val="18"/>
                <w:szCs w:val="18"/>
                <w:color w:val="auto"/>
              </w:rPr>
            </w:pPr>
          </w:p>
        </w:tc>
        <w:tc>
          <w:tcPr>
            <w:tcW w:w="7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30,580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3180" w:type="dxa"/>
            <w:vAlign w:val="bottom"/>
            <w:gridSpan w:val="5"/>
            <w:shd w:val="clear" w:color="auto" w:fill="CCEEFF"/>
          </w:tcPr>
          <w:p>
            <w:pPr>
              <w:ind w:left="2580"/>
              <w:spacing w:after="0"/>
              <w:rPr>
                <w:sz w:val="20"/>
                <w:szCs w:val="20"/>
                <w:color w:val="auto"/>
              </w:rPr>
            </w:pPr>
            <w:r>
              <w:rPr>
                <w:rFonts w:ascii="Times New Roman" w:cs="Times New Roman" w:eastAsia="Times New Roman" w:hAnsi="Times New Roman"/>
                <w:sz w:val="18"/>
                <w:szCs w:val="18"/>
                <w:color w:val="auto"/>
              </w:rPr>
              <w:t>9,247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81"/>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Mutual funds</w:t>
            </w:r>
          </w:p>
        </w:tc>
        <w:tc>
          <w:tcPr>
            <w:tcW w:w="2400" w:type="dxa"/>
            <w:vAlign w:val="bottom"/>
          </w:tcPr>
          <w:p>
            <w:pPr>
              <w:spacing w:after="0"/>
              <w:rPr>
                <w:sz w:val="18"/>
                <w:szCs w:val="18"/>
                <w:color w:val="auto"/>
              </w:rPr>
            </w:pPr>
          </w:p>
        </w:tc>
        <w:tc>
          <w:tcPr>
            <w:tcW w:w="7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5,067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81"/>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180" w:type="dxa"/>
            <w:vAlign w:val="bottom"/>
            <w:gridSpan w:val="5"/>
            <w:shd w:val="clear" w:color="auto" w:fill="CCEEFF"/>
          </w:tcPr>
          <w:p>
            <w:pPr>
              <w:jc w:val="center"/>
              <w:ind w:left="211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44,894</w:t>
            </w:r>
          </w:p>
        </w:tc>
        <w:tc>
          <w:tcPr>
            <w:tcW w:w="1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 — </w:t>
            </w:r>
          </w:p>
        </w:tc>
        <w:tc>
          <w:tcPr>
            <w:tcW w:w="118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xml:space="preserve">$ —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44,894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7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F-21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82" w:right="6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440" w:type="dxa"/>
            <w:vAlign w:val="bottom"/>
          </w:tcPr>
          <w:p>
            <w:pPr>
              <w:spacing w:after="0"/>
              <w:rPr>
                <w:sz w:val="12"/>
                <w:szCs w:val="12"/>
                <w:color w:val="auto"/>
              </w:rPr>
            </w:pPr>
          </w:p>
        </w:tc>
        <w:tc>
          <w:tcPr>
            <w:tcW w:w="4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w:t>
            </w:r>
          </w:p>
        </w:tc>
        <w:tc>
          <w:tcPr>
            <w:tcW w:w="2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3</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19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15,942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 convertible notes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5"/>
              </w:rPr>
              <w:t>132,687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132,687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 liabilities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96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5"/>
              </w:rPr>
              <w:t>163,340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163,340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Level 1 instruments consisted of U.S. Government treasury securities, U.S. Government money market funds, and mutual funds because they were valued using quoted prices in active markets and can be redeemed on any business days with an intermediary.</w:t>
      </w:r>
    </w:p>
    <w:p>
      <w:pPr>
        <w:spacing w:after="0" w:line="162"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Level 3 instruments consisted of earnout share liabilities. The Company has elected to apply the fair value option to measure all historical convertible notes and warrant liabilities (see Notes 8 and 9) and current earnout shares due to the nature of their embedded features.</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Changes in the fair value measurement of Level 3 liabilities related to unrealized gains (losses) resulting from remeasurement of our outstanding historical convertible notes and warrant liabilities (see Notes 8 and 9) and current earnout shares. The respective changes for remeasurement are reflected in the change in fair value of convertible notes, change in fair value of warrant liabilities and change in fair value of the earnout liabilities in the condensed consolidated statements of operations.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changes in the fair values of the Level 3 liabilities were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12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2023 Convertible</w:t>
            </w:r>
          </w:p>
        </w:tc>
        <w:tc>
          <w:tcPr>
            <w:tcW w:w="8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Earnout share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40" w:type="dxa"/>
            <w:vAlign w:val="bottom"/>
            <w:vMerge w:val="continue"/>
          </w:tcPr>
          <w:p>
            <w:pPr>
              <w:spacing w:after="0"/>
              <w:rPr>
                <w:sz w:val="15"/>
                <w:szCs w:val="15"/>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6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5"/>
                <w:szCs w:val="15"/>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$ 14,711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$ 163,340</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earnout share awards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126,025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27,232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138,471</w:t>
            </w: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60,345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(116,518)</w:t>
            </w: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109,530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Conversion to common stock</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(43,174)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(271,158)</w:t>
            </w:r>
          </w:p>
        </w:tc>
        <w:tc>
          <w:tcPr>
            <w:tcW w:w="80" w:type="dxa"/>
            <w:vAlign w:val="bottom"/>
          </w:tcPr>
          <w:p>
            <w:pPr>
              <w:spacing w:after="0"/>
              <w:rPr>
                <w:sz w:val="18"/>
                <w:szCs w:val="18"/>
                <w:color w:val="auto"/>
              </w:rPr>
            </w:pP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(75,056)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(389,388)</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120" w:type="dxa"/>
            <w:vAlign w:val="bottom"/>
          </w:tcPr>
          <w:p>
            <w:pPr>
              <w:spacing w:after="0"/>
              <w:rPr>
                <w:sz w:val="24"/>
                <w:szCs w:val="24"/>
                <w:color w:val="auto"/>
              </w:rPr>
            </w:pP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2023 Convertible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8"/>
              </w:rPr>
              <w:t>Warrant</w:t>
            </w:r>
          </w:p>
        </w:tc>
        <w:tc>
          <w:tcPr>
            <w:tcW w:w="10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Earnout share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 w:type="dxa"/>
            <w:vAlign w:val="bottom"/>
          </w:tcPr>
          <w:p>
            <w:pPr>
              <w:spacing w:after="0"/>
              <w:rPr>
                <w:sz w:val="15"/>
                <w:szCs w:val="15"/>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  3,730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2023 convertible notes and related warrants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10,591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11,500</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8,166</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  33,398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56,101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Company’s convertible notes and related warrants outstanding as of December 31, 2024 were classified within level 3 of the fair value hierarchy because there was no active market for the liabilities or similar instruments.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82" w:right="4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three months ended March 31, 2025 or 2024.</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all then outstanding convertible notes and warrant liabilities were converted into shares of common stock (see Note 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Inventories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2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508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 in progress</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2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subject to United States federal and state taxes as well as other foreign income taxes.</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recorded a provision for income taxes of $0.2 million, which represented an effective tax rate of (0.1)% and (1.4)%, respectively. The effective income tax rates for both the three months ended March 31, 2025 and 2024 are different from the U.S. federal statutory rate of 21.0% due to the valuation allowance.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Convertible Notes and Demand Notes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Pay-to-Play Convertible Notes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December 2022, in connection with the Company’s 2022 Pay-to-Play (“P2P”) transaction (the “P2P Transaction”), the Company entered into a Note Purchase and Exchange Agreement (“2022 P2P NPA”) with a group of lenders (each, a “Lender” and collectively, the “Lenders”). In January and February of 2023, the Company received $9.3 million in proceeds from the issuance of P2P Notes. Amounts received in 2022 and 2023 are referred to collectively as the “P2P Notes” (see Note 15). Pursuant to the 2022 P2P NPA, each Lender will pay the Company an agreed upon amount (“Consideration”) in return for one or more promissory notes. The P2P Notes had an initial 24-month term from the date of the 2022 P2P NPA which is December 9, 2024.</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2022 P2P NPA provided that the P2P Notes would be converted upon the consummation of the Merger and that, at such time, all outstanding principal and unpaid accrued interest due on the P2P Notes shall be converted into common stock.</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elected to measure the P2P Notes in their entirety, for the respective period issued, at fair value with changes in fair value reported in a single line in the condensed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82"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discount rate aligned with the Company’s credit rating and the weighted average present value of each scenario used for the fair value of the P2P Notes. Upfront costs and fees related to items for which the fair value option is elected must be recognized immediately. As such issuance costs (warrants) and fees associated with the convertible notes were recognized in current earnings.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the 2022 P2P NPA, any existing investor that purchased any P2P Note, received the right to exchange the common stock held following the November 30, 2022 conversion event, for a number of shares of shadow preferred stock mirroring the respective classes of preferred stock held prior to the conversion (the “Pull-Through Exchange”), however, all Senior Series D shareholders received an automatic pull-through of their converted common stock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purchases P2P Notes representing less than its pro rata portion of the Insider Amount, such investors converted common stock remain as converted common stock for that portion equal to the shortfall in its pro-rata contribution. Additionally, investors in the P2P Notes also received warrants (the “P2P Warrants”) whose total exercise price is determined based on the timing of investment as well as the level of investor participation vis-à-vis each investor’s designated pro-rata portion.</w:t>
      </w:r>
    </w:p>
    <w:p>
      <w:pPr>
        <w:spacing w:after="0" w:line="188"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Proceeds received under the Offering totaled $0.1 million.</w:t>
      </w:r>
    </w:p>
    <w:p>
      <w:pPr>
        <w:spacing w:after="0" w:line="158"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as provided by the terms of the P2P notes, the outstanding P2P Notes were converted, at the discretion of the holders, to shares of common stock (see Note 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2023 Convertible Notes</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From July 2023 through November 2023, the Company raised $12.3 million in convertible notes (the “2023 Convertible Notes”) under the note purchase agreement dated July 3, 2023, as amended on August 1, 2023 to refine the valuation cap definition (the “2023 NPA”). The 2023 Convertible Notes accrued interest at 10.0% per annum.</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received $110.7 million in additional proceeds from the issuance of 10% secured convertible notes under the 2023 NPA. The 2023 NPA was amended and restated on April 22, 2024 to accommodate a new group of lenders, the “Final Closing Lenders”,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In addition, the per share exercise price of the related 2023 Convertible Note Warrants upon a SPAC Transaction was amended to $11.50.</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the April 22, 2024 amendment, the convertible notes were subject to automatic conversion upon the consummation of a SPAC Transaction.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Investors in these secured convertible notes also received warrants to purchase equity shares of the Company.</w:t>
      </w:r>
    </w:p>
    <w:p>
      <w:pPr>
        <w:spacing w:after="0" w:line="207"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Of the $110.7 million in proceeds received during the year ended December 31, 2024, $11.5 million was received from BurTech (see Note 1), $2.4 million from miscellaneous parties, and $96.8 million from a separate third-party group of investors (the “RT Parties”) in connection with an agreement to provide convertible note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00"/>
          </w:cols>
          <w:pgMar w:left="320" w:top="482" w:right="4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financing of up to $125.0 million (the “Blaize Note Financing Agreement”). Under this separate agreement, the RT Parties and their transferees or distributes were not required to execute any lock-up or similar agreement restricting transfer or disposition of all shares of common stock of Blaize issuable upon the conversion of the notes, all Company shares issuable upon the exercise of warrants issued to the RT Parties as well as all securities of New Blaize to be issued to the RT Parties upon consummation of the Merger.</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elected to measure the 2023 Convertible Notes in their entirety at fair value with changes in fair value reported in a single line in the condensed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w:t>
      </w:r>
    </w:p>
    <w:p>
      <w:pPr>
        <w:spacing w:after="0" w:line="187"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Upfront costs and fees related to items for which the fair value option is elected must be recognized immediately. As such issuance costs (warrants) and fees associated with the convertible notes were recognized in earnings in the years that they were issued.</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One investor who purchased a 2023 Convertible Note also received an RSU grant for a total of 6,000,000 RSUs (see Note 15) which vested in full in the year ended December 31, 2023.</w:t>
      </w:r>
    </w:p>
    <w:p>
      <w:pPr>
        <w:spacing w:after="0" w:line="16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Upon the consummation of the Merger, as provided by the terms of the 2023 Convertible Note Agreement, the outstanding 2023 Convertible Notes were converted, at the discretion of the holders, to shares of common stock (see Note 3). The warrants issued in conjunction with the 2023 Convertible Notes were not exercised.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February 1, 2023, BurTech issued an unsecured convertible promissory note to BurTech LP (the “Working Capital Loan”), pursuant to which it borrowed $1.5 million for general corporate purposes. Such loan may, at BurTech LP’s discretion, be converted into shares of common stock, the number of shares of which will be determined by dividing the sum of the outstanding principal amount by $10.00. The Working Capital Loan will not bear interest and will be repayable, if not converted or repaid on the effective date of the Merger. The maturity date of the Working Capital Loan may be accelerated upon the occurrence of an event of default (as defined under the Working Capital Loan). As of March 31, 2025 and December 31, 2024, the Company had outstanding Working Capital Loans of $1.5 million and zero, respectively.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Advances from Related Party</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As of January 13, 2025, BurTech LP provided working capital and extension deposits on behalf of the BurTech. These amounts are reflected on the condensed consolidated balance sheets as advances from related party. The advances are non-interest bearing and payable on demand. As of March 31, 2025 and December 31, 2024, the Company had outstanding advances from the related party in the amount of $2.9 million and zero,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Warrants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Blaize Warrant Liabilities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Company’s various historical debt and equity financing arrangements, the Company issued convertible preferred stock warrants to purchase shares of its various series of convertible preferred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82" w:right="4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convertible preferred stock warrants were classified as liabilities, with changes in fair value recorded through earnings, as the underlying convertible preferred shares can be redeemed by the holders of these shares upon the occurrence of certain events that are outside of our control. As of December 31, 2024, the Company had outstanding warrant liabilities of $14.7 million.</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Immediately prior to the consummation of the Merger, each issued and outstanding convertible preferred stock warrant to purchase Legacy Blaize convertible preferred stock converted into a warrant to purchase shares of common stock (see Note 3), with each warrant subject to the same terms and conditions as were applicable to the original warrant and having an exercise price and number of shares of common stock purchasable based on the Exchange Ratio and other terms contained in the Merger Agreement (the “Private Warrants Conversion”).</w:t>
      </w:r>
    </w:p>
    <w:p>
      <w:pPr>
        <w:spacing w:after="0" w:line="180"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After the Private Warrants Conversion, the Private Warrants are indexed to the shares of Company’s common stock, and therefore were reclassified from debt classified instruments to equity classified instruments.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Publicly and Privately Traded Warrants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BurTech’s 28,750,000 public warrants and 898,250 private warrants outstanding immediately prior to the Merger became warrants of Blaize.</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Each warrant entitles the holder to purchase one share of common stock at a price of $11.50 per share, subject to adjustments as described herein. The warrants expire at 5:00 p.m., New York City time on the warrant expiration date, which is five years after the completion of the Merger, or earlier upon redemption or liquidation.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may redeem the outstanding warrants:</w:t>
      </w:r>
    </w:p>
    <w:p>
      <w:pPr>
        <w:spacing w:after="0" w:line="131" w:lineRule="exact"/>
        <w:rPr>
          <w:sz w:val="20"/>
          <w:szCs w:val="20"/>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warrants become exercisable (the “30-day redemption period”) to each warrant holder;</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as described below, by (y) the fair market value. The “fair market value” shall mean the average reported last sale price of the shares of common stock for the five trading days ending on the third trading day prior to the date on which the notice of redemption is sent to the holders of warrants.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00"/>
          </w:cols>
          <w:pgMar w:left="320" w:top="482" w:right="4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Private Warrants, as well as any warrants underlying additional units we issue to BurTech, officers, directors, initial stockholders or their affiliates in payment of working capital loans made to the Company, will be identical to the warrants underlying the units offered in the initial public offering, except were will not be transferable, assignable or saleable until 30 days after the consummation of the Merger.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In February 2025, the Company issued 50,000 common stock warrants to advisors as compensation for services rendered. The warrants have a five-year term and a strike price of $11.50 per common stock share. The warrants were fair valued as of the date of issuance and recognized as an increase in additional paid-in-capital. The compensation expense recognized during the three months ended March 31, 2025 was approximately $12 thousand.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assumptions used in the Black-Scholes option pricing model to fair value the common stock warrants were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464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00" w:type="dxa"/>
            <w:vAlign w:val="bottom"/>
            <w:tcBorders>
              <w:bottom w:val="single" w:sz="8" w:color="CCEEFF"/>
            </w:tcBorders>
          </w:tcPr>
          <w:p>
            <w:pPr>
              <w:spacing w:after="0"/>
              <w:rPr>
                <w:sz w:val="15"/>
                <w:szCs w:val="15"/>
                <w:color w:val="auto"/>
              </w:rPr>
            </w:pPr>
          </w:p>
        </w:tc>
      </w:tr>
      <w:tr>
        <w:trPr>
          <w:trHeight w:val="20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common stock</w:t>
            </w:r>
          </w:p>
        </w:tc>
        <w:tc>
          <w:tcPr>
            <w:tcW w:w="18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3.34</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the net lease cost reflected in the Company’s condensed consolidated statements of operations were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4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8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Short-term</w:t>
            </w: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2025, the Company’s operating leases had a weighted average remaining lease term of 3.1 years and a weighted average discount rate related to the Company’s right-of-use (“ROU”) assets and lease liabilities of 10.0%. As of December 31, 2024, the Company’s operating leases had a weighted average remaining lease term of 3.2 years and a weighted average discount rate related to the Company’s right-of-use assets and lease liabilities of 9.9%.</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00"/>
          </w:cols>
          <w:pgMar w:left="320" w:top="482" w:right="47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Supplemental information related to operating leases was as follows:</w:t>
      </w:r>
    </w:p>
    <w:p>
      <w:pPr>
        <w:spacing w:after="0" w:line="246"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5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54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202</w:t>
            </w:r>
          </w:p>
        </w:tc>
        <w:tc>
          <w:tcPr>
            <w:tcW w:w="6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192</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Future minimum lease payments under the Company’s non-cancelable operating leases are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0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4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of March 31, 2025</w:t>
            </w:r>
          </w:p>
        </w:tc>
      </w:tr>
      <w:tr>
        <w:trPr>
          <w:trHeight w:val="209"/>
        </w:trPr>
        <w:tc>
          <w:tcPr>
            <w:tcW w:w="60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CEEFF"/>
          </w:tcPr>
          <w:p>
            <w:pPr>
              <w:spacing w:after="0"/>
              <w:rPr>
                <w:sz w:val="18"/>
                <w:szCs w:val="18"/>
                <w:color w:val="auto"/>
              </w:rPr>
            </w:pP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5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net future minimum lease payments</w:t>
            </w:r>
          </w:p>
        </w:tc>
        <w:tc>
          <w:tcPr>
            <w:tcW w:w="5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5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(542)</w:t>
            </w: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 non-current</w:t>
            </w: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Redeemable Convertible Preferred Stock Prior to the Merger</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the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a pull-through exchange of their converted common stock which provided for participating shareholders to receive shares of the class(es) of Shadow Preferred Stock identical to the shares of preferred stock that they previously held. Investors who did not participate, retained ownership only in converted common stock.</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the redeemable convertible preferred stock that was outstanding at the time of the Merger was converted into shares of common stock (see Note 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12.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there were 600,000,000 and 136,562,809 shares of common stock authorized, respectively, and 98,818,874 and 48,376,052 shares issued and outstanding, respectively.</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receive dividends whenever funds are legally available and when declared by the Board of Directors, subject to the priority rights of holders of all series of Preferred Stock outstanding. Holders of common stock are entitled to one vote for each share of common stock held at all meetings of stockholders.</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0960"/>
          </w:cols>
          <w:pgMar w:left="320" w:top="482" w:right="6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Common stock reserved for issuance is as follow:</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54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r>
      <w:tr>
        <w:trPr>
          <w:trHeight w:val="209"/>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Public warrants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8"/>
                <w:szCs w:val="18"/>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warrants</w:t>
            </w: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898,250</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warrants</w:t>
            </w:r>
          </w:p>
        </w:tc>
        <w:tc>
          <w:tcPr>
            <w:tcW w:w="17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50,000</w:t>
            </w: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Earnout shares</w:t>
            </w: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2,854,242</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Incentive stock options and restricted stock units</w:t>
            </w:r>
          </w:p>
        </w:tc>
        <w:tc>
          <w:tcPr>
            <w:tcW w:w="17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29,192,959</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31,991,752</w:t>
            </w:r>
          </w:p>
        </w:tc>
      </w:tr>
      <w:tr>
        <w:trPr>
          <w:trHeight w:val="223"/>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awards available for future issuance</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23,942</w:t>
            </w:r>
          </w:p>
        </w:tc>
        <w:tc>
          <w:tcPr>
            <w:tcW w:w="7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1,736,686</w:t>
            </w:r>
          </w:p>
        </w:tc>
        <w:tc>
          <w:tcPr>
            <w:tcW w:w="40" w:type="dxa"/>
            <w:vAlign w:val="bottom"/>
          </w:tcPr>
          <w:p>
            <w:pPr>
              <w:spacing w:after="0"/>
              <w:rPr>
                <w:sz w:val="19"/>
                <w:szCs w:val="19"/>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common stock reserved for issuance</w:t>
            </w:r>
          </w:p>
        </w:tc>
        <w:tc>
          <w:tcPr>
            <w:tcW w:w="17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61,769,393</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33,728,438</w:t>
            </w:r>
          </w:p>
        </w:tc>
      </w:tr>
      <w:tr>
        <w:trPr>
          <w:trHeight w:val="20"/>
        </w:trPr>
        <w:tc>
          <w:tcPr>
            <w:tcW w:w="5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periods prior to the Merger, the reported share and per share amounts have been retroactively converted by applying the exchange ratio.</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recorded stock-based compensation expense for stock options and RSUs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0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5,065</w:t>
            </w:r>
          </w:p>
        </w:tc>
        <w:tc>
          <w:tcPr>
            <w:tcW w:w="1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11,040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Award Plans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January 2025, the Company’s board of directors approved, and the Company adopted the 2025 Incentive Award Plan (the “2025 Incentive Plan”), replacing the historical 2011 Amended Stock Plan. The 2025 Incentive Plan became effective on January 13, 2025. The 2025 Incentive Plan provides for the grant of stock options (both incentive stock options and non-qualified stock options), stock appreciation rights, restricted stock, RSUs and other stock or cash based awards to employees and consultants of the Company and its subsidiaries and members of the board of directors of the Company.</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2025 Incentive Plan, stock options, including incentive stock options (“ISOs”), may be granted to employees at exercise prices not lower than the fair value of the stock as of the date of grant. For ISOs granted to a person whom, at the time of the grant, owns stock representing more than 10% of the total combined voting power of all classes of our stock, the per share exercise price must be no less than 110% of the fair value on the date of the grant as determined by the Board.</w:t>
      </w:r>
    </w:p>
    <w:p>
      <w:pPr>
        <w:spacing w:after="0" w:line="180" w:lineRule="exact"/>
        <w:rPr>
          <w:sz w:val="20"/>
          <w:szCs w:val="20"/>
          <w:color w:val="auto"/>
        </w:rPr>
      </w:pPr>
    </w:p>
    <w:p>
      <w:pPr>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The Company recognizes compensation expense for service-based options on a straight-line basis over the requisite service period of all employees or non-employees, which is the award’s vesting term, generally over four years. The Company accounts for forfeitures when they occur.</w:t>
      </w:r>
    </w:p>
    <w:p>
      <w:pPr>
        <w:spacing w:after="0" w:line="7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000"/>
          </w:cols>
          <w:pgMar w:left="320" w:top="482" w:right="57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Under the 2025 Incentive Plan, RSUs are unfunded, unsecured rights to receive, on the applicable settlement date, shares of common stock or an amount in cash, or a combination thereof, as determined by the Administrator, subject to vesting conditions, which may include continued employment or service, or the achievement of performance criteria established by the Administrator.</w:t>
      </w:r>
    </w:p>
    <w:p>
      <w:pPr>
        <w:spacing w:after="0" w:line="176" w:lineRule="exact"/>
        <w:rPr>
          <w:sz w:val="20"/>
          <w:szCs w:val="20"/>
          <w:color w:val="auto"/>
        </w:rPr>
      </w:pPr>
    </w:p>
    <w:p>
      <w:pPr>
        <w:jc w:val="both"/>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no equity awards have been granted under the 2025 Incentive Plan and 25,397,242 shares of common stock were reserved for issuance under the plan.</w:t>
      </w:r>
    </w:p>
    <w:p>
      <w:pPr>
        <w:spacing w:after="0" w:line="162"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Following the effectiveness of the 2025 Incentive Plan, the Company ceased making grants under the 2011 Equity Incentive Plan (the “2011Amended Plan”) and all remaining unissued shares were retired. However, the 2011 Amended Plan continues to govern the terms and conditions of the outstanding awards granted under it. Shares of common stock subject to the awards granted under the 2011 Plan that cease to be subject to such awards by forfeiture or otherwise after the termination of the 2011 Amended Plan will be retired and no longer be available for issuance.</w:t>
      </w:r>
    </w:p>
    <w:p>
      <w:pPr>
        <w:spacing w:after="0" w:line="16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the 2011 Amended Plan, we issued RSUs, which vested upon the satisfaction of both the service-based condition and a liquidity event condition. The liquidity event condition for the RSUs was satisfied upon the occurrence of a qualifying event, defined specifically in the equity documents, and generally refer to the earlier of a specified period of time subsequent to an initial public offering or an acquisition, in all cases prior to the expiration date of the award (see Note 3).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 or the expiration date of the award. The RSUs expired as defined by the individual RSU grant, generally the earlier of (i) the first anniversary or second anniversary of terminated service, for 2023 and prior grants, respectively, for any reason and (ii) expire date defined as the fifth anniversary of the date of grant. The fair value of RSUs was determined based on the estimated fair value of shares of common stock at the date of grant, as determined by the Board of Directors.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stock option activity under the 2011 Amended Plan is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life</w:t>
            </w: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28,360,635</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9.2</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(318,400)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1.18</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28,042,235</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1.27</w:t>
            </w:r>
          </w:p>
        </w:tc>
        <w:tc>
          <w:tcPr>
            <w:tcW w:w="13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30,225</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as of March 31, 2025</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line="20" w:lineRule="exact"/>
              <w:rPr>
                <w:sz w:val="1"/>
                <w:szCs w:val="1"/>
                <w:color w:val="auto"/>
              </w:rPr>
            </w:pP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30,225</w:t>
            </w: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28,042,235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March 31, 2025</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8,472,388</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1.87</w:t>
            </w:r>
          </w:p>
        </w:tc>
        <w:tc>
          <w:tcPr>
            <w:tcW w:w="13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there was approximately $19.0 million of total unrecognized compensation cost related to unvested stock options, which is expected to be recognized over a weighted average period of 2.3 years.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060"/>
          </w:cols>
          <w:pgMar w:left="320" w:top="482" w:right="5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option-pricing model to determine the grant-date fair value of stock options. The determination of the fair value of stock options on the grant date is affected by the estimated underlying common stock price, as well as assumptions regarding a number of complex and subjective variables. These variables include expected stock price volatility over the term of the awards, actual and projected employee stock option exercise behaviors, risk-free interest rates, and expected dividends. There were no stock options granted during the three months ended March 31, 2025.</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the Company’s RSU activity issued under the 2011 Amended Plan is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740" w:type="dxa"/>
            <w:vAlign w:val="bottom"/>
            <w:gridSpan w:val="3"/>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w w:val="99"/>
              </w:rPr>
              <w:t>RSUs Awarded</w:t>
            </w:r>
          </w:p>
        </w:tc>
        <w:tc>
          <w:tcPr>
            <w:tcW w:w="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3,630,447</w:t>
            </w: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(2,464,171)</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(15,552)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Nonvested as of March 31, 2025</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1,150,724</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Immediately prior to the consummation of the Merger, the RSUs had both a service-based condition and a liquidity event condition. The liquidity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event condition was only satisfied on the consummation of a liquidity event, such as an IPO, which was not determinable or probable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2024. Effective with the consummation of the Merger, we recognized $3.9 million in stock-based compensation expense associated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vesting of the outstanding RSUs (see Note 3).</w:t>
      </w:r>
    </w:p>
    <w:p>
      <w:pPr>
        <w:spacing w:after="0" w:line="20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the 2,464,171 common stock shares that are subject to the release of the vested RSU have not been issued holders but have been included in the weighted average shares outstanding calculation for purposes of earning per share (see Note 17).</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there was approximately $1.0 million of total unrecognized compensation cost related to unvested RSUs, which is expected to be recognized over a weighted average period of 0.8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January 2025, the Company’s board of directors adopted the 2025 Employee Stock Purchase Plan (the “2025 ESPP”) that became effective upon the date of the de-SPAC in order to enable eligible employees to purchase shares of common stock with accumulated payroll deductions. The 2025 ESPP is intended to qualify under Section 423 of the Internal Revenue Code, as amended. Under the 2025 ESPP, eligible employees are offered the option to purchase share of common stock at a discount over a series of offering periods. Each offering period may consist of one or more purchase periods. The purchase price for shares of common stock purchased under the 2025 ESPP will be 85% of the lesser of the fair market value of shares of common stock on (i) the first trading day of the applicable offering period or (ii) the last trading day of each purchase period in the applicable offering period.</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3,047,669 shares of common stock were reserved for issuance pursuant to the 2025 ESPP. As of March 31, 2025, no offers have been made to purchase shares of the Company’s common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82"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outstanding purchase orders and contractual obligations totaling $0.3 million to procure inventory. The majority of the Company’s outstanding inventory purchase orders and preauthorized commitments to procure strategic components based on expected demand are placed with its primary third-party contract manufacturer and a semiconductor supplier.</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 has an obligation to purchase inventories that have been purchased by the contract manufacturer when components have not been consumed within a period defined in the terms of our agreement. During the three months ended March 31, 2025 and 2024, the Company purchased inventories of $0.1 million and $3.3 million, respectively, due to this obligation.</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While the Company expects such purchased components to be used in future production of its finished goods, these components are considered in its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may not be recoverable, the loss is probable and management has the ability to reasonably estimate the amount of the loss. As of March 31, 2025 and December 31, 2024, the liability balance of our accrued losses on purchase commitments equaled $0.6 million on the condensed consolidated balance sheets.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From time to time, the Company may become involved in claims or other legal matters arising in the ordinary course of business. The Company records accruals for outstanding legal proceedings when it is probable a liability will be incurred, and the amount of loss can be reasonably estimated.</w:t>
      </w:r>
    </w:p>
    <w:p>
      <w:pPr>
        <w:spacing w:after="0" w:line="14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September 9, 2024, BurTech entered into an Advisory Services Engagement Letter with Jefferies to serve as its exclusive capital markets advisor in connection with the contemplated Merger involving Legacy Blaize (the “Jefferies Engagement Letter”), pursuant to which Jefferies would be eligible for a fee of $4,500,000 contingent upon the closing of the Merger and for reimbursement of expenses up to $500,000.</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On April 7, 2025, Jefferies commenced a lawsuit against the Company in the Supreme Court of the State of New York, County of New York, seeking summary judgment in lieu of complaint. The lawsuit alleges that pursuant to the Jefferies Engagement Letter, Jefferies was entitled to receive a fee of $4,500,000 conditional on the Closing of the Merger, with the option for the Company to defer up to $1,000,000 of this fee for up to 12 months post-closing, and $500,000 in reimbursable expenses. Jefferies alleges that as of March 31, 2025, no fees have been paid to Jefferies under the Jefferies Engagement Letter. Jefferies seeks $3,500,000 for its fees, as well as $500,000 in expense reimbursement, as well as pre-and post-judgment interest and attorneys’ fees and legal costs incurred in connection with the lawsuit. The Company has retained counsel and intends to vigorously defend the litigation. Although the outcome of this matter cannot be predicted with certainty, based on the existing facts and circumstances the Company has recorded estimated liabilities of $4,950,000 on the condensed consolidated balance sheets as of March 31, 2025, of which $3,950,000 is included in accounts payable and $1,000,000 is included in accrued expenses and other current liabilities. These estimated liabilities reflect management’s assessment of the Company’s potential exposure from the Jefferies Engagement Letter based on its contracted fees. The resolution of this matter could differ materially from the amount currently recorded. The Company continues to evaluate the matter as it progresses and will adjust the estimated liabilities if and when additional information becomes available that indicates a different outcome is probable and reasonably estimable.</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00"/>
          </w:cols>
          <w:pgMar w:left="320" w:top="482" w:right="4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Advisor Agreements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October through December of 2024, the Company entered into various advisor agreements related to business development and strategy, and for new revenue contracts, in new geographical markets. Compensation for services, pending approval by the Company’s Board of Directors, is in the form of restricted stock units following the filing of a registration statement subsequent to the Merger consummation to register such shares, and subject to the advisors continued service on the applicable grant date.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December 2024, the Company entered into an agreement for capital market services which included advisory services and a finder’s fee, for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which payment was due upon the close of the Merger (see Note 3). Under the terms of the agreement, at the Company’s discretion, the advisory fee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$0.8 million is to be paid in the form of (i) cash and (ii) cash or a combination of cash and shares of common stock of common stock at a price of $10.00</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 share at various dates in 2025. The finder’s fee, equal to a specified percentage of the trust value of our shares held by investors introduced by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advisor, is to be paid fifty percent in cash and fifty percent in shares of common stock at a price of $10.00 per share, concurrent with the close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Merger. The Company recognized $0.6 million associated with the contract as deferred offering costs and accrued liabilities for the year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2024. On the earlier of the date that is six months from the date of the Merger and the date that a Registration Statement filed with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 registering the resale of the closing shares is declared effective (the “Reset Date”), if the five day volume weighted average price of common stock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five trading days immediately preceding the Reset Date (such price, the “Reset Price”) is less than $10.00 per share (subject to a $1.00 per share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floor), within two days we shall issue an additional number of common shares equal to the number obtained by dividing (i) the product of the number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held as of the Reset Date and $10.00 by (ii) the Reset Price, less the number of sharing shares held, provided that the additional shares shall not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exceed 300,000.</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15. Related Party Transactions and Balances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recognized no revenue from sales to minority stockholders. During the three months ended March 31, 2024, the Company recognized revenues of approximately $0.5 million, or approximately 100% of its total revenue, from sales to two minority stockholders.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2025 and December 31, 2024, there was no accounts receivable due from these customers.</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2023, we issued a convertible note in the amount of $5.0 million or 41% of the total 2023 Convertible Note proceeds raised in 2023 to a related party investor holding more than a 10% ownership our outstanding stock. This related party investor also has a representative serving on our Board of Directors. In accordance with the terms of the 2023 Convertible Note NPA, the investor also received 2023 Convertible Note Warrants for no additional consideration resulting in the allocation of proceeds between the 2023 Convertible Note and the 2023 Convertible Note Warrants (see Note 9). The 2023 Convertible Note and 2023 Convertible Note Warrants held by this investor were subject to the adjustments in fair value. As of December 31, 2024, the related party 2023 Convertible Note and 2023 Convertible Note Warrants approximated $6.9 million and $8.0 million, respectively. Upon consummation of the Merger, this related party’s 2023 Convertible Note and 2023 Convertible Warrants were converted into shares of common stock (see Note 3). During the three months ended March 31, 2025 and 2024, the changes in fair value for the respective 2023 Convertible Note were</w:t>
      </w:r>
    </w:p>
    <w:p>
      <w:pPr>
        <w:spacing w:after="0" w:line="1" w:lineRule="exact"/>
        <w:rPr>
          <w:sz w:val="20"/>
          <w:szCs w:val="20"/>
          <w:color w:val="auto"/>
        </w:rPr>
      </w:pPr>
    </w:p>
    <w:p>
      <w:pPr>
        <w:ind w:left="120" w:right="420"/>
        <w:spacing w:after="0" w:line="260" w:lineRule="auto"/>
        <w:rPr>
          <w:sz w:val="20"/>
          <w:szCs w:val="20"/>
          <w:color w:val="auto"/>
        </w:rPr>
      </w:pPr>
      <w:r>
        <w:rPr>
          <w:rFonts w:ascii="Times New Roman" w:cs="Times New Roman" w:eastAsia="Times New Roman" w:hAnsi="Times New Roman"/>
          <w:sz w:val="18"/>
          <w:szCs w:val="18"/>
          <w:color w:val="auto"/>
        </w:rPr>
        <w:t>$6.0 million and $0.9 million, respectively (see Note 5). During the three months ended March 31, 2025 and 2024, the changes in fair value for the respective 2023 Convertible Note Warrants were $1.2 million and less than $0.1 million, respectively (see Note 5).</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20"/>
          </w:cols>
          <w:pgMar w:left="320" w:top="482"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January 2023, one of the minority investors with which we had a prior revenue arrangement, with no revenue in the three months ended March 31, 2025 and 2024, also invested in a P2P Note in the amount of $3.3 million or 35% of the total P2P proceeds raised in 2023 (see Note 8).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related party P2P Note and P2P Warrants approximated $4.2 million. Effective January 13, 2025, this related party’s respective P2P Note and P2P Warrants were converted into common stock in connection with the Merger (see Note 3). During the three months ended March 31, 2025 and 2024, the change in fair value for the respective P2P Note was $7.2 million and less than</w:t>
      </w:r>
    </w:p>
    <w:p>
      <w:pPr>
        <w:spacing w:after="0" w:line="3" w:lineRule="exact"/>
        <w:rPr>
          <w:sz w:val="20"/>
          <w:szCs w:val="20"/>
          <w:color w:val="auto"/>
        </w:rPr>
      </w:pPr>
    </w:p>
    <w:p>
      <w:pPr>
        <w:ind w:left="120" w:right="620"/>
        <w:spacing w:after="0" w:line="260" w:lineRule="auto"/>
        <w:rPr>
          <w:sz w:val="20"/>
          <w:szCs w:val="20"/>
          <w:color w:val="auto"/>
        </w:rPr>
      </w:pPr>
      <w:r>
        <w:rPr>
          <w:rFonts w:ascii="Times New Roman" w:cs="Times New Roman" w:eastAsia="Times New Roman" w:hAnsi="Times New Roman"/>
          <w:sz w:val="18"/>
          <w:szCs w:val="18"/>
          <w:color w:val="auto"/>
        </w:rPr>
        <w:t>$0.1 million, respectively (see Note 5). During the three months ended March 31, 2025 and 2024, the change in fair value for the respective P2P Warrants was $3.3 million and $0.5 million, respectively (see Note 5).</w:t>
      </w:r>
    </w:p>
    <w:p>
      <w:pPr>
        <w:spacing w:after="0" w:line="18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In December 2022, one of the minority stockholders with which we had a prior revenue arrangement, representing approximately 0% and approximately 100% of total revenues for the three months ended March 31, 2025 and 2024, and 0% and 98% of accounts receivable as of March 31, 2025 and December 31, 2024, respectively, also invested in a P2P Note in the amount of $0.4 million, or 13% of the total P2P proceeds raised in 2022 (see Note 8).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fair value of the related party P2P Note and P2P Warrants approximated $0.5 million and zero, respectively. Effective January 13, 2025, this related party’s respective 2022 P2P Note and P2P Warrants were converted into common stock in connection with the Merger (see Note 3). During the three months ended March 31, 2025, the changes in fair value for this set of P2P Note and P2P Note Warrants was $0.8 million and $0.2 million, respectively (see Note 5). During the three months ended March 31, 2024, the change in fair value for this set of P2P Note and P2P Note Warrants was immaterial (see Note 5).</w:t>
      </w:r>
    </w:p>
    <w:p>
      <w:pPr>
        <w:spacing w:after="0" w:line="19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Merger, BurTech LP, previously the Sponsor of BurTech, issued a secured promissory note and pledge agreement to BurTech in the principal amount of approximately $8.8 million, bearing an interest rate of 7% with annual compounding, compounded on December 31 each year. Pursuant to this promissory note, BurTech LP agreed to pay certain of the transaction expenses (as defined in the Merger Agreement) of BurTech. As consideration for this promissory note, the Company issued 750,000 shares of common stock to BurTech LP. BurTech LP is obligated to pay the related transaction expenses set forth in the note within ninety days after the date that the shares have been registered for resale under the Securities Act. As of March 31, 2025, payment in the note had not yet been received.</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incurred $0.2 million and zero, respectively, of marketing expenses paid to a company owned by a direct family member of one of our minority stockholders and board of directors.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2025, the Company has amounts due for a Working Capital Loan and advances from a related party (see Note 8).</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16. Segment Reporting</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reportable segment, and manages the business and evaluates financial performance on a consolidated basis. The CODM regularly receives and reviews consolidated financial results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20"/>
          </w:cols>
          <w:pgMar w:left="320" w:top="482"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focusing primarily on revenue, costs and expenses, and net loss from the consolidated statements of operations to make decisions regarding the allocation of resources and assessment of performance.</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has determined that net loss and earnings before interest, tax, depreciation and amortization (“EBITDA”) adjusted for irregular or non-recurring items (“Adjusted EBITDA”) are the profit or loss measures that the CODM uses to make resource allocation decisions and evaluate segment performance. Adjusted EBITDA assists management in comparing the performance on a consistent basis for purposes of business decision-making by removing the impact of certain items that management believes do not directly reflect our core operations and, therefore, are not included in measuring performance. The Company defines Adjusted EBITDA as net loss before interest, taxes, depreciation and amortization, certain non-cash items and other adjustments that we do not consider in our evaluation of ongoing operating performance from period to period.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loss is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5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Borders>
              <w:bottom w:val="single" w:sz="8" w:color="CCEEFF"/>
            </w:tcBorders>
            <w:vMerge w:val="continue"/>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costs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(5,700)</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Technology costs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interest (income)/expense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(109,530)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(8,166)</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segment items (a)</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(2,278)</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(147,761)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(16,743)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60" w:hanging="424"/>
        <w:spacing w:after="0" w:line="282"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includes marketing expense, professional fees, income tax expense, facilities costs, foreign currency exchange gains and losses, credit loss expense, and other overhead expenses</w:t>
      </w:r>
    </w:p>
    <w:p>
      <w:pPr>
        <w:spacing w:after="0" w:line="16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reflects our Adjusted EBITDA:</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20" w:type="dxa"/>
            <w:vAlign w:val="bottom"/>
            <w:tcBorders>
              <w:bottom w:val="single" w:sz="8" w:color="CCEEFF"/>
            </w:tcBorders>
            <w:vMerge w:val="continue"/>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(147,761)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(16,743)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expenses, net</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109,578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(7,884)</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non-recurring expenses (a)</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(15,380)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(7,527)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line="266"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but not limited to, legal, accounting and consulting fees incurred in connection with the Merger. These costs are non-recurring and are not reflective of our ongoing operating performance. Management believes that excluding these costs provides a more meaningful comparison of our performance to prior periods.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000"/>
          </w:cols>
          <w:pgMar w:left="320" w:top="482" w:right="5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condensed consolidated balance sheet as total consolidated assets. Long-lived and ROU assets were located as follows: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8"/>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42"/>
        </w:trPr>
        <w:tc>
          <w:tcPr>
            <w:tcW w:w="52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Fixed Assets</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ROU Assets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Fixed Assets</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ROU Assets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8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913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Kingdom</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3"/>
        </w:trPr>
        <w:tc>
          <w:tcPr>
            <w:tcW w:w="52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17. Net Loss Per Share</w:t>
            </w: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26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80" w:type="dxa"/>
            <w:vAlign w:val="bottom"/>
            <w:gridSpan w:val="7"/>
          </w:tcPr>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dilutive net loss per share: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 except share and per share amounts)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12"/>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(147,761)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   (16,743)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60" w:type="dxa"/>
            <w:vAlign w:val="bottom"/>
            <w:gridSpan w:val="5"/>
          </w:tcPr>
          <w:p>
            <w:pPr>
              <w:ind w:left="360"/>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outstanding, basic and</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6"/>
              </w:rPr>
              <w:t>91,747,685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13,613,270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Net loss per share calculations and potentially dilutive security amounts for all periods prior to the closing of the Merger have been retrospectively adjusted to the equivalent number of shares outstanding immediately after the Merger to effect the reverse recapitalization. Historically reported weighted average shares outstanding have been multiplied by the Exchange Ratio of approximately 0.78.</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calculation of diluted net loss per share attributable to common shareholders for the periods presented because the impact of including them would have been anti-dilutive:</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52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84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2"/>
                <w:szCs w:val="12"/>
                <w:color w:val="auto"/>
              </w:rPr>
            </w:pPr>
          </w:p>
        </w:tc>
      </w:tr>
      <w:tr>
        <w:trPr>
          <w:trHeight w:val="209"/>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options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28,042,235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12,819,685</w:t>
            </w:r>
          </w:p>
        </w:tc>
        <w:tc>
          <w:tcPr>
            <w:tcW w:w="60" w:type="dxa"/>
            <w:vAlign w:val="bottom"/>
            <w:shd w:val="clear" w:color="auto" w:fill="CCEEFF"/>
          </w:tcPr>
          <w:p>
            <w:pPr>
              <w:spacing w:after="0"/>
              <w:rPr>
                <w:sz w:val="18"/>
                <w:szCs w:val="18"/>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stock units</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1,150,724</w:t>
            </w:r>
          </w:p>
        </w:tc>
        <w:tc>
          <w:tcPr>
            <w:tcW w:w="3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3,801,970</w:t>
            </w: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warrants</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Public warrants</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28,750,000</w:t>
            </w:r>
          </w:p>
        </w:tc>
        <w:tc>
          <w:tcPr>
            <w:tcW w:w="3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warrants</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898,250</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58,891,209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16,621,655</w:t>
            </w:r>
          </w:p>
        </w:tc>
        <w:tc>
          <w:tcPr>
            <w:tcW w:w="6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18. Employee Benefit Plan</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 401(k) plan is provided that covers substantially all employees in the US meeting certain age and service requirements. The Company makes discretionary contributions to the 401(k) plan. The Company operates 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00"/>
          </w:cols>
          <w:pgMar w:left="320" w:top="482" w:right="47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defined contribution pension scheme in the UK for employees and makes employer contributions to this scheme on behalf of those employees. The Company recorded $0.2 million and $0.1 million in contributions to both plans during the three months ended March 31, 2025 and 2024, respectively.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Employee Benefits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Company provides its employees in India an opportunity to participate in a long term defined benefits plan, and the liability the Company bears for providing this benefit is determined through an actuarial valuation at each reporting date. The benefit plan provides for lump sum payments to vested employees on retirement, death while in service or on termination of employment for an amount equivalent to 15 days of basic salary for each completed year of service. Vesting occurs upon completion of five years of service. The present value of such obligation is determined by the projected unit credit method and adjusted for past service cost and fair value of plan assets as at the balance sheet date through which the obligations are to be settled. The actuarial gain or loss on change in present value of the defined benefit obligation or change in return of the plan assets is recognized as an income or expense in the condensed consolidated statement of operations. The expected return on plan assets is based on the assumed rate of return of such assets. As of March 31, 2025 and December 31, 2024, the related liability is included within accrued compensation on the condensed consolidated balance sheets.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on which these condensed consolidated financial statements were available to be issued, and determined that the following subsequent events, other than those disclosed elsewhere in the condensed consolidated financial statements, are reportable: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April 11, 2025, the Company entered into an advisory agreement for future services. The terms of the agreement require a non-refundable advisory fee of $2.0 million paid upon execution of the contract in the form of 769,231 shares of common stock (the “Fee Shares”). The Fee Shares are subject to a one-year lock up provision (the “Lock-Up Period”) which expires the earlier of one year from the date of the agreement or the date of a change of control as defined in the agreement. Prior to the expiration of the lock-up period, the advisor may sell the common stock shares back to us or an affiliate as defined in Rule 405 under the Securities Act. The Fee Shares subject to the lock-up provision are subject to adjustment if the dollar volume-weighted average price for the Company’s common stock (“VWAP”) 20 out of any 30 trading Days is at least $7.00 per share, then the Lock-Up Period shall be terminated with respect to fifty percent of the shares to be issued for the fee. Furthermore, if the VWAP of the common stock for 20 out of any 30 Trading Days is at least $10.00 per share, then the Lock-Up Period shall be terminated with respect to the other fifty percent of the Fee Shares, rounded up.</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20"/>
          </w:cols>
          <w:pgMar w:left="320" w:top="482"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 Shareholders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Blaize, Inc. and Subsidiaries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Blaize, Inc. and Subsidiaries (the “Company”) as of December 31, 2024 and 2023, and the related consolidated statements of operations, redeemable convertible preferred stock and stockholders’ deficit, and cash flows for each of the years in the two-year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two-year period ended December 31, 2024,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recurring operating losses and negative cash flows from operations, has an accumulated deficit, and has historically relied on cash proceeds from founders or other investors and other financing activities to fund operations. These conditions raise substantial doubt about its ability to continue as a going concern. Management’s plans regarding these matters are also described in Note 1. The consolidated financial statements do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(“GAAS”).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 UHY LLP</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11, 2025</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080"/>
          </w:cols>
          <w:pgMar w:left="320" w:top="482" w:right="4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6"/>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50,237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3,213</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 related party (Note 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8,561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6,522</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14,837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2,836</w:t>
            </w: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1,555</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1,033</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2,423</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579</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80,516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18,639</w:t>
            </w: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Demand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4,750</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7,904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14,925</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11,996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7,464</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3,588</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1,938</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2,109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569</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liabilities, current portion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14,711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148,629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14,641</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188,143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47,876</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1,791</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3,730</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00" w:type="dxa"/>
            <w:vAlign w:val="bottom"/>
          </w:tcPr>
          <w:p>
            <w:pPr>
              <w:spacing w:after="0"/>
              <w:rPr>
                <w:sz w:val="18"/>
                <w:szCs w:val="18"/>
                <w:color w:val="auto"/>
              </w:rPr>
            </w:pPr>
          </w:p>
        </w:tc>
        <w:tc>
          <w:tcPr>
            <w:tcW w:w="9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18,064</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391</w:t>
            </w: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190,979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71,852</w:t>
            </w: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 $0.00001 par value; 96,650,097 shares authorized as of December 31, 2024</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2023, respectively; 44,494,703 shares issued and outstanding at December 31, 2024 and 2023, respectively;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liquidation preference of $173,347 as of December 31, 2024 and 2023, respectively</w:t>
            </w:r>
          </w:p>
        </w:tc>
        <w:tc>
          <w:tcPr>
            <w:tcW w:w="100" w:type="dxa"/>
            <w:vAlign w:val="bottom"/>
          </w:tcPr>
          <w:p>
            <w:pPr>
              <w:spacing w:after="0"/>
              <w:rPr>
                <w:sz w:val="20"/>
                <w:szCs w:val="20"/>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173,347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173,347</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 $0.00001 par value; 175,095,000 shares authorized as of December 31, 2024 and 2023, respectively;</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17,519,999 and 17,454,353 shares issued and outstanding as of December 31, 2024 and 2023, respectively</w:t>
            </w:r>
          </w:p>
        </w:tc>
        <w:tc>
          <w:tcPr>
            <w:tcW w:w="100" w:type="dxa"/>
            <w:vAlign w:val="bottom"/>
          </w:tcPr>
          <w:p>
            <w:pPr>
              <w:spacing w:after="0"/>
              <w:rPr>
                <w:sz w:val="20"/>
                <w:szCs w:val="20"/>
                <w:color w:val="auto"/>
              </w:rPr>
            </w:pPr>
          </w:p>
        </w:tc>
        <w:tc>
          <w:tcPr>
            <w:tcW w:w="9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124,225 shares at December 31, 2024 and 2023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145,441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141,496</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6"/>
              </w:rPr>
              <w:t>(429,251)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(368,056)</w:t>
            </w:r>
          </w:p>
        </w:tc>
      </w:tr>
      <w:tr>
        <w:trPr>
          <w:trHeight w:val="230"/>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(283,810</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(226,560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80,516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18,639</w:t>
            </w:r>
          </w:p>
        </w:tc>
      </w:tr>
      <w:tr>
        <w:trPr>
          <w:trHeight w:val="20"/>
        </w:trPr>
        <w:tc>
          <w:tcPr>
            <w:tcW w:w="8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40"/>
          </w:cols>
          <w:pgMar w:left="320" w:top="482" w:right="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7"/>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2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services revenue - related party (Note 13)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3,840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 revenue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8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3,656</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18,115</w:t>
            </w: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22,413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17,303</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8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(35,832)</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foreign exchange transactions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(49,659)</w:t>
            </w:r>
          </w:p>
        </w:tc>
        <w:tc>
          <w:tcPr>
            <w:tcW w:w="0" w:type="dxa"/>
            <w:vAlign w:val="bottom"/>
          </w:tcPr>
          <w:p>
            <w:pPr>
              <w:spacing w:after="0"/>
              <w:rPr>
                <w:sz w:val="1"/>
                <w:szCs w:val="1"/>
                <w:color w:val="auto"/>
              </w:rPr>
            </w:pPr>
          </w:p>
        </w:tc>
      </w:tr>
      <w:tr>
        <w:trPr>
          <w:trHeight w:val="223"/>
        </w:trPr>
        <w:tc>
          <w:tcPr>
            <w:tcW w:w="8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(87,589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 stockholders, basic and</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17,476,105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7"/>
              </w:rPr>
              <w:t>4,213,244</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40"/>
          </w:cols>
          <w:pgMar w:left="320" w:top="482" w:right="4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Deficit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3400" w:type="dxa"/>
            <w:vAlign w:val="bottom"/>
          </w:tcPr>
          <w:p>
            <w:pPr>
              <w:spacing w:after="0"/>
              <w:rPr>
                <w:sz w:val="3"/>
                <w:szCs w:val="3"/>
                <w:color w:val="auto"/>
              </w:rPr>
            </w:pPr>
          </w:p>
        </w:tc>
        <w:tc>
          <w:tcPr>
            <w:tcW w:w="1440" w:type="dxa"/>
            <w:vAlign w:val="bottom"/>
            <w:gridSpan w:val="6"/>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3"/>
                <w:szCs w:val="3"/>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3"/>
                <w:szCs w:val="3"/>
                <w:color w:val="auto"/>
              </w:rPr>
            </w:pPr>
          </w:p>
        </w:tc>
        <w:tc>
          <w:tcPr>
            <w:tcW w:w="8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3400" w:type="dxa"/>
            <w:vAlign w:val="bottom"/>
          </w:tcPr>
          <w:p>
            <w:pPr>
              <w:spacing w:after="0"/>
              <w:rPr>
                <w:sz w:val="10"/>
                <w:szCs w:val="10"/>
                <w:color w:val="auto"/>
              </w:rPr>
            </w:pPr>
          </w:p>
        </w:tc>
        <w:tc>
          <w:tcPr>
            <w:tcW w:w="1440" w:type="dxa"/>
            <w:vAlign w:val="bottom"/>
            <w:gridSpan w:val="6"/>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440" w:type="dxa"/>
            <w:vAlign w:val="bottom"/>
            <w:gridSpan w:val="6"/>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2"/>
                <w:szCs w:val="12"/>
                <w:color w:val="auto"/>
              </w:rPr>
            </w:pPr>
          </w:p>
        </w:tc>
        <w:tc>
          <w:tcPr>
            <w:tcW w:w="11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44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76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64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January 1, 2023</w:t>
            </w:r>
          </w:p>
        </w:tc>
        <w:tc>
          <w:tcPr>
            <w:tcW w:w="680" w:type="dxa"/>
            <w:vAlign w:val="bottom"/>
            <w:tcBorders>
              <w:top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w w:val="98"/>
              </w:rPr>
              <w:t>16,498,279</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64,020</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6,143,294</w:t>
            </w: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w w:val="96"/>
              </w:rPr>
              <w:t>124,225</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w w:val="95"/>
              </w:rPr>
              <w:t>— </w:t>
            </w:r>
          </w:p>
        </w:tc>
        <w:tc>
          <w:tcPr>
            <w:tcW w:w="240" w:type="dxa"/>
            <w:vAlign w:val="bottom"/>
            <w:tcBorders>
              <w:top w:val="single" w:sz="8" w:color="CCEEFF"/>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CCEEFF"/>
            </w:tcBorders>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209,928</w:t>
            </w:r>
          </w:p>
        </w:tc>
        <w:tc>
          <w:tcPr>
            <w:tcW w:w="220" w:type="dxa"/>
            <w:vAlign w:val="bottom"/>
            <w:tcBorders>
              <w:top w:val="single" w:sz="8" w:color="CCEEFF"/>
            </w:tcBorders>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CCEEFF"/>
            </w:tcBorders>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(280,467)</w:t>
            </w:r>
          </w:p>
        </w:tc>
        <w:tc>
          <w:tcPr>
            <w:tcW w:w="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CCEEFF"/>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(70,539)</w:t>
            </w: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Reissuance of Shadow Preferred in Pay-to-Play Pull</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Through Exchange at redemption value</w:t>
            </w:r>
          </w:p>
        </w:tc>
        <w:tc>
          <w:tcPr>
            <w:tcW w:w="7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27,996,424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109,327</w:t>
            </w:r>
          </w:p>
        </w:tc>
        <w:tc>
          <w:tcPr>
            <w:tcW w:w="1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(2,799,634)</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(109,327)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(109,327)</w:t>
            </w: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Reissuance of common stock in common rights offering</w:t>
            </w:r>
          </w:p>
        </w:tc>
        <w:tc>
          <w:tcPr>
            <w:tcW w:w="7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8,109,693</w:t>
            </w:r>
          </w:p>
        </w:tc>
        <w:tc>
          <w:tcPr>
            <w:tcW w:w="30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34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release of restricted</w:t>
            </w:r>
          </w:p>
        </w:tc>
        <w:tc>
          <w:tcPr>
            <w:tcW w:w="76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6,000,000</w:t>
            </w:r>
          </w:p>
        </w:tc>
        <w:tc>
          <w:tcPr>
            <w:tcW w:w="3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units</w:t>
            </w: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30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2,483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2,483</w:t>
            </w: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Pay-to-Play financing charge</w:t>
            </w:r>
          </w:p>
        </w:tc>
        <w:tc>
          <w:tcPr>
            <w:tcW w:w="7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35,771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35,771</w:t>
            </w: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Debt financing charge on convertible notes</w:t>
            </w:r>
          </w:p>
        </w:tc>
        <w:tc>
          <w:tcPr>
            <w:tcW w:w="76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2,640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2,640</w:t>
            </w: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8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(87,589)</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(87,589)</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2023</w:t>
            </w:r>
          </w:p>
        </w:tc>
        <w:tc>
          <w:tcPr>
            <w:tcW w:w="7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44,494,703</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173,347</w:t>
            </w:r>
          </w:p>
        </w:tc>
        <w:tc>
          <w:tcPr>
            <w:tcW w:w="1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17,454,353</w:t>
            </w:r>
          </w:p>
        </w:tc>
        <w:tc>
          <w:tcPr>
            <w:tcW w:w="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78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124,225</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2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141,496</w:t>
            </w:r>
          </w:p>
        </w:tc>
        <w:tc>
          <w:tcPr>
            <w:tcW w:w="2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(368,056)</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(226,560)</w:t>
            </w: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65,646</w:t>
            </w:r>
          </w:p>
        </w:tc>
        <w:tc>
          <w:tcPr>
            <w:tcW w:w="30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3,847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3,847</w:t>
            </w: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8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(61,195)</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(61,195)</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2024</w:t>
            </w:r>
          </w:p>
        </w:tc>
        <w:tc>
          <w:tcPr>
            <w:tcW w:w="7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44,494,703</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173,347</w:t>
            </w:r>
          </w:p>
        </w:tc>
        <w:tc>
          <w:tcPr>
            <w:tcW w:w="1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17,519,999</w:t>
            </w:r>
          </w:p>
        </w:tc>
        <w:tc>
          <w:tcPr>
            <w:tcW w:w="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78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124,225</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2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145,441</w:t>
            </w:r>
          </w:p>
        </w:tc>
        <w:tc>
          <w:tcPr>
            <w:tcW w:w="2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(429,251)</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(283,810)</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40"/>
          </w:cols>
          <w:pgMar w:left="320" w:top="482" w:right="4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38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3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(61,195)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(87,589)</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886</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649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815</w:t>
            </w:r>
          </w:p>
        </w:tc>
        <w:tc>
          <w:tcPr>
            <w:tcW w:w="0" w:type="dxa"/>
            <w:vAlign w:val="bottom"/>
          </w:tcPr>
          <w:p>
            <w:pPr>
              <w:spacing w:after="0"/>
              <w:rPr>
                <w:sz w:val="1"/>
                <w:szCs w:val="1"/>
                <w:color w:val="auto"/>
              </w:rPr>
            </w:pPr>
          </w:p>
        </w:tc>
      </w:tr>
      <w:tr>
        <w:trPr>
          <w:trHeight w:val="148"/>
        </w:trPr>
        <w:tc>
          <w:tcPr>
            <w:tcW w:w="73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Pay-to-Play financing charge</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35,832</w:t>
            </w:r>
          </w:p>
        </w:tc>
        <w:tc>
          <w:tcPr>
            <w:tcW w:w="0" w:type="dxa"/>
            <w:vAlign w:val="bottom"/>
          </w:tcPr>
          <w:p>
            <w:pPr>
              <w:spacing w:after="0"/>
              <w:rPr>
                <w:sz w:val="1"/>
                <w:szCs w:val="1"/>
                <w:color w:val="auto"/>
              </w:rPr>
            </w:pPr>
          </w:p>
        </w:tc>
      </w:tr>
      <w:tr>
        <w:trPr>
          <w:trHeight w:val="149"/>
        </w:trPr>
        <w:tc>
          <w:tcPr>
            <w:tcW w:w="73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Debt financing charge on convertible notes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464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3,145</w:t>
            </w:r>
          </w:p>
        </w:tc>
        <w:tc>
          <w:tcPr>
            <w:tcW w:w="0" w:type="dxa"/>
            <w:vAlign w:val="bottom"/>
          </w:tcPr>
          <w:p>
            <w:pPr>
              <w:spacing w:after="0"/>
              <w:rPr>
                <w:sz w:val="1"/>
                <w:szCs w:val="1"/>
                <w:color w:val="auto"/>
              </w:rPr>
            </w:pPr>
          </w:p>
        </w:tc>
      </w:tr>
      <w:tr>
        <w:trPr>
          <w:trHeight w:val="148"/>
        </w:trPr>
        <w:tc>
          <w:tcPr>
            <w:tcW w:w="73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3,847</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2,483</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Credit loss expense</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570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48"/>
        </w:trPr>
        <w:tc>
          <w:tcPr>
            <w:tcW w:w="73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(1,124)</w:t>
            </w: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Change in fair value of convertible notes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10,022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9,532</w:t>
            </w:r>
          </w:p>
        </w:tc>
        <w:tc>
          <w:tcPr>
            <w:tcW w:w="0" w:type="dxa"/>
            <w:vAlign w:val="bottom"/>
          </w:tcPr>
          <w:p>
            <w:pPr>
              <w:spacing w:after="0"/>
              <w:rPr>
                <w:sz w:val="1"/>
                <w:szCs w:val="1"/>
                <w:color w:val="auto"/>
              </w:rPr>
            </w:pPr>
          </w:p>
        </w:tc>
      </w:tr>
      <w:tr>
        <w:trPr>
          <w:trHeight w:val="149"/>
        </w:trPr>
        <w:tc>
          <w:tcPr>
            <w:tcW w:w="73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5,701</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945</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Loss on purchase commitments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1,165</w:t>
            </w:r>
          </w:p>
        </w:tc>
        <w:tc>
          <w:tcPr>
            <w:tcW w:w="0" w:type="dxa"/>
            <w:vAlign w:val="bottom"/>
          </w:tcPr>
          <w:p>
            <w:pPr>
              <w:spacing w:after="0"/>
              <w:rPr>
                <w:sz w:val="1"/>
                <w:szCs w:val="1"/>
                <w:color w:val="auto"/>
              </w:rPr>
            </w:pPr>
          </w:p>
        </w:tc>
      </w:tr>
      <w:tr>
        <w:trPr>
          <w:trHeight w:val="148"/>
        </w:trPr>
        <w:tc>
          <w:tcPr>
            <w:tcW w:w="73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Noncash loss on lease termination</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(614)</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149"/>
        </w:trPr>
        <w:tc>
          <w:tcPr>
            <w:tcW w:w="73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Accounts receivable - related party</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467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0" w:type="dxa"/>
            <w:vAlign w:val="bottom"/>
          </w:tcPr>
          <w:p>
            <w:pPr>
              <w:spacing w:after="0"/>
              <w:rPr>
                <w:sz w:val="1"/>
                <w:szCs w:val="1"/>
                <w:color w:val="auto"/>
              </w:rPr>
            </w:pPr>
          </w:p>
        </w:tc>
      </w:tr>
      <w:tr>
        <w:trPr>
          <w:trHeight w:val="148"/>
        </w:trPr>
        <w:tc>
          <w:tcPr>
            <w:tcW w:w="73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(2,039)</w:t>
            </w: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(2,186)</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(21,630)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48"/>
        </w:trPr>
        <w:tc>
          <w:tcPr>
            <w:tcW w:w="73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Accounts payable and accrued liabilities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10,988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9,500</w:t>
            </w:r>
          </w:p>
        </w:tc>
        <w:tc>
          <w:tcPr>
            <w:tcW w:w="0" w:type="dxa"/>
            <w:vAlign w:val="bottom"/>
          </w:tcPr>
          <w:p>
            <w:pPr>
              <w:spacing w:after="0"/>
              <w:rPr>
                <w:sz w:val="1"/>
                <w:szCs w:val="1"/>
                <w:color w:val="auto"/>
              </w:rPr>
            </w:pPr>
          </w:p>
        </w:tc>
      </w:tr>
      <w:tr>
        <w:trPr>
          <w:trHeight w:val="148"/>
        </w:trPr>
        <w:tc>
          <w:tcPr>
            <w:tcW w:w="73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(616)</w:t>
            </w: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(854)</w:t>
            </w:r>
          </w:p>
        </w:tc>
        <w:tc>
          <w:tcPr>
            <w:tcW w:w="0" w:type="dxa"/>
            <w:vAlign w:val="bottom"/>
          </w:tcPr>
          <w:p>
            <w:pPr>
              <w:spacing w:after="0"/>
              <w:rPr>
                <w:sz w:val="1"/>
                <w:szCs w:val="1"/>
                <w:color w:val="auto"/>
              </w:rPr>
            </w:pPr>
          </w:p>
        </w:tc>
      </w:tr>
      <w:tr>
        <w:trPr>
          <w:trHeight w:val="149"/>
        </w:trPr>
        <w:tc>
          <w:tcPr>
            <w:tcW w:w="73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2,108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(590)</w:t>
            </w:r>
          </w:p>
        </w:tc>
        <w:tc>
          <w:tcPr>
            <w:tcW w:w="0" w:type="dxa"/>
            <w:vAlign w:val="bottom"/>
          </w:tcPr>
          <w:p>
            <w:pPr>
              <w:spacing w:after="0"/>
              <w:rPr>
                <w:sz w:val="1"/>
                <w:szCs w:val="1"/>
                <w:color w:val="auto"/>
              </w:rPr>
            </w:pPr>
          </w:p>
        </w:tc>
      </w:tr>
      <w:tr>
        <w:trPr>
          <w:trHeight w:val="148"/>
        </w:trPr>
        <w:tc>
          <w:tcPr>
            <w:tcW w:w="73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Accrued loss on purchase commitments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(2,985)</w:t>
            </w: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(3,022)</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8"/>
        </w:trPr>
        <w:tc>
          <w:tcPr>
            <w:tcW w:w="73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1,279</w:t>
            </w: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(733)</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38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(53,532)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(27,955)</w:t>
            </w:r>
          </w:p>
        </w:tc>
        <w:tc>
          <w:tcPr>
            <w:tcW w:w="0" w:type="dxa"/>
            <w:vAlign w:val="bottom"/>
          </w:tcPr>
          <w:p>
            <w:pPr>
              <w:spacing w:after="0"/>
              <w:rPr>
                <w:sz w:val="1"/>
                <w:szCs w:val="1"/>
                <w:color w:val="auto"/>
              </w:rPr>
            </w:pPr>
          </w:p>
        </w:tc>
      </w:tr>
      <w:tr>
        <w:trPr>
          <w:trHeight w:val="155"/>
        </w:trPr>
        <w:tc>
          <w:tcPr>
            <w:tcW w:w="73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(902)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63"/>
        </w:trPr>
        <w:tc>
          <w:tcPr>
            <w:tcW w:w="7380" w:type="dxa"/>
            <w:vAlign w:val="bottom"/>
          </w:tcPr>
          <w:p>
            <w:pPr>
              <w:ind w:left="720"/>
              <w:spacing w:after="0" w:line="155"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0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(902)</w:t>
            </w: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deferred offering costs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(4,357)</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Pay-to-Play convertible notes and Common Rights Offering</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9,425</w:t>
            </w:r>
          </w:p>
        </w:tc>
        <w:tc>
          <w:tcPr>
            <w:tcW w:w="0" w:type="dxa"/>
            <w:vAlign w:val="bottom"/>
          </w:tcPr>
          <w:p>
            <w:pPr>
              <w:spacing w:after="0"/>
              <w:rPr>
                <w:sz w:val="1"/>
                <w:szCs w:val="1"/>
                <w:color w:val="auto"/>
              </w:rPr>
            </w:pPr>
          </w:p>
        </w:tc>
      </w:tr>
      <w:tr>
        <w:trPr>
          <w:trHeight w:val="149"/>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convertible notes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110,718</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12,300</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short term demand notes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4,925</w:t>
            </w:r>
          </w:p>
        </w:tc>
        <w:tc>
          <w:tcPr>
            <w:tcW w:w="0" w:type="dxa"/>
            <w:vAlign w:val="bottom"/>
          </w:tcPr>
          <w:p>
            <w:pPr>
              <w:spacing w:after="0"/>
              <w:rPr>
                <w:sz w:val="1"/>
                <w:szCs w:val="1"/>
                <w:color w:val="auto"/>
              </w:rPr>
            </w:pPr>
          </w:p>
        </w:tc>
      </w:tr>
      <w:tr>
        <w:trPr>
          <w:trHeight w:val="148"/>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 of short term demand notes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(4,750)</w:t>
            </w: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49"/>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3"/>
        </w:trPr>
        <w:tc>
          <w:tcPr>
            <w:tcW w:w="7380" w:type="dxa"/>
            <w:vAlign w:val="bottom"/>
          </w:tcPr>
          <w:p>
            <w:pPr>
              <w:ind w:left="720"/>
              <w:spacing w:after="0" w:line="155"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20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101,709</w:t>
            </w: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26,475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47,275</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(1,700)</w:t>
            </w:r>
          </w:p>
        </w:tc>
        <w:tc>
          <w:tcPr>
            <w:tcW w:w="0" w:type="dxa"/>
            <w:vAlign w:val="bottom"/>
          </w:tcPr>
          <w:p>
            <w:pPr>
              <w:spacing w:after="0"/>
              <w:rPr>
                <w:sz w:val="1"/>
                <w:szCs w:val="1"/>
                <w:color w:val="auto"/>
              </w:rPr>
            </w:pPr>
          </w:p>
        </w:tc>
      </w:tr>
      <w:tr>
        <w:trPr>
          <w:trHeight w:val="148"/>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3,213</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4,913</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2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50,488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3,213</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Components of cash, cash equivalents and restricted cash:</w:t>
            </w:r>
          </w:p>
        </w:tc>
        <w:tc>
          <w:tcPr>
            <w:tcW w:w="2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80" w:type="dxa"/>
            <w:vAlign w:val="bottom"/>
            <w:vMerge w:val="continue"/>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50,237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3,213</w:t>
            </w:r>
          </w:p>
        </w:tc>
        <w:tc>
          <w:tcPr>
            <w:tcW w:w="0" w:type="dxa"/>
            <w:vAlign w:val="bottom"/>
          </w:tcPr>
          <w:p>
            <w:pPr>
              <w:spacing w:after="0"/>
              <w:rPr>
                <w:sz w:val="1"/>
                <w:szCs w:val="1"/>
                <w:color w:val="auto"/>
              </w:rPr>
            </w:pPr>
          </w:p>
        </w:tc>
      </w:tr>
      <w:tr>
        <w:trPr>
          <w:trHeight w:val="148"/>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 (included within Other Assets)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50,488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3,213</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2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80" w:type="dxa"/>
            <w:vAlign w:val="bottom"/>
            <w:vMerge w:val="continue"/>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paid during the period for taxes</w:t>
            </w:r>
          </w:p>
        </w:tc>
        <w:tc>
          <w:tcPr>
            <w:tcW w:w="2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during the period for interest</w:t>
            </w:r>
          </w:p>
        </w:tc>
        <w:tc>
          <w:tcPr>
            <w:tcW w:w="2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9"/>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Reissuance of Shadow Preferred in Pay-to-Play Pull Through Exchange at redemption value</w:t>
            </w:r>
          </w:p>
        </w:tc>
        <w:tc>
          <w:tcPr>
            <w:tcW w:w="2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109,327</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asset obtained in exchange for new operating lease liabilities</w:t>
            </w:r>
          </w:p>
        </w:tc>
        <w:tc>
          <w:tcPr>
            <w:tcW w:w="2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1,673</w:t>
            </w:r>
          </w:p>
        </w:tc>
        <w:tc>
          <w:tcPr>
            <w:tcW w:w="0" w:type="dxa"/>
            <w:vAlign w:val="bottom"/>
          </w:tcPr>
          <w:p>
            <w:pPr>
              <w:spacing w:after="0"/>
              <w:rPr>
                <w:sz w:val="1"/>
                <w:szCs w:val="1"/>
                <w:color w:val="auto"/>
              </w:rPr>
            </w:pPr>
          </w:p>
        </w:tc>
      </w:tr>
      <w:tr>
        <w:trPr>
          <w:trHeight w:val="149"/>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acquired in accounts payable &amp; accrued expenses</w:t>
            </w:r>
          </w:p>
        </w:tc>
        <w:tc>
          <w:tcPr>
            <w:tcW w:w="2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Right-of-use assets and lease liabilities extinguished upon termination of lease, net of gain</w:t>
            </w:r>
          </w:p>
        </w:tc>
        <w:tc>
          <w:tcPr>
            <w:tcW w:w="2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48"/>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warrants with convertible notes</w:t>
            </w:r>
          </w:p>
        </w:tc>
        <w:tc>
          <w:tcPr>
            <w:tcW w:w="2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4,816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1,690</w:t>
            </w:r>
          </w:p>
        </w:tc>
        <w:tc>
          <w:tcPr>
            <w:tcW w:w="0" w:type="dxa"/>
            <w:vAlign w:val="bottom"/>
          </w:tcPr>
          <w:p>
            <w:pPr>
              <w:spacing w:after="0"/>
              <w:rPr>
                <w:sz w:val="1"/>
                <w:szCs w:val="1"/>
                <w:color w:val="auto"/>
              </w:rPr>
            </w:pPr>
          </w:p>
        </w:tc>
      </w:tr>
      <w:tr>
        <w:trPr>
          <w:trHeight w:val="149"/>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Capitalized deferred offering costs included in accounting payable and accrued liabilities</w:t>
            </w:r>
          </w:p>
        </w:tc>
        <w:tc>
          <w:tcPr>
            <w:tcW w:w="2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6,764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1,491</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40"/>
          </w:cols>
          <w:pgMar w:left="320" w:top="482"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Blaize, Inc. (collectively “Blaize” or “the Company”) was originally incorporated on February 16, 2010, as a Delaware corporation under the name of ThinCI, Inc. and commenced operations at that time. On October 17, 2019, the Company’s Board of Directors adopted a Restated Certificate of Incorporation, which changed the Company’s name to Blaize, Inc. The Company is headquartered in El Dorado Hills, California, and consists of four separate legal entities: Blaize, Inc. (United States of America), Blaize New Computing Technologies India Private Limited (India), Blaize Technologies Philippines, Inc. (Philippines) and Blaize U.K. LTD (England). Blaize designs and develops low-power, high-efficiency, programmable artificial intelligence (“AI”) edge computing hardware and software. Blaize leads a new generation of computing, which unleashes the potential of AI in order to enable significant increases in the value that technology delivers to improve the way people work and live. The Company offers transformative edge computing solutions for AI data collection and processing, with a focus on smart vision and other AI applications for the automotive, retail, security and industrial markets.</w:t>
      </w:r>
    </w:p>
    <w:p>
      <w:pPr>
        <w:spacing w:after="0" w:line="18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November 2023, the Company entered into a Memorandum of Understanding with a United Arab Emirates (“UAE”) based third-party investment entity to establish a cooperative framework for both entities to discuss and explore commercial and technical collaboration in the UAE. The collaboration is intended to be operationalized through a newly created entity, Blaize Artificial Intelligence Middle East, LLC, in which the Company has a 35% ownership. As of December 31, 2024, there has not been an operating agreement executed between the Company and the holder of the 65% interest that would make the Company the primary beneficiary of this new legal entity. The newly established entity has incurred insignificant expenses since its incorporation.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On January 13, 2025 (the “Closing Date”), BurTech Acquisition Corp. (“BurTech”) and its subsidiary, BurTech Merger Sub, Inc, (“Merger Sub”), and Blaize, Inc. (“Legacy Blaize”) consummated the transaction contemplated by the Agreement and Plan of Merger (the “Merger Agreement”), dated as of December 22, 2023 (as amended on April 22, 2024, October 24, 2024 and November 21, 2024), with BurTech Merger Sub, Inc., Blaize, Inc., and for the limited purposes set forth therein, Burkhan Capital LLC, a Delaware limited liability company and affiliate of BurTech (“Burkhan”). Under the Merger Agreement, Merger Sub was merged with and into the Company, with the Company surviving the merger as a wholly owned subsidiary of BurTech (the “Business Combination” and, together with the other transactions contemplated by the Merger Agreement, the “Merger”).</w:t>
      </w:r>
    </w:p>
    <w:p>
      <w:pPr>
        <w:spacing w:after="0" w:line="17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Concurrent with the Merger, BurTech was renamed Blaize Holdings, Inc. (“Blaize Holdings”). Beginning on January 14, 2025, Blaize Holdings’ common stock and warrants trade on NASDAQ under the ticker symbols “BZAI” and “BZAIW”, respectively.</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Prior to the Merger, BurTech LP LLC was the sponsor of BurTech (the “Sponsor”) and with the close of the Merger either BurTech LP LLC or its affiliated entities, has remained a significant shareholder in Blaize Holdings.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equity exchange and other financing-related matters associated with the Merger are summarized as follows: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Blaize Convertible Promissory Notes and Equity</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Immediately before the closing of the Merger, the convertible notes outstanding plus all accrued and unpaid interest, each of the issued and outstanding shares of redeemable convertible preferred stock, and all outstanding</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080"/>
          </w:cols>
          <w:pgMar w:left="320" w:top="482" w:right="4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warrants, net exercised, were automatically converted into shares of the Company’s common stock. Upon the consummation of the Merger, each share of the Company’s common stock issued and outstanding were canceled and converted into the right to receive shares of Blaize Holdings Class A common stock and each share of Merger Sub Capital Stock was converted into one share of Blaize Holdings Class A common stock, par value $0.0001.</w:t>
      </w:r>
    </w:p>
    <w:p>
      <w:pPr>
        <w:spacing w:after="0" w:line="158"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Further upon the Closing Date, (i) each Company option granted was converted into (a) the right to receive a number of Blaize Holdings Earnout Shares and (b) a Blaize Holdings option, upon substantially the same terms and conditions as in effect with respect to the corresponding Company option and (ii) each Company RSU granted was converted into (a) the right to receive a number of Blaize Holdings Earnout Shares and (b) a Blaize Holdings restricted stock unit (“RSU”), upon substantially the same terms and conditions as in effect with respect to the corresponding Blaize RSU.</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Earnout Arrangement with holders of Legacy Blaize Common Stock and outstanding equity awards</w:t>
      </w:r>
    </w:p>
    <w:p>
      <w:pPr>
        <w:spacing w:after="0" w:line="121"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Concurrent with the Closing Date, holders of the Company common stock and outstanding equity awards (including stock options and RSU holders) agreed to the right to receive up to an aggregate amount of 15,000,000 shares of Blaize Holdings Class A Common Stock (the “Earnout Shares”) during specified periods following the Merger (the “Earnout Period”) that will be issued if the following targets or triggering events are achieved:</w:t>
      </w:r>
    </w:p>
    <w:p>
      <w:pPr>
        <w:spacing w:after="0" w:line="85" w:lineRule="exact"/>
        <w:rPr>
          <w:sz w:val="20"/>
          <w:szCs w:val="20"/>
          <w:color w:val="auto"/>
        </w:rPr>
      </w:pPr>
    </w:p>
    <w:p>
      <w:pPr>
        <w:ind w:left="1080" w:hanging="424"/>
        <w:spacing w:after="0" w:line="261"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$12.50 per share for twenty (20) trading days within a thirty</w:t>
      </w:r>
    </w:p>
    <w:p>
      <w:pPr>
        <w:ind w:left="1440" w:hanging="352"/>
        <w:spacing w:after="0"/>
        <w:tabs>
          <w:tab w:leader="none" w:pos="14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w:t>
      </w:r>
    </w:p>
    <w:p>
      <w:pPr>
        <w:spacing w:after="0" w:line="112"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$15.00 per share for twenty (20) trading days within a thirty</w:t>
      </w:r>
    </w:p>
    <w:p>
      <w:pPr>
        <w:ind w:left="1440" w:hanging="352"/>
        <w:spacing w:after="0"/>
        <w:tabs>
          <w:tab w:leader="none" w:pos="14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w:t>
      </w:r>
    </w:p>
    <w:p>
      <w:pPr>
        <w:spacing w:after="0" w:line="112"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$17.50 per share for twenty (20) trading days within a thirty</w:t>
      </w:r>
    </w:p>
    <w:p>
      <w:pPr>
        <w:ind w:left="1440" w:hanging="352"/>
        <w:spacing w:after="0"/>
        <w:tabs>
          <w:tab w:leader="none" w:pos="14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w:t>
      </w:r>
    </w:p>
    <w:p>
      <w:pPr>
        <w:spacing w:after="0" w:line="112"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$20.00 per share for twenty (20) trading days within a thirty</w:t>
      </w:r>
    </w:p>
    <w:p>
      <w:pPr>
        <w:ind w:left="1440" w:hanging="352"/>
        <w:spacing w:after="0"/>
        <w:tabs>
          <w:tab w:leader="none" w:pos="14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w:t>
      </w:r>
    </w:p>
    <w:p>
      <w:pPr>
        <w:spacing w:after="0" w:line="20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Company employees entitled to receive Earnout Shares with respect to Blaize Holdings options and RSUs, must provide service through the date the target is achieved and if an employee departs, the Earnout Shares are reallocated to the remaining pool of recipients who received the right to the Earnout Shares on the Closing Date.</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Additionally, Burkhan agreed to the right to receive up to an aggregate amount of 2,600,000 shares of Blaize Holdings Class A Common Stock following the occurrence of each triggering event stated above (the “Burkhan Earnout Shares”). The Burkhan Earnout Shares will vest in four equal tranches of 325,000 shares plus 325,000 Blaize Holdings Class A Common Stock multiplied by the cash ratio (the “Proportionate Shares Number”). The “Cash Ratio” is the ratio equal to (x) Available Acquiror Cash, divided by (y) the Minimum Cash Amount (both of such terms as defined in the Merger Agreements).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00"/>
          </w:cols>
          <w:pgMar w:left="320" w:top="482" w:right="47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Arrangements entered into at time of Merger or assumed upon Merger:</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Blaize Warrants</w:t>
      </w:r>
    </w:p>
    <w:p>
      <w:pPr>
        <w:spacing w:after="0" w:line="121" w:lineRule="exact"/>
        <w:rPr>
          <w:sz w:val="20"/>
          <w:szCs w:val="20"/>
          <w:color w:val="auto"/>
        </w:rPr>
      </w:pPr>
    </w:p>
    <w:p>
      <w:pPr>
        <w:ind w:left="560" w:right="840"/>
        <w:spacing w:after="0" w:line="282" w:lineRule="auto"/>
        <w:rPr>
          <w:sz w:val="20"/>
          <w:szCs w:val="20"/>
          <w:color w:val="auto"/>
        </w:rPr>
      </w:pPr>
      <w:r>
        <w:rPr>
          <w:rFonts w:ascii="Times New Roman" w:cs="Times New Roman" w:eastAsia="Times New Roman" w:hAnsi="Times New Roman"/>
          <w:sz w:val="18"/>
          <w:szCs w:val="18"/>
          <w:color w:val="auto"/>
        </w:rPr>
        <w:t>On January 13, 2025, upon closing of the Merger, 28,750,000 of public warrants and 898,250 of private warrants of BurTech that were outstanding immediately before to the Merger became warrants of Blaize Holdings.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PIPE Shares</w:t>
      </w:r>
    </w:p>
    <w:p>
      <w:pPr>
        <w:spacing w:after="0" w:line="121"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From December 31, 2024 through January 13, 2025, BurTech and certain subscribers (each, a “Subscriber” and collectively, the “Subscribers”) entered into subscription agreements (each, a “PIPE Subscription Agreement” and collectively, the “PIPE Subscription Agreements”) under which BurTech agreed to issue and sell to the Subscribers, immediately before the Closing Date, collectively, 1,540,300 shares of Class A Stock (the “PIPE Shares”) at a price per share equal to $10.00 (the “PIPE Investment”). Such shares that were outstanding immediately prior to the Merger became shares of Blaize Holdings. See Note 17.</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Sponsor Note</w:t>
      </w:r>
    </w:p>
    <w:p>
      <w:pPr>
        <w:spacing w:after="0" w:line="121"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 Sponsor issued a secured promissory note and pledge agreement (the “Sponsor Note”) to BurTech (the “Holder”) in the principal amount of $8,753,744 bearing an interest rate of 7% with annual compounding, compounded on December 31 each year the Sponsor Note remains outstanding for the remaining principal amount of the Sponsor Note as at the maturity date, until such remaining principal amount is paid. Pursuant to the Sponsor Note, the Sponsor granted a first priority security interest in, and pledges, 2,000,000 shares of Class A Stock and all additions, accessions and substitutions to the Holder to secure the satisfaction by the Sponsor of all its obligations to the Holder under the Sponsor Note. The Sponsor Note was issued in connection with the consummation of the Business Combination in satisfaction of the acquiror transaction expenses (as defined in the Merger Agreement) that were due to third-party service providers on or immediately following the Merger. As consideration for entry into the Sponsor Note, BurTech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 Upon the Closing Date, such shares and note remained outstanding instruments of Blaize Holdings. See Note 17.</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w:t>
      </w:r>
    </w:p>
    <w:p>
      <w:pPr>
        <w:spacing w:after="0" w:line="121" w:lineRule="exact"/>
        <w:rPr>
          <w:sz w:val="20"/>
          <w:szCs w:val="20"/>
          <w:color w:val="auto"/>
        </w:rPr>
      </w:pPr>
    </w:p>
    <w:p>
      <w:pPr>
        <w:ind w:left="560" w:right="140"/>
        <w:spacing w:after="0" w:line="256" w:lineRule="auto"/>
        <w:rPr>
          <w:sz w:val="20"/>
          <w:szCs w:val="20"/>
          <w:color w:val="auto"/>
        </w:rPr>
      </w:pPr>
      <w:r>
        <w:rPr>
          <w:rFonts w:ascii="Times New Roman" w:cs="Times New Roman" w:eastAsia="Times New Roman" w:hAnsi="Times New Roman"/>
          <w:sz w:val="18"/>
          <w:szCs w:val="18"/>
          <w:color w:val="auto"/>
        </w:rPr>
        <w:t>On and around December 31, 2024, BurTech entered into an agreement (“Non-Redemption Agreement”) with one or more unaffiliated stockholders of BurTech (each, an “Investor”) who agreed not to redeem (or validly rescind any redemption requests on) their shares of BurTech Class A common stock, par value $0.0001 per share of BurTech (“Non-Redeemed Shares”). In exchange for the foregoing commitments not to redeem the Non-Redeemed Shares, Blaize and BurTech LP LLC have agreed to guarantee that each Investor receives a return of $1.50 per Non-Redeemed Share whether an Investor (i) sells the Non-Redeemed Shares in the open market or (ii) exercises its option to require Blaize Holdings to repurchase the Non-Redeemed Shares in accordance with the Non-Redemption Agreement.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00"/>
          </w:cols>
          <w:pgMar w:left="320" w:top="482" w:right="4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left="560" w:right="100"/>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at the Closing Date, Blaize Holdings, the Sponsor, certain significant securityholders of the Company and certain of their respective affiliates entered into an Amended and Restated Registration Rights Agreement (the “Registration Rights Agreement”), in which Blaize Holdings agreed to register for resale, pursuant to Rule 415 under the Securities Act of 1933, as amended (the “Securities Act”), certain shares of Blaize Holdings Class A Common Stock and other equity securities of Blaize Holdings that are held by the parties thereto from time to time on the terms and subject to the conditions set forth therein.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121" w:lineRule="exact"/>
        <w:rPr>
          <w:sz w:val="20"/>
          <w:szCs w:val="20"/>
          <w:color w:val="auto"/>
        </w:rPr>
      </w:pPr>
    </w:p>
    <w:p>
      <w:pPr>
        <w:ind w:left="560" w:right="60"/>
        <w:spacing w:after="0" w:line="254" w:lineRule="auto"/>
        <w:rPr>
          <w:sz w:val="20"/>
          <w:szCs w:val="20"/>
          <w:color w:val="auto"/>
        </w:rPr>
      </w:pPr>
      <w:r>
        <w:rPr>
          <w:rFonts w:ascii="Times New Roman" w:cs="Times New Roman" w:eastAsia="Times New Roman" w:hAnsi="Times New Roman"/>
          <w:sz w:val="18"/>
          <w:szCs w:val="18"/>
          <w:color w:val="auto"/>
        </w:rPr>
        <w:t>At the Closing Date, Blaize Holdings entered into lock-up agreements (the “Lock-up Agreements”) with (i) certain of Blaize Holdings’ directors and officers, (ii) certain stockholders of Blaize Holdings and (iii) Burkhan, in each case, restricting the transfer of Blaize Holdings Class A Common Stock and any shares of Blaize Holdings Class A Common Stock issuable upon the exercise or settlement, as applicable, of Blaize Holdings Options or Blaize Holdings RSUs held by it immediately after the effective time of the Merger. The restrictions under the Lock-up Agreements began at the Closing Date and end on the date that is 180 days after the Closing Date, or upon the earlier of (x) the last reported sale price of Blaize Holdings common stock reaching $12.00 per share (as adjusted for stock splits, stock dividends, reorganizations, recapitalizations and the like) for any 20 trading days within any 30-trading day period commencing at least 150 days after the Closing Date and (y) the liquidation of Blaize Holdings.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Business Combination</w:t>
      </w:r>
    </w:p>
    <w:p>
      <w:pPr>
        <w:spacing w:after="0" w:line="121" w:lineRule="exact"/>
        <w:rPr>
          <w:sz w:val="20"/>
          <w:szCs w:val="20"/>
          <w:color w:val="auto"/>
        </w:rPr>
      </w:pPr>
    </w:p>
    <w:p>
      <w:pPr>
        <w:jc w:val="both"/>
        <w:ind w:left="560" w:right="160"/>
        <w:spacing w:after="0" w:line="266" w:lineRule="auto"/>
        <w:rPr>
          <w:sz w:val="20"/>
          <w:szCs w:val="20"/>
          <w:color w:val="auto"/>
        </w:rPr>
      </w:pPr>
      <w:r>
        <w:rPr>
          <w:rFonts w:ascii="Times New Roman" w:cs="Times New Roman" w:eastAsia="Times New Roman" w:hAnsi="Times New Roman"/>
          <w:sz w:val="18"/>
          <w:szCs w:val="18"/>
          <w:color w:val="auto"/>
        </w:rPr>
        <w:t>The merger between the Company and BurTech will be accounted for as a reverse recapitalization, with BurTech being treated as the “acquired” company for financial reporting purposes. Blaize has been determined to be the accounting acquirer of BurTech based on the following facts and circumstances:</w:t>
      </w:r>
    </w:p>
    <w:p>
      <w:pPr>
        <w:spacing w:after="0" w:line="81" w:lineRule="exact"/>
        <w:rPr>
          <w:sz w:val="20"/>
          <w:szCs w:val="20"/>
          <w:color w:val="auto"/>
        </w:rPr>
      </w:pPr>
    </w:p>
    <w:p>
      <w:pPr>
        <w:ind w:left="1540" w:right="200" w:hanging="331"/>
        <w:spacing w:after="0" w:line="282" w:lineRule="auto"/>
        <w:tabs>
          <w:tab w:leader="none" w:pos="1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is the larger entity in terms of substantive operations and employee base and its operations represent the ongoing operations of the combined entity.</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existing shareholders have the greatest voting interest in the combined entity.</w:t>
      </w:r>
    </w:p>
    <w:p>
      <w:pPr>
        <w:spacing w:after="0" w:line="130"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existing shareholders have the ability to control decisions regarding election and removal of the combined entity’s board of directors.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senior management is the senior management of the combined entity.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name is named Blaize Holdings, Inc., i.e. the combined entity has assumed Blaize’s name.</w:t>
      </w:r>
    </w:p>
    <w:p>
      <w:pPr>
        <w:spacing w:after="0" w:line="117"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For accounting purposes, the reverse recapitalization is the equivalent of the Company issuing stock for the net assets of BurTech, accompanied by a recapitalization. The net assets of BurTech will be stated at historical cost, with no goodwill or other intangible assets being recorded. Operations prior to the reverse recapitalization will be those of the Company. The consolidated financial statements as of and for the periods prior to December 31, 2024 have not been adjusted to reflect the Merger.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a going concern basis, which assumes that it will be able to meet its obligations and continue its operations during the twelve months following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40"/>
          </w:cols>
          <w:pgMar w:left="320" w:top="482" w:right="4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the issuance of these consolidated financial statements.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Since inception of the Company and through December 31, 2024, the Company has funded its operations primarily with cash flows from contributions from founders or other investors and other financing activities. The Company has incurred recurring losses and negative cash flows since its inception, including a net loss of $61.2 million and $87.6 million for the years ended December 31, 2024 and 2023, respectively. As of December 31, 2024, the Company had cash and cash equivalents of approximately $50.2 million, a net working capital deficit of $114.5 million, and an accumulated deficit of $429.3 million.</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the Company’s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financing and public or private equity offerings or other means.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As a result of the above, in connection with the Company’s assessment of going concern considerations in accordance with Financial Accounting Standard Board’s (“FASB”) Accounting Standards Update (“ASU”) 2014-15, </w:t>
      </w:r>
      <w:r>
        <w:rPr>
          <w:rFonts w:ascii="Times New Roman" w:cs="Times New Roman" w:eastAsia="Times New Roman" w:hAnsi="Times New Roman"/>
          <w:sz w:val="18"/>
          <w:szCs w:val="18"/>
          <w:i w:val="1"/>
          <w:iCs w:val="1"/>
          <w:color w:val="auto"/>
        </w:rPr>
        <w:t>Disclosures of Uncertainties about an Entity’s Ability to Continue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management has determined that the Company’s liquidity condition raises substantial doubt about the Company’s ability to continue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going concern through a year from the date these consolidated financial statements are available to be issued.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generally accepted accounting principles in the United States (“U.S. GAAP”) and reflect all adjustments, including normal recurring adjustments, which, in the opinion of management, are necessary to present fairly the financial position, results of operations, and cash flows for the periods presented in accordance with U.S. GAAP. The consolidated financial statements include the financial statements of the Company and its wholly-owned subsidiaries. All intercompany balances and transactions have been eliminated upon consolidation.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U.S. GAAP requires the Company to make estimates and assumptions that affect the reported amounts of assets and liabilities and disclosure of contingent assets and liabilities at the date of the consolidated financial statements and the reported amounts of revenues and expenses during the reporting periods presented. Such estimates and assumptions include, but are not limited to, those related to revenue recognition, the valuation of accounts receivable, the net realizable value of inventory, the useful lives of long-lived assets, the incremental borrowing rate used in calculating operating lease right of use assets, the accounting for income taxes, the estimates used to evaluate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00"/>
          </w:cols>
          <w:pgMar w:left="320" w:top="482" w:right="4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recoverability of long-lived assets, amortization method and periods for capitalized software, and the estimated fair value of convertible notes, warrant liabilities, and common stock, and stock-based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Company considers all highly liquid investments with an original maturity of 90 days or less to be cash equivalents in the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(“FDIC”) insurance limits. The Company has not experienced losses in such accounts and periodically evaluates the creditworthiness of its financial institutions.</w:t>
      </w:r>
    </w:p>
    <w:p>
      <w:pPr>
        <w:spacing w:after="0" w:line="16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cash and cash equivalents balances in excess of domestic and international insurance limits of approximately $49.3 million and $2.2 million, respectively.</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held $30.6 million in U.S. Government treasury securities, $9.2 million in a U.S. Government money market fund, and $5.1 million in mutual funds (see Note 4). As of December 31, 2023, the Company had no cash equivalents.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Restricted cash represents cash balances held as security deposits related to international payment services. As of December 31, 2024, restricted cash of $0.3 million was included within other assets on the consolidated balance sheets. As of December 31, 2023, the Company had no restricted cash.</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off against the allowance after all means of collection have been exhausted and the potential for recovery is considered remote. The allowance for credit losses was $0.4 million as of December 31, 2024 and 2023, respectively. As of December 31, 2024 and 2023, the Company’s accounts receivable included zero and approximately $0.5 million, respectively, of unbilled accounts receivable (See Note 13).</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00"/>
          </w:cols>
          <w:pgMar w:left="320" w:top="482" w:right="47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consolidated statement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using the straight-line method over the following estimated useful lives: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years</w:t>
            </w: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the related lease term or useful life</w:t>
            </w:r>
          </w:p>
        </w:tc>
      </w:tr>
    </w:tbl>
    <w:p>
      <w:pPr>
        <w:spacing w:after="0" w:line="19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capitalizes additions and improvements while repair and maintenance costs are expensed to operations as incurred. Upon retirement or sale of a fixed asset, the cost of the asset and related accumulated depreciation are removed from the accounts and the net amount, less proceeds from disposal, is credited or charged as a gain or loss in the consolidated statements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based on the unique facts and circumstances present at the inception of the arrangement and if such a lease is classified as a financing lease or operating lease. Operating lease right-of-use (“ROU”) assets and liabilities are recognized at the commencement date based on the present value of lease payments over the lease term. Operating lease ROU assets also include any initial direct costs and prepayments less lease incentives. Lease terms include periods under options to extend or terminate the lease when it is reasonably certain that the Company will exercise that option. The Company generally uses the base, non-cancelable, lease term when determining the lease assets and liabilities. As of December 31, 2024 and 2023, the Company had no finance leases.</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Lease terms may include options to extend or terminate the lease when it is reasonably certain that the Company will exercise such options. As the Company’s leases do not provide an implicit rate, the Company uses its collateralized incremental borrowing rate based on the information available at the lease commencement date, including any reasonably certain renewal lease term, in determining the present value of lease payments. Lease expense for these operating leases is recognized on a straight-line basis over the lease term and is reflected in the consolidated statements of operations in selling, general and administrative expenses. Payments under lease arrangements are primarily fixed, however, most lease agreements also contain variable payments. Variable lease payments are expensed as incurred and not included in the operating lease ROU assets and lease liabilities. These variable amounts primarily include payments for taxes, parking and common area maintenance.</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Company has made an accounting policy election not to recognize ROU assets and lease obligations for its short-term leases, which are defined as leases with an initial term of twelve months or less. However, the Company will recognize these lease payments in the consolidated statements of operations on a straight-line basis over the lease term and variable lease payments in the period in which the obligation is incurred. Lease payments for month-to-month leases are recognized as incurred.</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40"/>
          </w:cols>
          <w:pgMar w:left="320" w:top="482" w:right="4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Software development costs for software to be sold, leased, or marketed are accounted for in accordance with Accounting Standards Codification (“ASC”) 985-20, </w:t>
      </w:r>
      <w:r>
        <w:rPr>
          <w:rFonts w:ascii="Times New Roman" w:cs="Times New Roman" w:eastAsia="Times New Roman" w:hAnsi="Times New Roman"/>
          <w:sz w:val="18"/>
          <w:szCs w:val="18"/>
          <w:i w:val="1"/>
          <w:iCs w:val="1"/>
          <w:color w:val="auto"/>
        </w:rPr>
        <w:t>Software — Costs of Software to be Sold, Leased or Marketed</w:t>
      </w:r>
      <w:r>
        <w:rPr>
          <w:rFonts w:ascii="Times New Roman" w:cs="Times New Roman" w:eastAsia="Times New Roman" w:hAnsi="Times New Roman"/>
          <w:sz w:val="18"/>
          <w:szCs w:val="18"/>
          <w:color w:val="auto"/>
        </w:rPr>
        <w:t>. Under ASC 985-20, software development costs incurred in creating software solutions are expensed until technological feasibility has been established and costs are determined to be recoverable. Thereafter, all software development costs incurred through the software’s general release date to customers are capitalized and subsequently recorded at the lower of amortized cost or net realizable value. To date, the establishment of technological feasibility of the Company’s software solutions has occurred shortly before the software’s general release date to customers. Additionally, amortization is calculated on a software feature-by-feature basis and the estimated economic life of a feature is one year. To date, the impact of capitalizing qualifying software development costs has been immaterial.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Deferred offering costs, which consist of direct incremental legal, consulting and banking fees primarily relating to the Company’s merger with BurTech (see Note 1), whereby the Company will become a public company, are capitalized and will be offset against proceeds upon the consummation of the offering within stockholders’ deficit. In the event an anticipated offering is terminated, deferred offering costs will be expensed. As of December 31, 2024 and 2023 there were $11.1 million and $1.5 million, respectively, capitalized deferred offering costs included in prepaid expenses and other current assets on the consolidated balance sheets.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years ended December 31, 2024 and 2023, the Company did not recognize any impairment expense related to its long-lived assets.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Evaluation</w:t>
      </w:r>
    </w:p>
    <w:p>
      <w:pPr>
        <w:spacing w:after="0" w:line="121"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its convertible notes, some of which contain predominantly fixed rate conversion features, whereby the outstanding principal and accrued interest may be converted by the holder into a variable number of shares of preferred stock at a fixed discount to the market price of the common stock at the time of conversion under ASU 2020-06 </w:t>
      </w:r>
      <w:r>
        <w:rPr>
          <w:rFonts w:ascii="Times New Roman" w:cs="Times New Roman" w:eastAsia="Times New Roman" w:hAnsi="Times New Roman"/>
          <w:sz w:val="18"/>
          <w:szCs w:val="18"/>
          <w:i w:val="1"/>
          <w:iCs w:val="1"/>
          <w:color w:val="auto"/>
        </w:rPr>
        <w:t>Debt—Debt with Conversion and Other Options (Subtopic 470-20),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Hedging—Contracts in Entity’s Own Equity (Subtopic 815-40)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Accounting for Convertible Instruments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080"/>
          </w:cols>
          <w:pgMar w:left="320" w:top="482" w:right="4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2" w:lineRule="exact"/>
        <w:rPr>
          <w:sz w:val="20"/>
          <w:szCs w:val="20"/>
          <w:color w:val="auto"/>
        </w:rPr>
      </w:pPr>
    </w:p>
    <w:p>
      <w:pPr>
        <w:ind w:left="120"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and Contracts in an Entity’s Own Equity </w:t>
      </w:r>
      <w:r>
        <w:rPr>
          <w:rFonts w:ascii="Times New Roman" w:cs="Times New Roman" w:eastAsia="Times New Roman" w:hAnsi="Times New Roman"/>
          <w:sz w:val="18"/>
          <w:szCs w:val="18"/>
          <w:color w:val="auto"/>
        </w:rPr>
        <w:t>(ASU 2020-06). The Company has elected to account for its convertible notes at fair value at each period 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pursuant to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wherein changes in the fair value are recorded as change in fair value of convertible notes in the consolidated statements of operations.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has issued freestanding warrants in connection with certain of its convertible debt agreements and preferred stock issuances which have been recorded as long-term liabilities in the consolidated balance sheets at their estimated fair value. At initial recognition, the warrants were recorded at their estimated fair value calculated using the Black-Scholes-Merton (“Black-Scholes”) option pricing model (see Note 8). The liability associated with these warrants is subject to remeasurement at each balance sheet date, with changes in fair value recorded as change in the fair value of warrant liabilities in the consolidated statements of operations. The warrants will continue to be remeasured until the earlier of the expiration or exercise of the warrants. The warrants are recorded at fair value each reporting period using the Black-Scholes option pricing model.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Company’s redeemable convertible preferred stock has been classified outside of stockholders’ deficit, as mezzanine equity, due to the redemption option of the preferred stock shareholders (see Note 10). The Company records redeemable convertible preferred stock at fair value on the dates of issuance, net of issuance costs. The Company has adjusted the carrying values of the redeemable convertible preferred stock, subsequent to the initial issuance date, to the redemption value of such shares because it is probable that the convertible preferred stock will become redeemable.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derives revenue from product sales, license and development arrangements, joint marketing arrangements and cloud services. The Company recognizes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in which it determines revenue recognition through the following steps: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00"/>
          </w:cols>
          <w:pgMar w:left="320" w:top="482" w:right="47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11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11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5: Recognize revenue when the company satisfies a performance obligation.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w:t>
      </w:r>
    </w:p>
    <w:p>
      <w:pPr>
        <w:spacing w:after="0" w:line="180"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Revenue from hardware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Company’s license and development arrangements entail revenue from the licensing of its intellectual property (“IP”) and also include nonrecurring engineering development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w:t>
      </w:r>
    </w:p>
    <w:p>
      <w:pPr>
        <w:spacing w:after="0" w:line="187"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 on the consolidated balance sheets, as of December 31, 2024 and 2023 (in thousands):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0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1,100</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$ 1,830</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Addition of deferred revenue</w:t>
            </w: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3,113</w:t>
            </w: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revenue</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8"/>
              </w:rPr>
              <w:t>(1,100)</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(3,843)</w:t>
            </w:r>
          </w:p>
        </w:tc>
      </w:tr>
      <w:tr>
        <w:trPr>
          <w:trHeight w:val="22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3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$ 1,100</w:t>
            </w:r>
          </w:p>
        </w:tc>
        <w:tc>
          <w:tcPr>
            <w:tcW w:w="100" w:type="dxa"/>
            <w:vAlign w:val="bottom"/>
          </w:tcPr>
          <w:p>
            <w:pPr>
              <w:spacing w:after="0"/>
              <w:rPr>
                <w:sz w:val="19"/>
                <w:szCs w:val="19"/>
                <w:color w:val="auto"/>
              </w:rPr>
            </w:pPr>
          </w:p>
        </w:tc>
      </w:tr>
      <w:tr>
        <w:trPr>
          <w:trHeight w:val="20"/>
        </w:trPr>
        <w:tc>
          <w:tcPr>
            <w:tcW w:w="30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060" w:type="dxa"/>
            <w:vAlign w:val="bottom"/>
          </w:tcPr>
          <w:p>
            <w:pPr>
              <w:spacing w:after="0"/>
              <w:rPr>
                <w:sz w:val="24"/>
                <w:szCs w:val="24"/>
                <w:color w:val="auto"/>
              </w:rPr>
            </w:pPr>
          </w:p>
        </w:tc>
        <w:tc>
          <w:tcPr>
            <w:tcW w:w="3560" w:type="dxa"/>
            <w:vAlign w:val="bottom"/>
            <w:gridSpan w:val="2"/>
          </w:tcPr>
          <w:p>
            <w:pPr>
              <w:jc w:val="right"/>
              <w:ind w:right="2176"/>
              <w:spacing w:after="0"/>
              <w:rPr>
                <w:sz w:val="20"/>
                <w:szCs w:val="20"/>
                <w:color w:val="auto"/>
              </w:rPr>
            </w:pPr>
            <w:r>
              <w:rPr>
                <w:rFonts w:ascii="Times New Roman" w:cs="Times New Roman" w:eastAsia="Times New Roman" w:hAnsi="Times New Roman"/>
                <w:sz w:val="18"/>
                <w:szCs w:val="18"/>
                <w:color w:val="auto"/>
              </w:rPr>
              <w:t>F-52</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these fees are reflected in revenue and the related fulfillment costs are accrued as cost of revenue as the related fulfillment costs incurred.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sales.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Costs related to the Company’s research and development (“R&amp;D”) activities are expensed as incurred. R&amp;D expense consists primarily of personnel costs for the Company’s R&amp;D activities. R&amp;D expense also includes costs associated with the design and development of the Company’s AI edge computing hardware and software.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in selling, general and administrative expenses in the consolidated statements of operations. Advertising costs were immaterial for the years ended December 31, 2024 and 2023,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is subject to tax audits in various jurisdictions. The Company regularly assesses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income tax expense.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the cost of employee, non-employee consultants and non-employee directors’ services received in exchange for awards of stock options based on the fair value of those awards at the date of grant over the requisite service period. The fair value of stock options granted is determined using the Black-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20"/>
          </w:cols>
          <w:pgMar w:left="320" w:top="482"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Scholes option-pricing model using various inputs, including Company estimates of expected stock price volatility, term, risk-free rate and future dividends. The Company has elected the simplified method to determine the expected term of the option grants.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also grants RSUs to employees and non-employee consultants, which vest upon the satisfaction of both a service-based condition and a liquidity event condition, as defined. The fair value of restricted stock units is determined based on the Company’s estimated fair value of common stock at the date of grant. As of December 31, 2024 and 2023, the Company has not recorded any stock-based compensation expense associated with the RSUs as a liquidity event has not occurred. If a liquidity event occurs in the future, the Company will record cumulative stock-based compensation using the accelerated attribution method for those RSUs for which the service condition has been satisfied prior to the liquidity event, and the Company will record the remaining unrecognized stock-based compensation over the remainder of the requisite service period.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Forfeitures are recognized as they occur.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w:t>
      </w:r>
    </w:p>
    <w:p>
      <w:pPr>
        <w:spacing w:after="0" w:line="1" w:lineRule="exact"/>
        <w:rPr>
          <w:sz w:val="20"/>
          <w:szCs w:val="20"/>
          <w:color w:val="auto"/>
        </w:rPr>
      </w:pPr>
    </w:p>
    <w:p>
      <w:pPr>
        <w:ind w:left="120" w:right="60" w:hanging="4"/>
        <w:spacing w:after="0" w:line="255" w:lineRule="auto"/>
        <w:tabs>
          <w:tab w:leader="none" w:pos="38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entity’s own assumptions about market participant assumptions developed based on the best information available in the circumstances (unobservable inputs).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requires fair value measurements be classified and disclosed in one of the following pricing categories:</w:t>
      </w:r>
    </w:p>
    <w:p>
      <w:pPr>
        <w:spacing w:after="0" w:line="76"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This level consists of unadjusted quoted prices in active markets for identical assets or liabilities that the reporting entity can access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measurement date.</w:t>
      </w:r>
    </w:p>
    <w:p>
      <w:pPr>
        <w:spacing w:after="0" w:line="158"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This level consists of observable inputs other than the quoted prices included within Level 1, such as quoted prices for similar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 markets that are not active or for which all significant inputs are observable or can be corroborated by observable market data, either directly or indirectly, for substantially the full term of the asset or liability.</w:t>
      </w:r>
    </w:p>
    <w:p>
      <w:pPr>
        <w:spacing w:after="0" w:line="17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This level consists of unobservable inputs for the asset or liability to the extent that observable inputs are not available, thereby allowing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situations in which there is little or no market data for the asset or liability at the measurement date. This requires the reporting entity to develop its own assumptions that market participants would use in pricing the asset or liability. The carrying amounts of cash, accounts receivable, prepaid expenses and other current assets, accounts payable, accrued loss on purchase commitments and accrued expenses and other liabilities approximate fair value because of their short-term maturities.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Company’s reporting and functional currency is the United Stated dollar (“USD”). The local currencies of its foreign subsidiaries are the Indian rupee, British pound, or Philippine peso,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 Revenues, cost of revenues, and operating expenses are remeasured at the average exchange rates in effect during each reporting period. The resulting transaction gains or losses are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20"/>
          </w:cols>
          <w:pgMar w:left="320" w:top="482"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4"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recognized in other income (expense), net, in the consolidated statements of operations. During the year ended December 31, 2024, foreign currency transaction losses of $0.2 million was included in other income (expense), net in the consolidated statements of operations. During the year ended December 31, 2023, foreign currency transaction gain was immaterial.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are primarily on deposit at high-credit quality financial institutions or invested in U.S. Government money market funds. The Company’s cash accounts in a financial institution may at times exceed the Federal Depository Insurance coverage of $250,000. Investments in money markets are not insured or guaranteed by the FDIC or any other government agency.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exposed to credit risk in the event of nonpayment by customers up to the amounts recorded on the consolidated balance sheets.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manages its accounts receivable credit risk through ongoing credit evaluation of its customers’ financial conditions.</w:t>
      </w:r>
    </w:p>
    <w:p>
      <w:pPr>
        <w:spacing w:after="0" w:line="20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one customer accounted for approximately 98% of the Company’s accounts receivable. As of December 31, 2023, one customer, a related party, accounted for approximately 98% of the Company’s accounts receivable (see Note 13).</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For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2024, two customers, both related parties, accounted for approximately 77% and 21% of the Company’s revenue. For the year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one customer, a related party, accounted for nearly 100% of the Company’s revenue (see Note 13).</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redeemable convertible preferred stock contractually entitles the holders of such stock to participate in dividends but does not contractually require the holders of such stock to participate in losses of the Company. Accordingly, in periods in which the Company reports a net loss attributable to common stockholders, such losses are not allocated to such participating securities.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purposes of this calculation, redeemable convertible preference stock, stock options and warrants have been excluded from the calculation of diluted net loss per share attributable to common stockholders as their effect is anti-dilutive for all periods presented.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Company operates in one reporting segment. Operating segments are defined as components of an enterprise about which separate financial information is evaluated regularly by the chief operating decision maker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00"/>
          </w:cols>
          <w:pgMar w:left="320" w:top="482" w:right="47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in deciding how to allocate resources and assessing performance. The Company’s Chief Executive Officer is the chief operating decision maker (“CODM”), who reviews financial information presented on a consolidated basis for the purposes of making operating decisions, allocating resources and evaluating financial performance.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is expected to be an emerging growth company, as defined in Section 2(a) of the Securities Act of 1933, as amended, (the “Securities Act”), as modified by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w:t>
      </w:r>
    </w:p>
    <w:p>
      <w:pPr>
        <w:spacing w:after="0" w:line="3" w:lineRule="exact"/>
        <w:rPr>
          <w:sz w:val="20"/>
          <w:szCs w:val="20"/>
          <w:color w:val="auto"/>
        </w:rPr>
      </w:pPr>
    </w:p>
    <w:p>
      <w:pPr>
        <w:ind w:left="120" w:right="40" w:hanging="4"/>
        <w:spacing w:after="0" w:line="260" w:lineRule="auto"/>
        <w:tabs>
          <w:tab w:leader="none" w:pos="38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This ASU improves reportable segment disclosure requirements, primarily through enhanced disclosures about significant segment expenses. The Company adopted this standard during the year ended December 31, 2024. The adoption resulted in expanded disclosures for the Company’s single reportable segment, but did not have a material impact on the Company’s consolidated financial statements (see Note 16).</w:t>
      </w:r>
    </w:p>
    <w:p>
      <w:pPr>
        <w:spacing w:after="0" w:line="180"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The FASB issued authoritative guidance that clarifies that an acquirer of a business should recognize and measure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assets and contract liabilities in a business combination in accordance with ASC Topic 606, Revenue from Contracts with Customers. The Company adopted this standard as of January 1, 2024. The adoption of this standard did not have an impact on the Company’s consolidated financial statements.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Not Yet Adopted</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Debt Instruments. </w:t>
      </w:r>
      <w:r>
        <w:rPr>
          <w:rFonts w:ascii="Times New Roman" w:cs="Times New Roman" w:eastAsia="Times New Roman" w:hAnsi="Times New Roman"/>
          <w:sz w:val="18"/>
          <w:szCs w:val="18"/>
          <w:color w:val="auto"/>
        </w:rPr>
        <w:t>This ASU clarifies guidance on the requirements for determining whether certain settlements of convertible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should be accounted for as an induced conversion or extinguishment. This guidance is effective for the Company beginning on January 1, 2026, and early adoption is permitted, although the Company does not plan to early adopt. The Company does not expect the adoption to have a material impact on the Company’s consolidated financial statements.</w:t>
      </w:r>
    </w:p>
    <w:p>
      <w:pPr>
        <w:spacing w:after="0" w:line="183"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Comprehensive Income-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This ASU requires disaggregated disclosure of income statement expenses for public business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ASU does not change the expense captions an entity presents on the face of the income statement; rather, it requires disaggregation of certain expense captions into specified categories in disclosures within the notes to the consolidated financial statements. This guidance is effective for the Company beginning on January 1, 2027, and early adoption is permitted, although the Company does not plan to early adopt. The Company is currently evaluating the impact of the adoption of this standard.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20"/>
          </w:cols>
          <w:pgMar w:left="320" w:top="482"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ASU enhances the transparency and decision usefulness of income tax disclosures. This guidance is effective for the Company beginning on January 1, 2025. Adoption will require enhancements to the Company’s income tax disclosures but is not expected to have a material impact on its consolidated financial statements.</w:t>
      </w:r>
    </w:p>
    <w:p>
      <w:pPr>
        <w:spacing w:after="0" w:line="180" w:lineRule="exact"/>
        <w:rPr>
          <w:sz w:val="20"/>
          <w:szCs w:val="20"/>
          <w:color w:val="auto"/>
        </w:rPr>
      </w:pPr>
    </w:p>
    <w:p>
      <w:pPr>
        <w:jc w:val="both"/>
        <w:ind w:left="120" w:right="300" w:firstLine="440"/>
        <w:spacing w:after="0" w:line="281" w:lineRule="auto"/>
        <w:rPr>
          <w:sz w:val="20"/>
          <w:szCs w:val="20"/>
          <w:color w:val="auto"/>
        </w:rPr>
      </w:pPr>
      <w:r>
        <w:rPr>
          <w:rFonts w:ascii="Times New Roman" w:cs="Times New Roman" w:eastAsia="Times New Roman" w:hAnsi="Times New Roman"/>
          <w:sz w:val="17"/>
          <w:szCs w:val="17"/>
          <w:color w:val="auto"/>
        </w:rPr>
        <w:t xml:space="preserve">In June 2022, the FASB issued ASU 2022-03, </w:t>
      </w:r>
      <w:r>
        <w:rPr>
          <w:rFonts w:ascii="Times New Roman" w:cs="Times New Roman" w:eastAsia="Times New Roman" w:hAnsi="Times New Roman"/>
          <w:sz w:val="17"/>
          <w:szCs w:val="17"/>
          <w:i w:val="1"/>
          <w:iCs w:val="1"/>
          <w:color w:val="auto"/>
        </w:rPr>
        <w:t>Fair Value Measurement (Topic 820): Fair Value Measurement of Equity Securities Subject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Contractual Sale Restrictions</w:t>
      </w:r>
      <w:r>
        <w:rPr>
          <w:rFonts w:ascii="Times New Roman" w:cs="Times New Roman" w:eastAsia="Times New Roman" w:hAnsi="Times New Roman"/>
          <w:sz w:val="17"/>
          <w:szCs w:val="17"/>
          <w:color w:val="auto"/>
        </w:rPr>
        <w:t>. This ASU clarifies guidance in Topic 820 and introduces new disclosure requirements for equity securities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contractual sale restrictions that are measured at fair value in accordance with Topic 820. This guidance is effective for the Company beginning on January 1, 2025. The Company does not expect the adoption to have a material impact on the Company’s consolidated financial statements.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revenue information by geographical region for the years ended December 31, 2024 and 2023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$1,215</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$3,848</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7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332</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7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1,554</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3,856</w:t>
            </w:r>
          </w:p>
        </w:tc>
        <w:tc>
          <w:tcPr>
            <w:tcW w:w="4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provides a disaggregation of revenue based on the pattern of revenue recognition for the years ended December 31, 2024 and 2023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78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5"/>
                <w:szCs w:val="15"/>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1,193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3,840</w:t>
            </w:r>
          </w:p>
        </w:tc>
      </w:tr>
      <w:tr>
        <w:trPr>
          <w:trHeight w:val="27"/>
        </w:trPr>
        <w:tc>
          <w:tcPr>
            <w:tcW w:w="47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7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1,554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3,856</w:t>
            </w:r>
          </w:p>
        </w:tc>
      </w:tr>
      <w:tr>
        <w:trPr>
          <w:trHeight w:val="20"/>
        </w:trPr>
        <w:tc>
          <w:tcPr>
            <w:tcW w:w="47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Revenue allocated to remaining performance obligations, which includes unearned or deferred revenue and amounts that will be invoiced and recognized as revenue in future periods as of December 31, 2024 and 2023, was as follows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5"/>
                <w:szCs w:val="15"/>
                <w:color w:val="auto"/>
              </w:rPr>
            </w:pPr>
          </w:p>
        </w:tc>
      </w:tr>
      <w:tr>
        <w:trPr>
          <w:trHeight w:val="210"/>
        </w:trPr>
        <w:tc>
          <w:tcPr>
            <w:tcW w:w="2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4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$— </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45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40" w:type="dxa"/>
            <w:vAlign w:val="bottom"/>
          </w:tcPr>
          <w:p>
            <w:pPr>
              <w:spacing w:after="0"/>
              <w:rPr>
                <w:sz w:val="19"/>
                <w:szCs w:val="19"/>
                <w:color w:val="auto"/>
              </w:rPr>
            </w:pPr>
          </w:p>
        </w:tc>
      </w:tr>
      <w:tr>
        <w:trPr>
          <w:trHeight w:val="216"/>
        </w:trPr>
        <w:tc>
          <w:tcPr>
            <w:tcW w:w="2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1,100</w:t>
            </w:r>
          </w:p>
        </w:tc>
      </w:tr>
      <w:tr>
        <w:trPr>
          <w:trHeight w:val="20"/>
        </w:trPr>
        <w:tc>
          <w:tcPr>
            <w:tcW w:w="24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2440" w:type="dxa"/>
            <w:vAlign w:val="bottom"/>
          </w:tcPr>
          <w:p>
            <w:pPr>
              <w:spacing w:after="0"/>
              <w:rPr>
                <w:sz w:val="24"/>
                <w:szCs w:val="24"/>
                <w:color w:val="auto"/>
              </w:rPr>
            </w:pPr>
          </w:p>
        </w:tc>
        <w:tc>
          <w:tcPr>
            <w:tcW w:w="4900" w:type="dxa"/>
            <w:vAlign w:val="bottom"/>
            <w:gridSpan w:val="2"/>
          </w:tcPr>
          <w:p>
            <w:pPr>
              <w:jc w:val="right"/>
              <w:ind w:right="2890"/>
              <w:spacing w:after="0"/>
              <w:rPr>
                <w:sz w:val="20"/>
                <w:szCs w:val="20"/>
                <w:color w:val="auto"/>
              </w:rPr>
            </w:pPr>
            <w:r>
              <w:rPr>
                <w:rFonts w:ascii="Times New Roman" w:cs="Times New Roman" w:eastAsia="Times New Roman" w:hAnsi="Times New Roman"/>
                <w:sz w:val="18"/>
                <w:szCs w:val="18"/>
                <w:color w:val="auto"/>
              </w:rPr>
              <w:t>F-57</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40"/>
          </w:cols>
          <w:pgMar w:left="320" w:top="482" w:right="5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financial assets and liabilities measured at fair value on a recurring basis aggregated by the level in the fair hierarchy (in thousands):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Level 1</w:t>
            </w:r>
          </w:p>
        </w:tc>
        <w:tc>
          <w:tcPr>
            <w:tcW w:w="20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color w:val="auto"/>
              </w:rPr>
              <w:t>December 31, 2024</w:t>
            </w:r>
          </w:p>
        </w:tc>
        <w:tc>
          <w:tcPr>
            <w:tcW w:w="100" w:type="dxa"/>
            <w:vAlign w:val="bottom"/>
          </w:tcPr>
          <w:p>
            <w:pPr>
              <w:spacing w:after="0"/>
              <w:rPr>
                <w:sz w:val="13"/>
                <w:szCs w:val="13"/>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Level 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Level 3</w:t>
            </w: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6"/>
              </w:rPr>
              <w:t>30,580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9,247</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4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6"/>
              </w:rPr>
              <w:t>44,894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44,894</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15,942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2023 Convertible notes</w:t>
            </w:r>
          </w:p>
        </w:tc>
        <w:tc>
          <w:tcPr>
            <w:tcW w:w="100" w:type="dxa"/>
            <w:vAlign w:val="bottom"/>
          </w:tcPr>
          <w:p>
            <w:pPr>
              <w:spacing w:after="0"/>
              <w:rPr>
                <w:sz w:val="18"/>
                <w:szCs w:val="18"/>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5"/>
              </w:rPr>
              <w:t>132,687</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132,687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14,711</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163,340</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163,340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Level 1</w:t>
            </w:r>
          </w:p>
        </w:tc>
        <w:tc>
          <w:tcPr>
            <w:tcW w:w="20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color w:val="auto"/>
              </w:rPr>
              <w:t>December 31, 2023</w:t>
            </w:r>
          </w:p>
        </w:tc>
        <w:tc>
          <w:tcPr>
            <w:tcW w:w="100" w:type="dxa"/>
            <w:vAlign w:val="bottom"/>
          </w:tcPr>
          <w:p>
            <w:pPr>
              <w:spacing w:after="0"/>
              <w:rPr>
                <w:sz w:val="24"/>
                <w:szCs w:val="24"/>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Level 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Level 3</w:t>
            </w: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14,641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Convertible notes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18,064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3,730</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36,435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Level 1 instruments consisted of U.S. Government treasury securities, U.S. Government money market funds, and mutual funds because they were valued using quoted prices in active markets and can be redeemed on any business days with an intermediary.</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Level 3 instruments consisted of the Company’s Pay-to-Play Convertible Notes (“P2P Notes”), the 2023 Convertible Notes, and warrant liabilities comprised of the Company’s Series D Shadow preferred stock warrants, Series D-2 Shadow preferred stock warrants, the warrants issued with the P2P Notes and the 2023 Convertible Notes, and the pre-funded common stock warrants (see Notes 7 and 8). The Company has elected to apply the fair value option to measure all convertible notes due to the nature of their embedded features.</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Changes in the fair value measurement of Level 3 liabilities related to unrealized gains (losses) resulting from remeasurement of the Company’s outstanding convertible notes and warrant liabilities (see Notes 7 and 8) are reflected in the change in fair value of convertible notes and change in fair value of warrant liabilities in the consolidated statements of operations.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00"/>
          </w:cols>
          <w:pgMar w:left="320" w:top="482" w:right="47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change in the fair value of the Level 3 liabilities during the years ended December 31, 2024 and 2023 was as follows (in thousands):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Pay-to-Play</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tcPr>
          <w:p>
            <w:pPr>
              <w:spacing w:after="0"/>
              <w:rPr>
                <w:sz w:val="13"/>
                <w:szCs w:val="13"/>
                <w:color w:val="auto"/>
              </w:rPr>
            </w:pPr>
          </w:p>
        </w:tc>
        <w:tc>
          <w:tcPr>
            <w:tcW w:w="104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color w:val="auto"/>
              </w:rPr>
              <w:t>Warrant</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4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notes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notes</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Reinstatement of common stock warrants as preferred stock warrants</w:t>
            </w: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Pay-to-Play convertible notes and related warrants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9,282</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Common rights offering</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2023 convertible notes and related warrants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11,175</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12,300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Pre-funded common stock warrants</w:t>
            </w: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6,889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10,477</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2023 convertible note warrants and related warrants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9"/>
              </w:rPr>
              <w:t>105,902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4,816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110,718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Pre-funded common stock warrants</w:t>
            </w: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8,721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15,723</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132,687</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14,711</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163,340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Company’s convertible notes and related warrants were classified within level 3 of the fair value hierarchy because there was no active market for the liabilities or similar instruments.</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years ended December 31, 2024 and 2023. Certain existing investors invested in P2P Notes during the year ended December 31, 2023, and accordingly, their common stock warrants were converted into Series D Shadow preferred stock warrants and reclassified as warrant liabilities (see Notes 7, 8 and 13).</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Effective with the Merger on January 13, 2025, all outstanding convertible notes and outstanding warrant liabilities were converted (see Note 1).</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Supplementary Balance Sheet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Inventories consists of the following as of December 31, 2024 and 2023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2800" w:type="dxa"/>
            <w:vAlign w:val="bottom"/>
            <w:tcBorders>
              <w:bottom w:val="single" w:sz="8" w:color="CCEEFF"/>
            </w:tcBorders>
          </w:tcPr>
          <w:p>
            <w:pPr>
              <w:spacing w:after="0"/>
              <w:rPr>
                <w:sz w:val="15"/>
                <w:szCs w:val="15"/>
                <w:color w:val="auto"/>
              </w:rPr>
            </w:pPr>
          </w:p>
        </w:tc>
        <w:tc>
          <w:tcPr>
            <w:tcW w:w="40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5"/>
                <w:szCs w:val="15"/>
                <w:color w:val="auto"/>
              </w:rPr>
            </w:pPr>
          </w:p>
        </w:tc>
      </w:tr>
      <w:tr>
        <w:trPr>
          <w:trHeight w:val="210"/>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3"/>
              </w:rPr>
              <w:t>1,064</w:t>
            </w: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1,542</w:t>
            </w: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3"/>
              </w:rPr>
              <w:t>7,410</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4,964</w:t>
            </w:r>
          </w:p>
        </w:tc>
      </w:tr>
      <w:tr>
        <w:trPr>
          <w:trHeight w:val="223"/>
        </w:trPr>
        <w:tc>
          <w:tcPr>
            <w:tcW w:w="2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40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8,561</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6,522</w:t>
            </w:r>
          </w:p>
        </w:tc>
        <w:tc>
          <w:tcPr>
            <w:tcW w:w="40" w:type="dxa"/>
            <w:vAlign w:val="bottom"/>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800" w:type="dxa"/>
            <w:vAlign w:val="bottom"/>
          </w:tcPr>
          <w:p>
            <w:pPr>
              <w:spacing w:after="0"/>
              <w:rPr>
                <w:sz w:val="24"/>
                <w:szCs w:val="24"/>
                <w:color w:val="auto"/>
              </w:rPr>
            </w:pPr>
          </w:p>
        </w:tc>
        <w:tc>
          <w:tcPr>
            <w:tcW w:w="4140" w:type="dxa"/>
            <w:vAlign w:val="bottom"/>
            <w:gridSpan w:val="2"/>
          </w:tcPr>
          <w:p>
            <w:pPr>
              <w:jc w:val="right"/>
              <w:ind w:right="2490"/>
              <w:spacing w:after="0"/>
              <w:rPr>
                <w:sz w:val="20"/>
                <w:szCs w:val="20"/>
                <w:color w:val="auto"/>
              </w:rPr>
            </w:pPr>
            <w:r>
              <w:rPr>
                <w:rFonts w:ascii="Times New Roman" w:cs="Times New Roman" w:eastAsia="Times New Roman" w:hAnsi="Times New Roman"/>
                <w:sz w:val="18"/>
                <w:szCs w:val="18"/>
                <w:color w:val="auto"/>
              </w:rPr>
              <w:t>F-59</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60"/>
          </w:cols>
          <w:pgMar w:left="320" w:top="482" w:right="61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 consists of the following as of December 31, 2024 and 2023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r>
      <w:tr>
        <w:trPr>
          <w:trHeight w:val="209"/>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$11,121</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$1,491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Prepaid taxes</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2,020</w:t>
            </w:r>
          </w:p>
        </w:tc>
        <w:tc>
          <w:tcPr>
            <w:tcW w:w="46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licenses and maintenance</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510</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Advances paid to contract manufacturer</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441</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Prepaid subscriptions</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843</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r>
      <w:tr>
        <w:trPr>
          <w:trHeight w:val="22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14,837</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2,836</w:t>
            </w:r>
          </w:p>
        </w:tc>
        <w:tc>
          <w:tcPr>
            <w:tcW w:w="4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and equipment, net, consists of the following as of December 31, 2024 and 2023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4,984</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1,594</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6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(14,751)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(18,503)</w:t>
            </w:r>
          </w:p>
        </w:tc>
      </w:tr>
      <w:tr>
        <w:trPr>
          <w:trHeight w:val="223"/>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depreciation and amortization expense of property and equipment was $0.9 million and $2.0 million,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consists of the following as of December 31, 2024 and 2023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purchases</w:t>
            </w:r>
          </w:p>
        </w:tc>
        <w:tc>
          <w:tcPr>
            <w:tcW w:w="3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$3,813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6,124</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2,617</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costs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2,104</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733</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479</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r>
      <w:tr>
        <w:trPr>
          <w:trHeight w:val="223"/>
        </w:trPr>
        <w:tc>
          <w:tcPr>
            <w:tcW w:w="3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30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11,996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7,464</w:t>
            </w:r>
          </w:p>
        </w:tc>
        <w:tc>
          <w:tcPr>
            <w:tcW w:w="4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3660" w:type="dxa"/>
            <w:vAlign w:val="bottom"/>
          </w:tcPr>
          <w:p>
            <w:pPr>
              <w:spacing w:after="0"/>
              <w:rPr>
                <w:sz w:val="24"/>
                <w:szCs w:val="24"/>
                <w:color w:val="auto"/>
              </w:rPr>
            </w:pPr>
          </w:p>
        </w:tc>
        <w:tc>
          <w:tcPr>
            <w:tcW w:w="3180" w:type="dxa"/>
            <w:vAlign w:val="bottom"/>
            <w:gridSpan w:val="2"/>
          </w:tcPr>
          <w:p>
            <w:pPr>
              <w:jc w:val="right"/>
              <w:ind w:right="2390"/>
              <w:spacing w:after="0"/>
              <w:rPr>
                <w:sz w:val="20"/>
                <w:szCs w:val="20"/>
                <w:color w:val="auto"/>
              </w:rPr>
            </w:pPr>
            <w:r>
              <w:rPr>
                <w:rFonts w:ascii="Times New Roman" w:cs="Times New Roman" w:eastAsia="Times New Roman" w:hAnsi="Times New Roman"/>
                <w:sz w:val="18"/>
                <w:szCs w:val="18"/>
                <w:color w:val="auto"/>
              </w:rPr>
              <w:t>F-60</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780"/>
          </w:cols>
          <w:pgMar w:left="320" w:top="482" w:right="7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Loss on Purchase Commitments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2024 and 2023, accrued loss on purchase commitments were $0.6 million and $3.6 million, respectively (see Note 12).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compensation consists of the following as of December 31, 2024 and 2023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600" w:type="dxa"/>
            <w:vAlign w:val="bottom"/>
            <w:tcBorders>
              <w:bottom w:val="single" w:sz="8" w:color="CCEEFF"/>
            </w:tcBorders>
          </w:tcPr>
          <w:p>
            <w:pPr>
              <w:spacing w:after="0"/>
              <w:rPr>
                <w:sz w:val="15"/>
                <w:szCs w:val="15"/>
                <w:color w:val="auto"/>
              </w:rPr>
            </w:pPr>
          </w:p>
        </w:tc>
        <w:tc>
          <w:tcPr>
            <w:tcW w:w="2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5"/>
                <w:szCs w:val="15"/>
                <w:color w:val="auto"/>
              </w:rPr>
            </w:pP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401K payable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liabilities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4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compensation</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1,613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1,938</w:t>
            </w:r>
          </w:p>
        </w:tc>
      </w:tr>
      <w:tr>
        <w:trPr>
          <w:trHeight w:val="20"/>
        </w:trPr>
        <w:tc>
          <w:tcPr>
            <w:tcW w:w="4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represents the domestic and foreign components of loss from operations before income taxes for the years ended December 31,</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 and 2023 (in thousands):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26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9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9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$(64,690)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$(89,525)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1,338</w:t>
            </w:r>
          </w:p>
        </w:tc>
      </w:tr>
      <w:tr>
        <w:trPr>
          <w:trHeight w:val="27"/>
        </w:trPr>
        <w:tc>
          <w:tcPr>
            <w:tcW w:w="4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2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(62,147)</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(88,187)</w:t>
            </w:r>
          </w:p>
        </w:tc>
      </w:tr>
      <w:tr>
        <w:trPr>
          <w:trHeight w:val="20"/>
        </w:trPr>
        <w:tc>
          <w:tcPr>
            <w:tcW w:w="4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Company’s components of the benefit from income taxes consists of the following for the years ended December 31, 2024 and 2023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140" w:type="dxa"/>
            <w:vAlign w:val="bottom"/>
            <w:tcBorders>
              <w:bottom w:val="single" w:sz="8" w:color="CCEEFF"/>
            </w:tcBorders>
          </w:tcPr>
          <w:p>
            <w:pPr>
              <w:spacing w:after="0"/>
              <w:rPr>
                <w:sz w:val="15"/>
                <w:szCs w:val="15"/>
                <w:color w:val="auto"/>
              </w:rPr>
            </w:pPr>
          </w:p>
        </w:tc>
        <w:tc>
          <w:tcPr>
            <w:tcW w:w="3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196"/>
        </w:trPr>
        <w:tc>
          <w:tcPr>
            <w:tcW w:w="3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3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(256)</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 — </w:t>
            </w:r>
          </w:p>
        </w:tc>
      </w:tr>
      <w:tr>
        <w:trPr>
          <w:trHeight w:val="216"/>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States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5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w:t>
            </w:r>
          </w:p>
        </w:tc>
      </w:tr>
      <w:tr>
        <w:trPr>
          <w:trHeight w:val="27"/>
        </w:trPr>
        <w:tc>
          <w:tcPr>
            <w:tcW w:w="31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5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(491)</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 — </w:t>
            </w:r>
          </w:p>
        </w:tc>
      </w:tr>
      <w:tr>
        <w:trPr>
          <w:trHeight w:val="216"/>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States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8"/>
              </w:rPr>
              <w:t>(1,124)</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3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(1,124)</w:t>
            </w:r>
          </w:p>
        </w:tc>
        <w:tc>
          <w:tcPr>
            <w:tcW w:w="58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r>
      <w:tr>
        <w:trPr>
          <w:trHeight w:val="216"/>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(952)</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(598)</w:t>
            </w:r>
          </w:p>
        </w:tc>
      </w:tr>
      <w:tr>
        <w:trPr>
          <w:trHeight w:val="20"/>
        </w:trPr>
        <w:tc>
          <w:tcPr>
            <w:tcW w:w="3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140" w:type="dxa"/>
            <w:vAlign w:val="bottom"/>
          </w:tcPr>
          <w:p>
            <w:pPr>
              <w:spacing w:after="0"/>
              <w:rPr>
                <w:sz w:val="24"/>
                <w:szCs w:val="24"/>
                <w:color w:val="auto"/>
              </w:rPr>
            </w:pPr>
          </w:p>
        </w:tc>
        <w:tc>
          <w:tcPr>
            <w:tcW w:w="3620" w:type="dxa"/>
            <w:vAlign w:val="bottom"/>
            <w:gridSpan w:val="2"/>
          </w:tcPr>
          <w:p>
            <w:pPr>
              <w:jc w:val="right"/>
              <w:ind w:right="2310"/>
              <w:spacing w:after="0"/>
              <w:rPr>
                <w:sz w:val="20"/>
                <w:szCs w:val="20"/>
                <w:color w:val="auto"/>
              </w:rPr>
            </w:pPr>
            <w:r>
              <w:rPr>
                <w:rFonts w:ascii="Times New Roman" w:cs="Times New Roman" w:eastAsia="Times New Roman" w:hAnsi="Times New Roman"/>
                <w:sz w:val="18"/>
                <w:szCs w:val="18"/>
                <w:color w:val="auto"/>
              </w:rPr>
              <w:t>F-61</w:t>
            </w: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780"/>
          </w:cols>
          <w:pgMar w:left="320" w:top="482" w:right="7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Income tax expense differs from the amount of income tax determined by applying the U.S. federal statutory income tax rate of 21% to pretax loss as a result of the following differences for the years ended December 31, 2024 and 2023 ($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7480" w:type="dxa"/>
            <w:vAlign w:val="bottom"/>
          </w:tcPr>
          <w:p>
            <w:pPr>
              <w:spacing w:after="0"/>
              <w:rPr>
                <w:sz w:val="12"/>
                <w:szCs w:val="12"/>
                <w:color w:val="auto"/>
              </w:rPr>
            </w:pPr>
          </w:p>
        </w:tc>
        <w:tc>
          <w:tcPr>
            <w:tcW w:w="980" w:type="dxa"/>
            <w:vAlign w:val="bottom"/>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220" w:type="dxa"/>
            <w:vAlign w:val="bottom"/>
          </w:tcPr>
          <w:p>
            <w:pPr>
              <w:spacing w:after="0"/>
              <w:rPr>
                <w:sz w:val="12"/>
                <w:szCs w:val="12"/>
                <w:color w:val="auto"/>
              </w:rPr>
            </w:pPr>
          </w:p>
        </w:tc>
      </w:tr>
      <w:tr>
        <w:trPr>
          <w:trHeight w:val="209"/>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(62,147)</w:t>
            </w:r>
          </w:p>
        </w:tc>
        <w:tc>
          <w:tcPr>
            <w:tcW w:w="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(88,187)</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(13,049)</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(18,522)</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Gain on remeasurement of warrant liability</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3,302</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equity financing charge (permanent difference)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7,525</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802</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3,620</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accrual adjustment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(896)</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195</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(539)</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270</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10,290</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7,936</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(796)</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(567)</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7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(952)</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(598)</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7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the Company’s deferred tax assets and liabilities are as follows as of December 31, 2024 and 2023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55,739</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45,600</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credit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5,678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4,989</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reserves and accrued expenses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1,105</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Capitalized R&amp;D Sec 174</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13,423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9,533</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78,060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62,077</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(75,826)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(60,937)</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 of use assets</w:t>
            </w:r>
          </w:p>
        </w:tc>
        <w:tc>
          <w:tcPr>
            <w:tcW w:w="10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In determining the need for a valuation allowance, the Company weighs both positive and negative evidence in the various jurisdictions in which it operates to determine whether it is more likely than not that deferred tax assets are recoverable. In assessing the ultimate realizability of its net deferred tax assets, the Company evaluates all available objective evidence, including the cumulative losses and expected future losses and as such,</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40"/>
          </w:cols>
          <w:pgMar w:left="320" w:top="482" w:right="4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management does not believe it is more likely than not that the net deferred tax assets will be realized. Accordingly, a full valuation allowance has been established in the U.S. and the Philippines. As of December 31, 2024 and 2023, the valuation allowance was $75.8 million and $60.9 million, respectively. The increase of $14.9 million in the Company’s valuation allowance as of December 31, 2024 compared to the prior year was primarily due to an increase in deferred tax assets arising from capitalized research and experimental expenditures and net operating losses.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At December 31, 2024, the Company had U.S. federal net operating loss (“NOL”) carryforwards of $215.5 million and U.S. state NOL carryforwards of $149.9 million. The U.S. federal NOL carryforwards will begin to expire in the year 2030 and the state NOL carryforwards will also begin to expire in the year 2030. As of December 31, 2024, the Company had federal tax credit carryforwards of $5.7 million available to offset future U.S. federal income taxes payable, which will begin to expire in the year 2035. As of December 31, 2024, the Company had state tax credit carryforwards of $4.3 million available to offset future state income taxes payable and foreign tax credits of $97.2 million available to offset future India income taxes payable.</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Company’s ability to utilize the net operating loss and tax credit carryforwards in the future may be subject to substantial restriction in the event of past or future ownership changes as defined in Section 382 of the Internal Revenue Code and similar state tax laws. In the event the Company should experience an ownership change, as defined, utilization of its net operating loss carryforwards and tax credits could be limited. Due to the existence of the valuation allowance, future changes in the Company’s unrecognized tax benefits will not impact its effective tax rate. Any carryforwards that will expire prior to utilization as a result of such limitations will be removed from deferred tax assets with a corresponding reduction of the valuation allowance.</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It is the Company’s policy to include penalties and interest expense related to income taxes as a component of income tax expense. Management determined that no accrual for interest and penalties was required as of December 31, 2024 and 2023.</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Company’s primary tax jurisdictions are the United States, United Kingdom and India. All tax years since inception remain open to examination by the U.S. federal authorities as a result of the net operating losses and credit carryforwards since inception. The Company is not currently under income tax examinations in any foreign or state jurisdiction.</w:t>
      </w:r>
    </w:p>
    <w:p>
      <w:pPr>
        <w:spacing w:after="0" w:line="17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It is the Company’s policy to indefinitely reinvest undistributed earnings of their foreign subsidiaries and hence, no deferred tax liability for withholding taxes on undistributed earnings is required.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19" w:lineRule="exact"/>
        <w:rPr>
          <w:sz w:val="20"/>
          <w:szCs w:val="20"/>
          <w:color w:val="auto"/>
        </w:rPr>
      </w:pPr>
    </w:p>
    <w:p>
      <w:pPr>
        <w:jc w:val="both"/>
        <w:ind w:left="120" w:right="820" w:firstLine="440"/>
        <w:spacing w:after="0" w:line="315" w:lineRule="auto"/>
        <w:rPr>
          <w:sz w:val="20"/>
          <w:szCs w:val="20"/>
          <w:color w:val="auto"/>
        </w:rPr>
      </w:pPr>
      <w:r>
        <w:rPr>
          <w:rFonts w:ascii="Times New Roman" w:cs="Times New Roman" w:eastAsia="Times New Roman" w:hAnsi="Times New Roman"/>
          <w:sz w:val="17"/>
          <w:szCs w:val="17"/>
          <w:color w:val="auto"/>
        </w:rPr>
        <w:t xml:space="preserve">The Company applied FASB ASC 740-10-50, </w:t>
      </w:r>
      <w:r>
        <w:rPr>
          <w:rFonts w:ascii="Times New Roman" w:cs="Times New Roman" w:eastAsia="Times New Roman" w:hAnsi="Times New Roman"/>
          <w:sz w:val="17"/>
          <w:szCs w:val="17"/>
          <w:i w:val="1"/>
          <w:iCs w:val="1"/>
          <w:color w:val="auto"/>
        </w:rPr>
        <w:t>Accounting for Uncertainty in Income Tax</w:t>
      </w:r>
      <w:r>
        <w:rPr>
          <w:rFonts w:ascii="Times New Roman" w:cs="Times New Roman" w:eastAsia="Times New Roman" w:hAnsi="Times New Roman"/>
          <w:sz w:val="17"/>
          <w:szCs w:val="17"/>
          <w:color w:val="auto"/>
        </w:rPr>
        <w:t>, which prescribes a recognition threshold and measurement attribute for the financial statement recognition and measurement of a tax position taken or expected to be taken in a tax return.</w:t>
      </w:r>
    </w:p>
    <w:p>
      <w:pPr>
        <w:spacing w:after="0" w:line="137"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The Company had unrecognized tax benefits of approximately $5.0 million and $4.3 million as of December 31, 2024 and 2023, respectively. ASC 740-10 prescribes a comprehensive model for the recognition, measurement, presentation and disclosure in financial statements of any uncertain tax positions that have been taken or expected to be taken on a tax return. The amount of unrecognized tax benefits is not expected to significantly change over the next twelve months. No amounts, outside of valuation allowance, would impact the effective tax rate on continuing operations.</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00"/>
          </w:cols>
          <w:pgMar w:left="320" w:top="482" w:right="4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beginning and ending unrecognized tax benefits amounts is as follows as of December 31, 2024 and 2023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5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09"/>
        </w:trPr>
        <w:tc>
          <w:tcPr>
            <w:tcW w:w="7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$4,283</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$3,811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taken related to prior years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tax positions taken related to current period</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18"/>
                <w:szCs w:val="18"/>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end of period</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5,000</w:t>
            </w: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4,283</w:t>
            </w:r>
          </w:p>
        </w:tc>
        <w:tc>
          <w:tcPr>
            <w:tcW w:w="8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Convertible Notes and Demand Notes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2022 Convertible Securities:</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Pay-to-Play Convertible Notes:</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December 2022, in connection with the Company’s 2022 Pay-to-Play (“P2P”) transaction (the “P2P Transaction”), the Company entered into a Note Purchase and Exchange Agreement (“2022 P2P NPA”) with a group of lenders (each, a “Lender” and collectively, the “Lenders”). In January and February of 2023, the Company received $9.3 million in proceeds from the issuance of P2P Notes. Amounts received in 2022 and 2023 are referred to collectively as the “P2P Notes” (see Note 13). Pursuant to the 2022 P2P NPA, each Lender will pay the Company an agreed upon amount (“Consideration”) in return for one or more promissory notes. The P2P Notes have a 24-month term from the date of the 2022 P2P NPA which is December 9, 2024.</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2022 P2P NPA provides that the P2P Notes may be converted as follows:</w:t>
      </w:r>
    </w:p>
    <w:p>
      <w:pPr>
        <w:spacing w:after="0" w:line="131" w:lineRule="exact"/>
        <w:rPr>
          <w:sz w:val="20"/>
          <w:szCs w:val="20"/>
          <w:color w:val="auto"/>
        </w:rPr>
      </w:pPr>
    </w:p>
    <w:p>
      <w:pPr>
        <w:ind w:left="1080" w:hanging="424"/>
        <w:spacing w:after="0" w:line="261"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or repayment has not occurred wherein the Next Equity Financing is defined as the next sale of Company equity securities, including warrants, other than Series D-2 Preferred stock or warrants to purchase Series D-2 preferred stock, following the date of the 2022 P2P NPA for the purpose of raising capital with gross proceeds of at least $5 million excluding the P2P Notes.</w:t>
      </w:r>
    </w:p>
    <w:p>
      <w:pPr>
        <w:spacing w:after="0" w:line="85"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on or before the maturity date (December 9, 2024), the principal and unpaid accrued interest of each P2P Note shall, at the written election of the Requisite Noteholders (holders of a majority interest in the aggregate outstanding principal amount of the P2P Notes) and the Company, pursuant to mutually agreed-upon terms, be automatically converted (the “Maturity Conversion”) into a class of equity shares subject to mutual agreement between the Lenders and the Company.</w:t>
      </w:r>
    </w:p>
    <w:p>
      <w:pPr>
        <w:spacing w:after="0" w:line="88"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the existing Certificate of Incorporation), the P2P Notes shall either be repaid or, at the option of the Requisite Noteholders, converted. If conversion is elected upon a Corporate Transaction, the 2022 P2P NPA provides that all outstanding principal and unpaid accrued interest due on the P2P Notes shall be converted into common stock.</w:t>
      </w:r>
    </w:p>
    <w:p>
      <w:pPr>
        <w:spacing w:after="0" w:line="85"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a Corporate Transaction, repayment is elected by the Requisite Noteholders, the amount of the outstanding P2P Note balance will be repaid based on (i) whether or not the Lender provided consideration less than, equal to or greater than their Pro Rata Portion (calculated as the percentage ownership in Preferred Stock held by the lender) of $20 million (the “Insider Amount”) by (2) the date of Contribution being either prior to November 30, 2022 (the “Initial Commitment Date”) or February 24, 2023 (“Final Closing date”).</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120"/>
          </w:cols>
          <w:pgMar w:left="320" w:top="482"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080" w:right="40" w:hanging="424"/>
        <w:spacing w:after="0" w:line="257"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Lenders will receive payment equal to the then accrued and unpaid interest plus one and a half times (1.5X) the then outstanding principal, plus two times (2X) the outstanding principal (with respect only to the outstanding principal in excess of $1 million but less than $5 million), as applicable, plus three times (3X) the outstanding principal with respect only to the outstanding principal in excess of</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on the P2P Note.</w:t>
      </w:r>
    </w:p>
    <w:p>
      <w:pPr>
        <w:spacing w:after="0" w:line="20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Certain Lenders, who are also a holder of one or more P2P Notes, by either the Initial Commitment Date or the Final Closing Date, may also be entitled to receive warrants (“P2P Warrants”) to purchase equity securities of the Company, upon surrendering their P2P Notes to the Company, the number of which is to be determined by the type of shares into which the P2P Notes are converted as well as the level of investment. The Warrants will be exercisable, in whole or in part, during the term commencing on the date of issuance and ending December 9, 2025 (see Notes 8 and 13).</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elected to measure the P2P Notes in their entirety, for the respective period issued, at fair value with changes in fair value reported in a single line in the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discount rate aligned with the Company’s credit rating and the weighted average present value of each scenario used for the fair value of the P2P Notes. For the years ended December 31, 2024 and 2023, the Company recognized a change in fair value from the P2P Notes of approximately $1.3 million and $2.6 million, respectively (see Notes 4 and 13). Upfront costs and fees related to items for which the fair value option is elected must be recognized immediately. As such issuance costs (warrants) and fees associated with the convertible notes were recognized in current earnings.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2022 P2P NPA, any existing investor that purchased any P2P Note, received the right to exchange the common stock held following the November 30, 2022 conversion event (the “Converted Common”) for a number of shares of shadow preferred stock mirroring the respective classes of preferred stock held prior to the conversion (the “Pull-Through Exchange”), however, all Senior Series D (see Note 10) shareholders received an automatic pull-through of their Converted Common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purchases P2P Notes representing less than its pro rata portion of the Insider Amount, such investors Converted Common remain as Converted Common shares for that portion equal to the shortfall in its pro-rata contribution (see Note 10). Additionally, investors in the P2P Notes also received warrants (the “P2P Warrants”) whose total exercise price is determined based on the timing of investment as well as the level of investor participation vis-à-vis each investor’s designated pro-rata portion (see Note 8).</w:t>
      </w:r>
    </w:p>
    <w:p>
      <w:pPr>
        <w:spacing w:after="0" w:line="19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certain investors who previously had their preferred stock and Series D warrants converted to common stock and common stock warrants, respectively, in connection with the 2022 conversion event, invested in P2P Notes. The resulting Pull-Through Exchange reinstated their Converted Common stock into share of the class(es) of Shadow Preferred Stock identical to those held prior to the 2022 conversion event (See Note 10) and reinstated their warrants into Series D Shadow preferred stock warrants (see Note 8). The fair value of the Series D warrants at reinstatement, approximating $61,000, was recognized as a component of the Pay-to-Play financing charge for the year ended December 31, 2023.</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120"/>
          </w:cols>
          <w:pgMar w:left="320" w:top="482"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2022 P2P NPA provided the Company a right, subject to the approval of the Company’s Board of Directors (the “Board”), to conduct a common rights offering (the “Offering”) to raise additional funds. Pursuant to the 2022 P2P NPA, at the discretion of the Board, the Company could issue either shares of common stock or additional P2P Notes. 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Proceeds received under the Offering totaled $0.1 million. In addition to the P2P Note, each participating eligible common shareholder also received the right to have the number of common shares held immediately prior to the Offering restored to the total number of common shares held prior to the Company’s 2022 reverse stock-split. For the year ended December 31, 2023, this restoration of common shares resulted in incremental value to the participating eligible common investors of $5.2 million, measured as the fair value of the incremental common shares received or restored following the Offering. This incremental value has been accounted for as a Pay-to-Play financing charge in the accompanying consolidated statements of operations. During the year ended December 31, 2024, the Company did not enter into any Exchange Agreements with eligible common shareholders.</w:t>
      </w:r>
    </w:p>
    <w:p>
      <w:pPr>
        <w:spacing w:after="0" w:line="192"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On the Closing Date, as provided by the terms of the P2P notes, the outstanding P2P Notes were converted, at the option of the holders, to common stock upon the execution of the Merger (see Note 1).</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2023 Convertible Notes:</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From July 2023 through November 2023, the Company raised $12.3 million in convertible notes (the “2023 Convertible Notes”) under the note purchase agreement dated July 3, 2023, as amended on August 1, 2023 to refine the valuation cap definition (the “2023 NPA”) (see Note 13). The 2023 Convertible Notes accrue interest at 10% per annum and mature 18 months from the date of the 2023 NPA. The 2023 Convertible Notes are secured by all of the Company’s assets.</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received $110.7 million in additional proceeds from the issuance of 10% secured convertible notes under the 2023 NPA. The 2023 NPA was amended and restated on April 22, 2024 to accommodate a new group of lenders, the “Final Closing Lender”,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(5). In addition, the per share exercise price of the related 2023 Convertible Note Warrants upon a SPAC Transaction was amended to $11.50.</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the April 22, 2024 amendment, the convertible notes have a stated maturity date of December 31, 2025, and are subject to automatic conversion upon the consummation of a SPAC Transaction, as defined, subject to conversion or repayment at maturity or upon a Next Equity Financing, as defined, and are subject to repayment upon a Corporate Transaction, as defined. Investors in these secured convertible notes also received warrants to purchase equity shares of the Company.</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Of the $110.7 million in proceeds received during the year ended December 31, 2024, $11.5 million was received from BurTech (see Note 1), $2.4 million from miscellaneous parties, and $96.8 million from a separate third-party group of investors (the “RT Parties”) in connection with an agreement to provide convertible note financing of up to $125.0 million (the “Blaize Note Financing Agreement”). Under this separate agreement, the RT Parties and their transferees or distributes will not be required to execute any lock-up or similar agreement restricting transfer or disposition of all shares of common stock of Blaize issuable upon the conversion of the notes, all Company shares issuable upon the exercise of warrants issued to the RT Parties as well as all securities of New Blaize to be issued to the RT Parties upon consummation of the merger.</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100"/>
          </w:cols>
          <w:pgMar w:left="320" w:top="482" w:right="47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2023 NPA provides that the notes may be converted as follows:</w:t>
      </w:r>
    </w:p>
    <w:p>
      <w:pPr>
        <w:spacing w:after="0" w:line="131" w:lineRule="exact"/>
        <w:rPr>
          <w:sz w:val="20"/>
          <w:szCs w:val="20"/>
          <w:color w:val="auto"/>
        </w:rPr>
      </w:pPr>
    </w:p>
    <w:p>
      <w:pPr>
        <w:ind w:left="1080" w:right="220" w:hanging="424"/>
        <w:spacing w:after="0" w:line="261"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SPAC Conversion (as defined) or repayment has not occurred wherein the Next Equity Financing, defined as the next sale of Company equity securities or other securities issued in connection with Senior Indebtedness, following the date of the 2023 Convertible Notes for the purpose of raising capital.</w:t>
      </w:r>
    </w:p>
    <w:p>
      <w:pPr>
        <w:spacing w:after="0" w:line="85" w:lineRule="exact"/>
        <w:rPr>
          <w:rFonts w:ascii="Times New Roman" w:cs="Times New Roman" w:eastAsia="Times New Roman" w:hAnsi="Times New Roman"/>
          <w:sz w:val="18"/>
          <w:szCs w:val="18"/>
          <w:color w:val="auto"/>
        </w:rPr>
      </w:pPr>
    </w:p>
    <w:p>
      <w:pPr>
        <w:ind w:left="1540" w:hanging="331"/>
        <w:spacing w:after="0" w:line="256" w:lineRule="auto"/>
        <w:tabs>
          <w:tab w:leader="none" w:pos="1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Lenders who purchased a 2023 Convertible Note on or before July 3, 2023, the issuance of shares pursuant to the conversion of each note shall be subject to the same terms and conditions applicable to the equity securities sold in the Next Equity Financing, except that (A) the per share liquidation preference shall be 1.5 times the conversion price, (B) the initial conversion price for purposes of price-based anti-dilution protection will equal the conversion price, (C) the basis for any dividend rights will be based on the conversion price, and (D) such shares will rank senior to the other equity securities existing at the time of the applicable conversion with respect to liquidation preference.</w:t>
      </w:r>
    </w:p>
    <w:p>
      <w:pPr>
        <w:spacing w:after="0" w:line="92"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after July 3, 2023, the issuance of shares pursuant to the conversion of each note shall be subject to the same terms as described in the preceding paragraph except that the per share liquidation preference will equal the conversion price.</w:t>
      </w:r>
    </w:p>
    <w:p>
      <w:pPr>
        <w:spacing w:after="0" w:line="81" w:lineRule="exact"/>
        <w:rPr>
          <w:rFonts w:ascii="Times New Roman" w:cs="Times New Roman" w:eastAsia="Times New Roman" w:hAnsi="Times New Roman"/>
          <w:sz w:val="18"/>
          <w:szCs w:val="18"/>
          <w:color w:val="auto"/>
        </w:rPr>
      </w:pPr>
    </w:p>
    <w:p>
      <w:pPr>
        <w:ind w:left="1540" w:right="20" w:hanging="331"/>
        <w:spacing w:after="0" w:line="266" w:lineRule="auto"/>
        <w:tabs>
          <w:tab w:leader="none" w:pos="1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for all Lenders, regardless of purchase date, for this Next Equity Financing is the lesser of 80% of the per share issue price of the equity securities sold in this financing event or a calculated per share value based on a defined valuation cap and fully-diluted capital.</w:t>
      </w:r>
    </w:p>
    <w:p>
      <w:pPr>
        <w:spacing w:after="0" w:line="81"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SPAC conversion or repayment of the outstanding principal and unpaid accrued interest has not occurred on or before the maturity date (December 31, 2025), the principal and unpaid accrued interest of each 2023 Convertible Note shall, at the written election of the Requisite Noteholders (which must include certain noteholder), pursuant to mutually agreed-upon terms, be automatically converted (the “Maturity Conversion”) into a class of equity shares subject to mutual agreement between the Lenders and the Company.</w:t>
      </w:r>
    </w:p>
    <w:p>
      <w:pPr>
        <w:spacing w:after="0" w:line="88"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prior to a SPAC transaction, the principal and unpaid accrued interest of each 2023 Convertible Note, with the exception of notes issued to a Final Closing Lender, shall automatically convert (the “SPAC Conversion”) into a number of common shares equal to the quotient obtained by dividing the outstanding principal and unpaid accrued interest on each 2023 Convertible Note by the applicable conversion price. The conversion price in this SPAC Conversion is the lesser of 80% of the SPAC price per share or a calculated per share value based on a defined valuation cap and fully-diluted capital immediately prior to the SPAC transaction.</w:t>
      </w:r>
    </w:p>
    <w:p>
      <w:pPr>
        <w:spacing w:after="0" w:line="92"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the existing Certificate of Incorporation), the 2023 Convertible Notes shall be repaid as follows at the closing of the Corporate Transaction:</w:t>
      </w:r>
    </w:p>
    <w:p>
      <w:pPr>
        <w:spacing w:after="0" w:line="67" w:lineRule="exact"/>
        <w:rPr>
          <w:rFonts w:ascii="Times New Roman" w:cs="Times New Roman" w:eastAsia="Times New Roman" w:hAnsi="Times New Roman"/>
          <w:sz w:val="18"/>
          <w:szCs w:val="18"/>
          <w:color w:val="auto"/>
        </w:rPr>
      </w:pPr>
    </w:p>
    <w:p>
      <w:pPr>
        <w:jc w:val="both"/>
        <w:ind w:left="1540" w:right="40" w:hanging="331"/>
        <w:spacing w:after="0" w:line="312" w:lineRule="auto"/>
        <w:tabs>
          <w:tab w:leader="none" w:pos="1540"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Lender who purchased a 2023 Convertible Note on or before July 3, 2023, in respect of a Corporate Transaction that occurs on or before July 3, 2024, an amount equal to the then accrued but unpaid interest plus three (3) times the then outstanding principal.</w:t>
      </w:r>
    </w:p>
    <w:p>
      <w:pPr>
        <w:spacing w:after="0" w:line="45" w:lineRule="exact"/>
        <w:rPr>
          <w:rFonts w:ascii="Times New Roman" w:cs="Times New Roman" w:eastAsia="Times New Roman" w:hAnsi="Times New Roman"/>
          <w:sz w:val="17"/>
          <w:szCs w:val="17"/>
          <w:color w:val="auto"/>
        </w:rPr>
      </w:pPr>
    </w:p>
    <w:p>
      <w:pPr>
        <w:ind w:left="1540" w:right="80" w:hanging="331"/>
        <w:spacing w:after="0" w:line="282" w:lineRule="auto"/>
        <w:tabs>
          <w:tab w:leader="none" w:pos="1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on or before July 3, 2023, in respect of a Corporate Transaction that occurs after July 3, 2024, an amount equal to the then accrued but unpaid interest plus five (5) times the then outstanding principal.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20"/>
          </w:cols>
          <w:pgMar w:left="320" w:top="482"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540" w:right="40" w:hanging="331"/>
        <w:spacing w:after="0" w:line="282" w:lineRule="auto"/>
        <w:tabs>
          <w:tab w:leader="none" w:pos="1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after July 3, 2023, in respect of any such Corporate Transaction, an amount equal to the then accrued but unpaid interest plus one and a half (1.5) times the then outstanding principal.</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Investors in the 2023 Convertible Notes also received warrants to purchase the same type of equity shares into which the 2023 Convertible Notes are converted (see Notes 8 and 13).</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Investors in these secured convertible notes also received warrants to purchase equity shares of the Company.</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elected to measure the 2023 Convertible Notes in their entirety at fair value with changes in fair value reported in a single line in the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the Company recognized a change in fair value of approximately $8.7 million and $6.9 million, respectively. Upfront costs and fees related to items for which the fair value option is elected must be recognized immediately. As such issuance costs (warrants) and fees associated with the convertible notes were recognized in current earnings.</w:t>
      </w:r>
    </w:p>
    <w:p>
      <w:pPr>
        <w:spacing w:after="0" w:line="176"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One investor who purchased a 2023 Convertible Note also received an RSU grant for a total of 6,000,000 RSUs (see Note 13) which originally vested in full on the one-year anniversary of the grant date with such vesting subject to full acceleration upon the consummation of an IPO, SPAC Transaction, Direct Listing or Sale Event, as defined. The RSUs were valued on the date of issuance equal to the fair value of common stock approximating $2.6 million and accounted for as Debt Financing Charge on the 2023 Convertible Note. On December 22, 2023, the Company modified the RSU terms to immediately accelerate the vesting of the 6,000,000 awards outstanding and issue 6,000,000 shares of common stock (see Note 13).</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scheduled maturities of the Company’s outstanding convertible notes as of December 31, 2024 is as follows (in thousands):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148,629</w:t>
            </w: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(148,629)</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On the Closing Date, as provided by the terms of the 2023 Convertible Note Agreement, the outstanding 2023 Convertible Notes were converted, at the option of the holders, to common stock upon the execution of the Merger (see Note 1).</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Demand Notes:</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issued short-term demand notes totaling $5.1 million, of which $4.8 million remained outstanding as of December 31, 2023. The outstanding notes earn simple interest based on a rate of twelve percent (12%) with the outstanding principal and all accrued interest due and payable on demand by the holders at any time on or after the earlier of (1) the receipt of a minimum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100"/>
          </w:cols>
          <w:pgMar w:left="320" w:top="482" w:right="4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$15.0 million from BurTech and other investors pursuant to the Note Purchase Agreement dated July 2, 2023 and (2) March 31, 2024 (see Note 13). In April 2024, the Company repaid the total outstanding principal and interest of $5.0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Warrant Liabilities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P2P Warrants:</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Certain investors who invested in the P2P Notes (see Notes 7 and 13) also received P2P Warrants for no additional consideration resulting in the allocation of proceeds between the P2P Notes and P2P Warrants (see Notes 7 and 13).</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terms of the 2022 P2P NPA and related warrant agreements, the P2P Warrants will be exercisable, in whole or in part, during the term commencing on the date of issuance through the three-year anniversary of the date of issuance. The number of Warrants each Lender is entitled to is based on the timing of the Lender’s investment as well as the Lender’s amount of funding, wherein the “Conversion Shares” is defined as the type of equity shares to be issued in the future upon conversion of the P2P Notes. The total number of warrants ranges from 20% to 40% of the total Conversion Shares to be issued for Lenders who invest at or less then their pro rata portion and for Lenders who invest above their pro rata portion, the total number of warrant shares is an additional 10% to 20% of a calculated incremental number of shares over the designated pro rata portion.</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During 2023, in connection with the additional issuance of P2P notes, 336,950 Series D Shadow Preferred Stock warrants were reinstated at a fair value of approximately $61,000 (see Note 7) and reclassified from equity to warrant liability.</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Upon exercise, these P2P Warrants will enable the Lenders to purchase Conversion Shares at a price (“Conversion Price”) determined based on when P2P Warrants are exercised and shall no longer be exercisable and become null and void upon 10 days prior to the consummation of the Company’s sale of its Common Stock in a firm commitment underwritten public offering pursuant to a registration statement on Form S-1 under the Securities Act of 1933 (an “IPO”), acquisition by a Special Purpose Acquisition Company (a “SPAC Transaction”) and a defined liquidity event. The P2P Warrants have a fixed total exercise price known at inception (based on the amount of consideration paid by each Lender) and upon exercise will be settled in a variable number of the Conversion Shares. The P2P Warrants are legally detachable and separately exercisable from the P2P Convertible Notes. The Company accounts for the P2P Warrants as liabilities measured at fair value with subsequent changes in fair value recognized in earnings (see Note 4).</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Effective February 28, 2024 the Series D Shadow Preferred Stock warrants expired unexercised.</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As provided by the terms of the P2P notes, the notes remained outstanding and were converted, at the option of the holders, to common stock upon the Closing Date (see Note 1).</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2023 Convertible Note Warrants:</w:t>
      </w:r>
    </w:p>
    <w:p>
      <w:pPr>
        <w:spacing w:after="0" w:line="11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Investors in the 2023 Convertible Notes received warrants (“2023 Convertible Note Warrants”) exercisable upon the earliest to occur of a Next Equity Financing Conversion, Maturity Conversion, SPAC Conversion or Corporate Transaction, as defined, and expire, prior to the Amendment in April 2024 (see below), ten years from issuance (see Note 13). The 2023 Convertible Note Warrants were granted for no additional consideration resulting in the allocation of proceeds between the 2023 Convertible Note and 2023 Convertible Note Warrants (see Notes 7 and 13).</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00"/>
          </w:cols>
          <w:pgMar w:left="320" w:top="482" w:right="47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April 22, 2024, as part of the Blaize, BurTech Merger Sub Inc., and Burkan amended the original Merger Agreement to make certain adjustments in connection with the Blaize Note Financing (see Note 7) and additional adjustments related to warrant financing including an increase in the base purchase price and changes to certain definitions and terms.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terms of the April 2024 amendment, the number of warrant shares issuable upon exercise is equal to the quotient obtained by dividing</w:t>
      </w:r>
    </w:p>
    <w:p>
      <w:pPr>
        <w:spacing w:after="0" w:line="27" w:lineRule="exact"/>
        <w:rPr>
          <w:sz w:val="20"/>
          <w:szCs w:val="20"/>
          <w:color w:val="auto"/>
        </w:rPr>
      </w:pPr>
    </w:p>
    <w:p>
      <w:pPr>
        <w:ind w:left="120" w:hanging="4"/>
        <w:spacing w:after="0" w:line="253" w:lineRule="auto"/>
        <w:tabs>
          <w:tab w:leader="none" w:pos="33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or 10% (the higher percentage which applies only to investors who purchased a convertible note on or before July 3, 2023) of the original principal amount of the corresponding note by (ii) (y) with respect to a Next Equity Financing Conversion, Maturity Conversion, or a SPAC Conversion, the Exercise Price (as defined herein) or (z) with respect to a Corporate Transaction, a per share price equal to the value of the consideration payable to the holder of each share of common stock of the Company. The Exercise price is defined as follows:</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Next Equity Financing Conversion, the per share issue price by new money investors for the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Maturity Conversion, a per share price mutually agreed upon by the Company and the Requisite Noteholders;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SPAC Conversion, $11.50 per share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Corporate Transaction, the Corporate Transaction Exercise Price, as defined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Additionally, the expiration date of the warrants was changed from 10 years to 5 years from the original date of issuance.</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2023 Convertible Note Warrants are legally detachable and separately exercisable from the 2023 Convertible Notes. The Company accounts for the 2023 Convertible Note Warrants as liabilities measured at fair value with subsequent changes in fair value recognized in earnings.</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As provided by the terms of the 2023 Convertible Notes, the notes remained outstanding and were converted, at the option of the holders, to common stock upon the Closing Date (see Note 1).</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Warrants:</w:t>
      </w:r>
    </w:p>
    <w:p>
      <w:pPr>
        <w:spacing w:after="0" w:line="11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conjunction with the December 22, 2023 Merger Agreement, the Company entered into a pre-funded warrant agreement (the “Burkhan Pre-funded Warrant”) with one of the parties to the Merger. The Burkhan Pre-funded Warrant is only exercisable at the closing of the Merger and becomes null and void if the Merger Agreement is terminated. The Burkhan Pre-funded Warrant provides for the issuance of a sufficient number of Company common stock shares that would allow the warrant holder to acquire BurTech Class A common Stock upon the closing of the Merger. The maximum number of BurTech Class A Common Stock to be received under the Burkhan Pre-funded Warrant is 6,833,333, wherein a portion of this total share amount is subject to reduction, depending on the Available Acquiror Cash, as defined in the Merger Agreement, at closing. Pursuant to the terms of the Burkhan Pre-Funded Warrant, in no case would the holder receive less than 2,500,000 shares of BurTech Class A common stock at closing.</w:t>
      </w:r>
    </w:p>
    <w:p>
      <w:pPr>
        <w:spacing w:after="0" w:line="189"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On April 22, 2024, the Company amended and restated the Burkhan Pre-funded Warrant to reduce the number of BurTech Class A common stock shares to which the holder is entitled upon exchange of the Company common shares issuable upon exercise of the warrant. The number of BurTech Class A common stock shares was reduced from a maximum of 6,833,333 share to a fixed 2,000,000 shares. This amendment, in turn, reduces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120"/>
          </w:cols>
          <w:pgMar w:left="320" w:top="482"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jc w:val="both"/>
        <w:ind w:left="120" w:right="20"/>
        <w:spacing w:after="0" w:line="277" w:lineRule="auto"/>
        <w:rPr>
          <w:sz w:val="20"/>
          <w:szCs w:val="20"/>
          <w:color w:val="auto"/>
        </w:rPr>
      </w:pPr>
      <w:r>
        <w:rPr>
          <w:rFonts w:ascii="Times New Roman" w:cs="Times New Roman" w:eastAsia="Times New Roman" w:hAnsi="Times New Roman"/>
          <w:sz w:val="17"/>
          <w:szCs w:val="17"/>
          <w:color w:val="auto"/>
        </w:rPr>
        <w:t>applicable number of Company common shares to be issued to the holder upon exercise. Additionally, in conjunction with its participation in the Blaize Note Financing Agreement, one of the RT Parties received a new and separate prefunded warrant (the “Ava Pre-funded Warrant”) with an exercise price of $45,000 that entitles the RT Party investor to receive 4,500,000 shares of BurTech Class A common stock, also via the issuance of Company common shares upon exercise that are subject to exchange into BurTech Class A common stock upon the closing of the Merger. The fair value of the newly issued Ava Pre-funded Warrant of $0.5 million was recognized as a debt financing charge on 2023 convertible notes during the year ended December 31, 2024.</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the Company’s warrants exercisable into preferred stock are classified as liabilities requiring ongoing remeasurement at fair value.</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As provided by the terms of the P2P notes, the notes remained outstanding and were converted, at the option of the holders, to common stock upon the execution of the Merger (see Note 1).</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 warrant</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Approximate fair</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left="316"/>
              <w:spacing w:after="0" w:line="149" w:lineRule="exact"/>
              <w:rPr>
                <w:sz w:val="20"/>
                <w:szCs w:val="20"/>
                <w:color w:val="auto"/>
              </w:rPr>
            </w:pPr>
            <w:r>
              <w:rPr>
                <w:rFonts w:ascii="Times New Roman" w:cs="Times New Roman" w:eastAsia="Times New Roman" w:hAnsi="Times New Roman"/>
                <w:sz w:val="14"/>
                <w:szCs w:val="14"/>
                <w:b w:val="1"/>
                <w:bCs w:val="1"/>
                <w:color w:val="auto"/>
              </w:rPr>
              <w:t>value at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6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560" w:type="dxa"/>
            <w:vAlign w:val="bottom"/>
          </w:tcPr>
          <w:p>
            <w:pPr>
              <w:spacing w:after="0"/>
              <w:rPr>
                <w:sz w:val="15"/>
                <w:szCs w:val="15"/>
                <w:color w:val="auto"/>
              </w:rPr>
            </w:pPr>
          </w:p>
        </w:tc>
        <w:tc>
          <w:tcPr>
            <w:tcW w:w="17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shares at December 31,</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04"/>
        </w:trPr>
        <w:tc>
          <w:tcPr>
            <w:tcW w:w="5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 Type:</w:t>
            </w:r>
          </w:p>
        </w:tc>
        <w:tc>
          <w:tcPr>
            <w:tcW w:w="6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57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 Warrants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338,495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Series D-2 Shadow Preferred Warrants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4.97</w:t>
            </w:r>
          </w:p>
        </w:tc>
        <w:tc>
          <w:tcPr>
            <w:tcW w:w="560" w:type="dxa"/>
            <w:vAlign w:val="bottom"/>
          </w:tcPr>
          <w:p>
            <w:pPr>
              <w:spacing w:after="0"/>
              <w:rPr>
                <w:sz w:val="18"/>
                <w:szCs w:val="18"/>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756,172</w:t>
            </w:r>
          </w:p>
        </w:tc>
        <w:tc>
          <w:tcPr>
            <w:tcW w:w="5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756,172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Warrants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 </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8"/>
                <w:szCs w:val="8"/>
                <w:color w:val="auto"/>
                <w:w w:val="74"/>
              </w:rPr>
              <w:t> </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00" w:type="dxa"/>
            <w:vAlign w:val="bottom"/>
          </w:tcPr>
          <w:p>
            <w:pPr>
              <w:spacing w:after="0"/>
              <w:rPr>
                <w:sz w:val="18"/>
                <w:szCs w:val="18"/>
                <w:color w:val="auto"/>
              </w:rPr>
            </w:pPr>
          </w:p>
        </w:tc>
        <w:tc>
          <w:tcPr>
            <w:tcW w:w="220" w:type="dxa"/>
            <w:vAlign w:val="bottom"/>
          </w:tcPr>
          <w:p>
            <w:pPr>
              <w:jc w:val="center"/>
              <w:ind w:left="9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 </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360" w:type="dxa"/>
            <w:vAlign w:val="bottom"/>
          </w:tcPr>
          <w:p>
            <w:pPr>
              <w:ind w:left="28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color w:val="auto"/>
                <w:w w:val="74"/>
              </w:rPr>
              <w:t> </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500" w:type="dxa"/>
            <w:vAlign w:val="bottom"/>
          </w:tcPr>
          <w:p>
            <w:pPr>
              <w:ind w:left="42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1,352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 (b)</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Pre-funded common stock warrants (d)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0.01</w:t>
            </w:r>
          </w:p>
        </w:tc>
        <w:tc>
          <w:tcPr>
            <w:tcW w:w="560" w:type="dxa"/>
            <w:vAlign w:val="bottom"/>
          </w:tcPr>
          <w:p>
            <w:pPr>
              <w:spacing w:after="0"/>
              <w:rPr>
                <w:sz w:val="18"/>
                <w:szCs w:val="18"/>
                <w:color w:val="auto"/>
              </w:rPr>
            </w:pPr>
          </w:p>
        </w:tc>
        <w:tc>
          <w:tcPr>
            <w:tcW w:w="360" w:type="dxa"/>
            <w:vAlign w:val="bottom"/>
          </w:tcPr>
          <w:p>
            <w:pPr>
              <w:ind w:left="28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color w:val="auto"/>
                <w:w w:val="74"/>
              </w:rPr>
              <w:t> </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500" w:type="dxa"/>
            <w:vAlign w:val="bottom"/>
          </w:tcPr>
          <w:p>
            <w:pPr>
              <w:ind w:left="42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4,485</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common stock warrants (e)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8"/>
                <w:szCs w:val="8"/>
                <w:color w:val="auto"/>
                <w:w w:val="74"/>
              </w:rPr>
              <w:t> </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10,091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w w:val="95"/>
              </w:rPr>
              <w:t>756,172</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1,096,730</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14,712</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3,730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100" w:hanging="424"/>
        <w:spacing w:after="0" w:line="255"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 shares to be issued upon exercise of the P2P Warrants is not determined as of December 31, 2024 or 2023, therefore, the exercise price is only known in aggregate based on individual investor participation levels and timing of investment. The aggregate exercise price is $2.5 million as of December 31, 2024 and 2023. The Company’s valuation of its P2P Warrants assumes expected warrant shares of 1,127,088 and a range of 694,397 to 721,086 shares of either common stock or a future preferred stock series as of December 31, 2024 and 2023.</w:t>
      </w:r>
    </w:p>
    <w:p>
      <w:pPr>
        <w:spacing w:after="0" w:line="2"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warrants represent prior Series D Preferred Warrants which were converted in November 2022 to common stock warrants following the Company’s conversion event, as adjusted for the related December 2022 reverse stock split. These common stock warrants are classified in equity upon conversion in 2022. During January 2023, 336,950 of the Series D Preferred Warrants were reinstated upon the investor participating in the P2P Note extension. These warrants expired during the year ended December 31, 2024.</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 shares to be issued upon exercise of the Convertible Note Warrants as well as the related aggregate exercise price is not determinable as of December 31, 2024 and 2023 due to variable settlement terms. As of December 31, 2024 and 2023, the aggregate fixed monetary amount that will serve as the basis of calculating the number of warrant shares into which the Convertible Notes may be exercised into is $13.0 million and $2.0 million, respectively.</w:t>
      </w:r>
    </w:p>
    <w:p>
      <w:pPr>
        <w:spacing w:after="0" w:line="1" w:lineRule="exact"/>
        <w:rPr>
          <w:rFonts w:ascii="Times New Roman" w:cs="Times New Roman" w:eastAsia="Times New Roman" w:hAnsi="Times New Roman"/>
          <w:sz w:val="18"/>
          <w:szCs w:val="18"/>
          <w:color w:val="auto"/>
        </w:rPr>
      </w:pPr>
    </w:p>
    <w:p>
      <w:pPr>
        <w:jc w:val="both"/>
        <w:ind w:left="540" w:right="60" w:hanging="424"/>
        <w:spacing w:after="0" w:line="253"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exercise price is $68,333. As of December 31, 2023, the number of warrant shares is estimated based on the total Company common shares that would be required to be issued to be exchanged for the maximum number of BurTech Class A Common and is estimated at 7,007,582 shares. As of December 31, 2024, taking into consideration the effect of the April 2024 amendment, the number of warrant shares required to be issued in the form of BurTech Class A Common stock is fixed at 2,000,000 shares.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40"/>
          </w:cols>
          <w:pgMar w:left="320" w:top="482" w:right="4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540" w:right="300" w:hanging="424"/>
        <w:spacing w:after="0" w:line="282" w:lineRule="auto"/>
        <w:tabs>
          <w:tab w:leader="none" w:pos="5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exercise price is $45,000. As of December 31, 2024, the number of warrant shares to be issued in the form of BurTech Class A Common stock is a fixed 4,500,000 shares.</w:t>
      </w:r>
    </w:p>
    <w:p>
      <w:pPr>
        <w:spacing w:after="0" w:line="162"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Assumptions used in the Black-Scholes option pricing model to fair value the Shadow Series D warrants reinstated January 2023 and the assumptions used to fair value the Shadow Series D and Shadow Series D-2 preferred stock warrants as of the respective reporting period were as follows: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At issuance: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Issued during the years ended December 31, 2024 and 2023:</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80" w:type="dxa"/>
            <w:vAlign w:val="bottom"/>
            <w:gridSpan w:val="12"/>
          </w:tcPr>
          <w:p>
            <w:pPr>
              <w:ind w:left="600"/>
              <w:spacing w:after="0"/>
              <w:rPr>
                <w:sz w:val="20"/>
                <w:szCs w:val="20"/>
                <w:color w:val="auto"/>
              </w:rPr>
            </w:pPr>
            <w:r>
              <w:rPr>
                <w:rFonts w:ascii="Times New Roman" w:cs="Times New Roman" w:eastAsia="Times New Roman" w:hAnsi="Times New Roman"/>
                <w:sz w:val="14"/>
                <w:szCs w:val="14"/>
                <w:b w:val="1"/>
                <w:bCs w:val="1"/>
                <w:color w:val="auto"/>
              </w:rPr>
              <w:t>Series D-2 Shadow Preferred Stock Warrant Reinstatement</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7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2024</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3"/>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2023</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2024 and 2023:</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5"/>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Series D Shadow</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780" w:type="dxa"/>
            <w:vAlign w:val="bottom"/>
            <w:gridSpan w:val="8"/>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Series D-2 Shadow Preferred Stock Warrants</w:t>
            </w:r>
          </w:p>
        </w:tc>
        <w:tc>
          <w:tcPr>
            <w:tcW w:w="600" w:type="dxa"/>
            <w:vAlign w:val="bottom"/>
          </w:tcPr>
          <w:p>
            <w:pPr>
              <w:spacing w:after="0"/>
              <w:rPr>
                <w:sz w:val="12"/>
                <w:szCs w:val="12"/>
                <w:color w:val="auto"/>
              </w:rPr>
            </w:pPr>
          </w:p>
        </w:tc>
        <w:tc>
          <w:tcPr>
            <w:tcW w:w="110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780" w:type="dxa"/>
            <w:vAlign w:val="bottom"/>
            <w:gridSpan w:val="8"/>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2120" w:type="dxa"/>
            <w:vAlign w:val="bottom"/>
            <w:tcBorders>
              <w:top w:val="single" w:sz="8" w:color="auto"/>
            </w:tcBorders>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31, </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 December 31, </w:t>
            </w:r>
          </w:p>
        </w:tc>
        <w:tc>
          <w:tcPr>
            <w:tcW w:w="400" w:type="dxa"/>
            <w:vAlign w:val="bottom"/>
            <w:gridSpan w:val="2"/>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284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- 4.40%</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0.04 - 0.72</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94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9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P2P Warrants, issued in 2022 and in 2023 were valued using the Black-Scholes option pricing model probability-weighted for the same future event scenarios as defined in the valuation of the P2P Notes wherein the warrant strike price and the fair value of the respective Conversion Shares was calculated for each of participation group with 20%, 30%, 40%, and 60% warrant percentages, respectively.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issuance: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Issued during the years ended December 31, 2024 and 2023:</w:t>
      </w:r>
    </w:p>
    <w:p>
      <w:pPr>
        <w:spacing w:after="0" w:line="24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Warrants issued with P2P Convertible Notes</w:t>
      </w:r>
    </w:p>
    <w:p>
      <w:pPr>
        <w:spacing w:after="0" w:line="12" w:lineRule="exact"/>
        <w:rPr>
          <w:sz w:val="20"/>
          <w:szCs w:val="20"/>
          <w:color w:val="auto"/>
        </w:rPr>
      </w:pPr>
    </w:p>
    <w:tbl>
      <w:tblPr>
        <w:tblLayout w:type="fixed"/>
        <w:tblInd w:w="1440" w:type="dxa"/>
        <w:tblCellMar>
          <w:top w:w="0" w:type="dxa"/>
          <w:left w:w="0" w:type="dxa"/>
          <w:bottom w:w="0" w:type="dxa"/>
          <w:right w:w="0" w:type="dxa"/>
        </w:tblCellMar>
      </w:tblPr>
      <w:tr>
        <w:trPr>
          <w:trHeight w:val="142"/>
        </w:trPr>
        <w:tc>
          <w:tcPr>
            <w:tcW w:w="45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120" w:type="dxa"/>
            <w:vAlign w:val="bottom"/>
            <w:tcBorders>
              <w:top w:val="single" w:sz="8" w:color="auto"/>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3"/>
              </w:rPr>
              <w:t>Issued in 2024 </w:t>
            </w:r>
          </w:p>
        </w:tc>
        <w:tc>
          <w:tcPr>
            <w:tcW w:w="1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20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2023 </w:t>
            </w:r>
          </w:p>
        </w:tc>
        <w:tc>
          <w:tcPr>
            <w:tcW w:w="40" w:type="dxa"/>
            <w:vAlign w:val="bottom"/>
            <w:tcBorders>
              <w:bottom w:val="single" w:sz="8" w:color="CCEEFF"/>
            </w:tcBorders>
          </w:tcPr>
          <w:p>
            <w:pPr>
              <w:spacing w:after="0"/>
              <w:rPr>
                <w:sz w:val="12"/>
                <w:szCs w:val="12"/>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8"/>
                <w:szCs w:val="18"/>
                <w:color w:val="auto"/>
                <w:w w:val="99"/>
              </w:rPr>
              <w:t>NA</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9"/>
              </w:rPr>
              <w:t>4.09% - 4.65%</w:t>
            </w:r>
          </w:p>
        </w:tc>
        <w:tc>
          <w:tcPr>
            <w:tcW w:w="4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12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9"/>
              </w:rPr>
              <w:t>NA</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1.0 - 1.94 years</w:t>
            </w: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2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8"/>
                <w:szCs w:val="18"/>
                <w:color w:val="auto"/>
                <w:w w:val="99"/>
              </w:rPr>
              <w:t>NA</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9"/>
              </w:rPr>
              <w:t>66.6% - 71.6%</w:t>
            </w:r>
          </w:p>
        </w:tc>
        <w:tc>
          <w:tcPr>
            <w:tcW w:w="4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2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9"/>
              </w:rPr>
              <w:t>NA</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12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8"/>
                <w:szCs w:val="18"/>
                <w:color w:val="auto"/>
                <w:w w:val="99"/>
              </w:rPr>
              <w:t>NA</w:t>
            </w:r>
          </w:p>
        </w:tc>
        <w:tc>
          <w:tcPr>
            <w:tcW w:w="13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r>
      <w:tr>
        <w:trPr>
          <w:trHeight w:val="198"/>
        </w:trPr>
        <w:tc>
          <w:tcPr>
            <w:tcW w:w="4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Fair value of common stock</w:t>
            </w:r>
          </w:p>
        </w:tc>
        <w:tc>
          <w:tcPr>
            <w:tcW w:w="1120" w:type="dxa"/>
            <w:vAlign w:val="bottom"/>
          </w:tcPr>
          <w:p>
            <w:pPr>
              <w:jc w:val="center"/>
              <w:ind w:right="53"/>
              <w:spacing w:after="0" w:line="198" w:lineRule="exact"/>
              <w:rPr>
                <w:sz w:val="20"/>
                <w:szCs w:val="20"/>
                <w:color w:val="auto"/>
              </w:rPr>
            </w:pPr>
            <w:r>
              <w:rPr>
                <w:rFonts w:ascii="Times New Roman" w:cs="Times New Roman" w:eastAsia="Times New Roman" w:hAnsi="Times New Roman"/>
                <w:sz w:val="18"/>
                <w:szCs w:val="18"/>
                <w:color w:val="auto"/>
                <w:w w:val="99"/>
              </w:rPr>
              <w:t>NA</w:t>
            </w:r>
          </w:p>
        </w:tc>
        <w:tc>
          <w:tcPr>
            <w:tcW w:w="1320" w:type="dxa"/>
            <w:vAlign w:val="bottom"/>
            <w:gridSpan w:val="2"/>
          </w:tcPr>
          <w:p>
            <w:pPr>
              <w:jc w:val="right"/>
              <w:ind w:right="8"/>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0.46</w:t>
            </w:r>
          </w:p>
        </w:tc>
      </w:tr>
      <w:tr>
        <w:trPr>
          <w:trHeight w:val="234"/>
        </w:trPr>
        <w:tc>
          <w:tcPr>
            <w:tcW w:w="4680" w:type="dxa"/>
            <w:vAlign w:val="bottom"/>
            <w:gridSpan w:val="2"/>
          </w:tcPr>
          <w:p>
            <w:pPr>
              <w:ind w:left="4020"/>
              <w:spacing w:after="0"/>
              <w:rPr>
                <w:sz w:val="20"/>
                <w:szCs w:val="20"/>
                <w:color w:val="auto"/>
              </w:rPr>
            </w:pPr>
            <w:r>
              <w:rPr>
                <w:rFonts w:ascii="Times New Roman" w:cs="Times New Roman" w:eastAsia="Times New Roman" w:hAnsi="Times New Roman"/>
                <w:sz w:val="18"/>
                <w:szCs w:val="18"/>
                <w:color w:val="auto"/>
              </w:rPr>
              <w:t>F-72</w:t>
            </w: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ectPr>
          <w:pgSz w:w="11900" w:h="16838" w:orient="portrait"/>
          <w:cols w:equalWidth="0" w:num="1">
            <w:col w:w="11100"/>
          </w:cols>
          <w:pgMar w:left="320" w:top="482" w:right="47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2024 and 2023:</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Warrants issued with 2022 P2P Notes</w:t>
            </w:r>
          </w:p>
        </w:tc>
      </w:tr>
      <w:tr>
        <w:trPr>
          <w:trHeight w:val="142"/>
        </w:trPr>
        <w:tc>
          <w:tcPr>
            <w:tcW w:w="4560" w:type="dxa"/>
            <w:vAlign w:val="bottom"/>
          </w:tcPr>
          <w:p>
            <w:pPr>
              <w:spacing w:after="0"/>
              <w:rPr>
                <w:sz w:val="12"/>
                <w:szCs w:val="12"/>
                <w:color w:val="auto"/>
              </w:rPr>
            </w:pPr>
          </w:p>
        </w:tc>
        <w:tc>
          <w:tcPr>
            <w:tcW w:w="254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2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12"/>
                <w:szCs w:val="12"/>
                <w:color w:val="auto"/>
              </w:rPr>
            </w:pP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 - 4.31%</w:t>
            </w: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 - 4.79%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00" w:type="dxa"/>
            <w:vAlign w:val="bottom"/>
          </w:tcPr>
          <w:p>
            <w:pPr>
              <w:spacing w:after="0"/>
              <w:rPr>
                <w:sz w:val="18"/>
                <w:szCs w:val="18"/>
                <w:color w:val="auto"/>
              </w:rPr>
            </w:pPr>
          </w:p>
        </w:tc>
        <w:tc>
          <w:tcPr>
            <w:tcW w:w="244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w w:val="98"/>
              </w:rPr>
              <w:t>0.04 - 1.00 years</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1.0 - 1.44 years</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69.8% - 71.6%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61.2% - 62.3%</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tcPr>
          <w:p>
            <w:pPr>
              <w:spacing w:after="0"/>
              <w:rPr>
                <w:sz w:val="18"/>
                <w:szCs w:val="18"/>
                <w:color w:val="auto"/>
              </w:rPr>
            </w:pPr>
          </w:p>
        </w:tc>
        <w:tc>
          <w:tcPr>
            <w:tcW w:w="244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immaterial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0.74</w:t>
            </w:r>
          </w:p>
        </w:tc>
      </w:tr>
    </w:tbl>
    <w:p>
      <w:pPr>
        <w:spacing w:after="0" w:line="17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2023 Convertible Note Warrants, issued in 2023 and in January and February of 2024 were valued using the Black-Scholes option pricing model probability-weighted for future event scenarios as defined in the 2023 Convertible Note NPA. The exercise price is a floating exercise price, thus, was estimated using a Monte Carlo simulation model. The following summarizes additional related valuation assumptions: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issuance: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Issued during the years ended December 31, 2024 and 2023:</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Warrants issued with 2023 Convertible Notes</w:t>
            </w:r>
          </w:p>
        </w:tc>
      </w:tr>
      <w:tr>
        <w:trPr>
          <w:trHeight w:val="142"/>
        </w:trPr>
        <w:tc>
          <w:tcPr>
            <w:tcW w:w="8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2024</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1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2023</w:t>
            </w:r>
          </w:p>
        </w:tc>
      </w:tr>
      <w:tr>
        <w:trPr>
          <w:trHeight w:val="209"/>
        </w:trPr>
        <w:tc>
          <w:tcPr>
            <w:tcW w:w="88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- 5.55%</w:t>
            </w:r>
          </w:p>
        </w:tc>
        <w:tc>
          <w:tcPr>
            <w:tcW w:w="4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8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0.36 - 5.00 years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8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61.2% - 73.0%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8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0.00%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8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54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4.16 - $4.43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r>
      <w:tr>
        <w:trPr>
          <w:trHeight w:val="234"/>
        </w:trPr>
        <w:tc>
          <w:tcPr>
            <w:tcW w:w="88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5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0.74 - $0.81</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r>
      <w:tr>
        <w:trPr>
          <w:trHeight w:val="41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2024 and 2023:</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8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Warrants issued with 2023 Convertible Notes</w:t>
            </w:r>
          </w:p>
        </w:tc>
      </w:tr>
      <w:tr>
        <w:trPr>
          <w:trHeight w:val="142"/>
        </w:trPr>
        <w:tc>
          <w:tcPr>
            <w:tcW w:w="8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80" w:type="dxa"/>
            <w:vAlign w:val="bottom"/>
            <w:tcBorders>
              <w:top w:val="single" w:sz="8" w:color="auto"/>
            </w:tcBorders>
            <w:gridSpan w:val="5"/>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4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12"/>
                <w:szCs w:val="12"/>
                <w:color w:val="auto"/>
              </w:rPr>
            </w:pPr>
          </w:p>
        </w:tc>
      </w:tr>
      <w:tr>
        <w:trPr>
          <w:trHeight w:val="210"/>
        </w:trPr>
        <w:tc>
          <w:tcPr>
            <w:tcW w:w="88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3.98% - 4.99%</w:t>
            </w:r>
          </w:p>
        </w:tc>
        <w:tc>
          <w:tcPr>
            <w:tcW w:w="800" w:type="dxa"/>
            <w:vAlign w:val="bottom"/>
            <w:tcBorders>
              <w:top w:val="single" w:sz="8" w:color="CCEEFF"/>
            </w:tcBorders>
            <w:gridSpan w:val="2"/>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- 5.26%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180" w:type="dxa"/>
            <w:vAlign w:val="bottom"/>
          </w:tcPr>
          <w:p>
            <w:pPr>
              <w:spacing w:after="0"/>
              <w:rPr>
                <w:sz w:val="18"/>
                <w:szCs w:val="18"/>
                <w:color w:val="auto"/>
              </w:rPr>
            </w:pPr>
          </w:p>
        </w:tc>
        <w:tc>
          <w:tcPr>
            <w:tcW w:w="208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0.04 - 1.00 years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0.51 - 9.51 years</w:t>
            </w:r>
          </w:p>
        </w:tc>
      </w:tr>
      <w:tr>
        <w:trPr>
          <w:trHeight w:val="216"/>
        </w:trPr>
        <w:tc>
          <w:tcPr>
            <w:tcW w:w="8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80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69.8% - 73.2%</w:t>
            </w: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61.2% - 62.8%</w:t>
            </w:r>
          </w:p>
        </w:tc>
      </w:tr>
      <w:tr>
        <w:trPr>
          <w:trHeight w:val="216"/>
        </w:trPr>
        <w:tc>
          <w:tcPr>
            <w:tcW w:w="8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0.00%</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8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immaterial</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w:t>
            </w:r>
          </w:p>
        </w:tc>
      </w:tr>
      <w:tr>
        <w:trPr>
          <w:trHeight w:val="234"/>
        </w:trPr>
        <w:tc>
          <w:tcPr>
            <w:tcW w:w="88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4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1.94</w:t>
            </w:r>
          </w:p>
        </w:tc>
        <w:tc>
          <w:tcPr>
            <w:tcW w:w="4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0.74</w:t>
            </w:r>
          </w:p>
        </w:tc>
      </w:tr>
    </w:tbl>
    <w:p>
      <w:pPr>
        <w:spacing w:after="0" w:line="17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the pre-funded common stock warrants has been estimated based on a probability-weighted approach of scenarios, including the scenarios that the Merger will and will not be consummated.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2024, no Company warrants have been exercised.</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As provided by the terms of the Merger, the outstanding warrants were converted, at the option of the holders, to common stock upon the Closing Date (see Note 1).</w:t>
      </w: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080"/>
          </w:cols>
          <w:pgMar w:left="320" w:top="482" w:right="4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w:t>
      </w:r>
    </w:p>
    <w:p>
      <w:pPr>
        <w:spacing w:after="0" w:line="17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executed three lease renewals for a period of five years and extinguished one lease prior to its scheduled termination date. The loss recognized on lease termination was immaterial.</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the net lease cost reflected in the Company’s consolidated statements of operations were as follows for the years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2024 and 2023 (in thousands):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3060" w:type="dxa"/>
            <w:vAlign w:val="bottom"/>
            <w:gridSpan w:val="2"/>
          </w:tcPr>
          <w:p>
            <w:pPr>
              <w:jc w:val="center"/>
              <w:ind w:left="257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5"/>
                <w:szCs w:val="15"/>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6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$ 817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26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4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22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jc w:val="center"/>
              <w:ind w:left="2339"/>
              <w:spacing w:after="0"/>
              <w:rPr>
                <w:sz w:val="20"/>
                <w:szCs w:val="20"/>
                <w:color w:val="auto"/>
              </w:rPr>
            </w:pPr>
            <w:r>
              <w:rPr>
                <w:rFonts w:ascii="Times New Roman" w:cs="Times New Roman" w:eastAsia="Times New Roman" w:hAnsi="Times New Roman"/>
                <w:sz w:val="18"/>
                <w:szCs w:val="18"/>
                <w:color w:val="auto"/>
                <w:w w:val="98"/>
              </w:rPr>
              <w:t>$ 843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1,035</w:t>
            </w:r>
          </w:p>
        </w:tc>
      </w:tr>
      <w:tr>
        <w:trPr>
          <w:trHeight w:val="20"/>
        </w:trPr>
        <w:tc>
          <w:tcPr>
            <w:tcW w:w="4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Company’s operating leases had a weighted average remaining lease term of 3.2 years and a weighted average discount rate related to the Company’s ROU assets and lease liabilities of 9.9%. As of December 31, 2023, the Company’s operating leases had a weighted average remaining lease term of 4.0 years and a weighted average discount rate related to the Company’s ROU assets and lease liabilities of 9.8%.</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Supplemental information related to operating leases was as follows for the years ended December 31, 2024 and 2023 (in thousands):</w:t>
      </w:r>
    </w:p>
    <w:p>
      <w:pPr>
        <w:spacing w:after="0" w:line="36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5"/>
                <w:szCs w:val="15"/>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785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73"/>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1,673</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and lease liabilities extinguished upon termination of lease, net gain</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73"/>
              </w:rPr>
              <w:t>— 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Short-term variable lease expenses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r>
      <w:tr>
        <w:trPr>
          <w:trHeight w:val="346"/>
        </w:trPr>
        <w:tc>
          <w:tcPr>
            <w:tcW w:w="664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F-74</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2024, future minimum lease payments under the Company’s non-cancelable operating leases are as follows (in thousands):</w:t>
      </w:r>
    </w:p>
    <w:p>
      <w:pPr>
        <w:spacing w:after="0" w:line="30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Operating lease</w:t>
            </w:r>
          </w:p>
        </w:tc>
      </w:tr>
      <w:tr>
        <w:trPr>
          <w:trHeight w:val="173"/>
        </w:trPr>
        <w:tc>
          <w:tcPr>
            <w:tcW w:w="6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obligations</w:t>
            </w:r>
          </w:p>
        </w:tc>
      </w:tr>
      <w:tr>
        <w:trPr>
          <w:trHeight w:val="209"/>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r>
      <w:tr>
        <w:trPr>
          <w:trHeight w:val="223"/>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net future minimum lease payments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short-term operating lease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(578)</w:t>
            </w: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Redeemable Convertible Preferred Stock</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the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the Pull-Through Exchange of their Converted Common into shares of the class(es) of Shadow Preferred Stock identical to those previously held (see Note 7). Investors who did not participate, retained ownership only in Converted Common stock.</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January and February 2023, the Company raised $9.4 million in additional P2P Notes, inclusive of $0.1 million in proceeds from the Common Rights Offering (see Notes 7 and 13). Those shareholders who participated in providing additional funding in 2023 obtained the benefit of the Pull-Through Exchange of their Converted Common into shares of the class(es) of Shadow Preferred Stock identical to those previously held (see Note 7). Investors who did not participate retained ownership only in Converted Common stock. For the year ended December 31, 2023, the Pull-Through Exchange resulted in incremental value to the investors in the P2P Notes of $30.6 million, measured as the difference in the fair value of the Shadow Preferred Stock shares held after the Pull-Through Exchange to the fair value of the Converted Common held just prior to the Pull-Through Exchange, which has been accounted for as a Pay-to-Play financing charge in the consolidated statements of operations.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060"/>
          </w:cols>
          <w:pgMar w:left="320" w:top="482" w:right="51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authorized, issued and outstanding shares of the redeemable convertible preferred stock and liquidation preferences as of December 31, 2024 and 2023 were as follows (dollars in thousands):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3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3"/>
                <w:szCs w:val="13"/>
                <w:color w:val="auto"/>
              </w:rPr>
            </w:pPr>
          </w:p>
        </w:tc>
        <w:tc>
          <w:tcPr>
            <w:tcW w:w="12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Liquidation</w:t>
            </w:r>
          </w:p>
        </w:tc>
      </w:tr>
      <w:tr>
        <w:trPr>
          <w:trHeight w:val="173"/>
        </w:trPr>
        <w:tc>
          <w:tcPr>
            <w:tcW w:w="7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3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Value *</w:t>
            </w:r>
          </w:p>
        </w:tc>
        <w:tc>
          <w:tcPr>
            <w:tcW w:w="10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Preference</w:t>
            </w:r>
          </w:p>
        </w:tc>
      </w:tr>
      <w:tr>
        <w:trPr>
          <w:trHeight w:val="142"/>
        </w:trPr>
        <w:tc>
          <w:tcPr>
            <w:tcW w:w="7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4"/>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Shadow Preferred</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5,032,238</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2,020,309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698</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Shadow Preferred</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15,174,130</w:t>
            </w:r>
          </w:p>
        </w:tc>
        <w:tc>
          <w:tcPr>
            <w:tcW w:w="3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4,573,935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3,183</w:t>
            </w: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Shadow Preferred</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18,392,046</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12,234,661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8,442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8,442</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 Shadow Preferred</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13,722,052</w:t>
            </w:r>
          </w:p>
        </w:tc>
        <w:tc>
          <w:tcPr>
            <w:tcW w:w="3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10,211,548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48,661</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48,661</w:t>
            </w: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4,707,494</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3,990,707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41,673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41,673</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 Exchange Shadow Preferred</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4,707,494</w:t>
            </w:r>
          </w:p>
        </w:tc>
        <w:tc>
          <w:tcPr>
            <w:tcW w:w="3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239,405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Series D-1</w:t>
            </w:r>
          </w:p>
        </w:tc>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Shadow Preferred</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3,935,839</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3,662,318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30,595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30,595</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9"/>
              </w:rPr>
              <w:t>Series D-1</w:t>
            </w:r>
          </w:p>
        </w:tc>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Shadow Preferred</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3,935,839</w:t>
            </w:r>
          </w:p>
        </w:tc>
        <w:tc>
          <w:tcPr>
            <w:tcW w:w="340" w:type="dxa"/>
            <w:vAlign w:val="bottom"/>
          </w:tcPr>
          <w:p>
            <w:pPr>
              <w:spacing w:after="0"/>
              <w:rPr>
                <w:sz w:val="18"/>
                <w:szCs w:val="18"/>
                <w:color w:val="auto"/>
              </w:rPr>
            </w:pPr>
          </w:p>
        </w:tc>
        <w:tc>
          <w:tcPr>
            <w:tcW w:w="1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Series D-2</w:t>
            </w:r>
          </w:p>
        </w:tc>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Shadow Preferred</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27,042,965</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7,561,820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37,595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37,595</w:t>
            </w:r>
          </w:p>
        </w:tc>
      </w:tr>
      <w:tr>
        <w:trPr>
          <w:trHeight w:val="22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5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96,650,097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173,347</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173,347</w:t>
            </w:r>
          </w:p>
        </w:tc>
        <w:tc>
          <w:tcPr>
            <w:tcW w:w="60" w:type="dxa"/>
            <w:vAlign w:val="bottom"/>
          </w:tcPr>
          <w:p>
            <w:pPr>
              <w:spacing w:after="0"/>
              <w:rPr>
                <w:sz w:val="19"/>
                <w:szCs w:val="19"/>
                <w:color w:val="auto"/>
              </w:rPr>
            </w:pPr>
          </w:p>
        </w:tc>
      </w:tr>
      <w:tr>
        <w:trPr>
          <w:trHeight w:val="20"/>
        </w:trPr>
        <w:tc>
          <w:tcPr>
            <w:tcW w:w="7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net of issuance cost including cash, issuance of preferred stock warrants &amp; dividend contribution(In thousands)</w:t>
      </w:r>
    </w:p>
    <w:p>
      <w:pPr>
        <w:spacing w:after="0" w:line="22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following summarizes the terms of the redeemable convertible preferred stock outstanding for Series Seed Shadow, Series A Shadow, Series B Shadow, Series C Shadow, Series D Shadow, Series D Exchange Shadow, Series D-1 Shadow and Series D-2 Shadow redeemable convertible preferred stock of the Company (collectively the “preferred stock”). The Series D-2 Shadow Preferred Stock, Series D Exchange Shadow Preferred Stock and Series D-1 Exchange Shadow Preferred Stock are collectively referred to as the “Senior Series D Shadow Stock”. Series Seed Shadow Preferred Stock through Series C Shadow Preferred Stock are collectively referred to as the “Junior Shadow Preferred Stock”. Unless specified, the rights of the individual preferred stock series outstanding prior to the P2P Transaction (see Note 7) and related establishment of Shadow Preferred classes remained the same.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Each holder of preferred stock shall have the right to one vote for each share of common stock into which such shares of preferred stock could be converted and shall have full voting rights and powers equal to the voting equal to the voting rights and powers of the holders of common stock.</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long as a majority of the shares of Series A Shadow Preferred Stock originally issued remain outstanding, the holders of the Series A Shadow Preferred Stock are entitled to elect 1 Director. As long as a majority of the shares of Series B Shadow Preferred Stock originally issued remain outstanding, the holders of the Series B Shadow Preferred Stock are entitled to elect 1 Director. As long as a majority of the shares of Series C Shadow Preferred Stock originally issued remain outstanding, the holders of the Series C Shadow Preferred Stock are entitled to elect 1 Director. The holders of the Common Stock are entitled to elect 1 Director. The holders of the Shadow Preferred Stock and Common Stock (voting together as a single class and not as a separate series, and on an as-converted basis) are entitled to elect any remaining directors of the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holders of Series B Preferred Stock and Series C Preferred Stock are entitled to receive dividends prior and in preference to any dividends on the Series Seed Preferred Stock, Series A Preferred Stock and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-213360</wp:posOffset>
            </wp:positionV>
            <wp:extent cx="2857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060"/>
          </w:cols>
          <w:pgMar w:left="320" w:top="482" w:right="51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Stock, at the rate of $0.0552 per annum for each share of Series B Preferred Stock and $0.3812 per annum for each share of Series C Preferred Stock, on a non-cumulative basis, when and if declared by the Company’s Board of Directors (the Board). Holders of Series B Preferred Stock and Series C Preferred Stock may waive their dividend preference subject to certain elections. After payment of such dividend, any additional dividends shall be distributed among all holders of Common Stock and in proportion to the number of shares of Common Stock then held by each holder on an as-converted basis.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the event of a Liquidation Transaction, each series of Senior Series D Shadow Preferred Stock shall be entitled to receive out of the proceeds or assets of the Company available for distribution to its stockholders, prior and in preference to any distribution of the proceeds to the Series D Shadow Preferred Stock, Junior Shadow Preferred Stock, and Common Stock, an amount per share equal to the sum of the applicable Original Issue Price (as defined below) for Series D Shadow Stock, plus declared but unpaid dividends. Upon completion of the distribution for the Senior Series D Shadow Preferred Stock, Series D Shadow Preferred Stock is entitled to receive proceeds prior and in preference to any distribution to Junior Shadow Preferred Stock and Common Stock, also an amount equal to the Original Issue price. Similarly, Junior Shadow Preferred Stock has liquidation preference over Common Stock. Upon completion of the distribution required to preferred stockholders, the remaining proceeds shall be distributed to common stockholders on a pro rata basis.</w:t>
      </w:r>
    </w:p>
    <w:p>
      <w:pPr>
        <w:spacing w:after="0" w:line="192"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The Original Issuance Price is defined as $0.3456 per share for Series Seed Shadow Preferred Stock; $0.6960 per share for Series A Shadow Preferred Stock; $0.6900 per share for Series B Shadow Preferred Stock and; $4.7653 per share for Series C Shadow Preferred Stock; $10.4425 per share for Series D Shadow Preferred Stock; $8.3540 per share for Series D-1 Shadow Preferred Stock; $4.9717 per share for Series D-2 Shadow Preferred Stock; $10.4425 per share for Series D Exchange Shadow Preferred Stock and $8.3540 per share for Series D-1 Exchange Preferred Stock plus any declared but unpaid dividends on such shares.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Liquidation Event shall include the closing of the sale, transfer, exclusive license or other disposition of all or substantially all of the Company’s assets; the consummation of a merger or consolidation of the Company with or into another entity (unless the holders of the Company’s capital stock continue to hold at least 50% of the voting power); the closing of the transfer in one transaction or a series of transactions to a person or group of affiliated persons if after such closing, such person or group of affiliate persons hold 50% or more the outstanding voting stock of the Company; or a liquidation, dissolution or winding up of the Company (provided that a transaction shall not constitute a Liquidation Event if its sole purpose is to change the jurisdiction of the Company’s incorporation or create a holding company that will be owned in substantially the same proportions by the persons who held the Company’s capital stock immediately prior to such transaction).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At any time after the initial issuance date, upon receipt of a Redemption Request by the Company of not less than a majority of the then outstanding Series B Shadow Preferred Stock, Series C Shadow Preferred Stock, Series D Shadow Preferred Stock, Senior Series D Shadow Preferred Stock, by class respectively (the Redemption Request), the Company shall, upon certain conditions being met, redeem the original issuance price plus any declared but unpaid dividends to the redeeming holders of preferred stock within 90 days of the Redemption Request in three annual installments so long as the total redemption amount does not exceed 15% of the Company’s then current enterprise value.</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redemption request could not be made until after the fifth anniversary of the date upon which shares of the Series C Preferred Stock are first issued, or July 2023. Such request was not made as of such date (see Note 7).</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120"/>
          </w:cols>
          <w:pgMar w:left="320" w:top="482" w:right="4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Due to conditions of redemption that are outside the control of the Company, the redeemable convertible preferred stock has been reflected outside of stockholders’ deficit.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holders of the preferred stock have a right to convert their stock into shares of common stock at any time after the date of issuance and on the fifth day prior to the Redemption Date. Each share of preferred stock shall be convertible to common stock, the rate of which is determined by dividing the applicable Original Issuance Price for such series by the applicable “Conversion Price” (defined as Original Issuance Price applicable to such series, subject to certain adjustments as define in Section 4(d) of the Restated Certificate of Incorporation).</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each share of Preferred Stock shall automatically be converted into shares of Common Stock at the Conversion Rate immediately upon the earlier of (i) an IPO with resulting gross proceeds of at least $150.0 million, (ii) a Qualified Direct Listing, (ii) a Qualified SPAC Transaction with cash and cash equivalents of at least $225.0 million after redemptions or (iv) upon vote or written consent or agreement of the holders of a majority of the then outstanding shares of Preferred Stock voting as a single class on an as-converted basis.</w:t>
      </w:r>
    </w:p>
    <w:p>
      <w:pPr>
        <w:spacing w:after="0" w:line="180"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If there is a recapitalization of the Common Stock, provision shall be made so that the holders of the Preferred Stock shall be entitled to receive upon conversion of the Preferred Stock, the number of shares of stock, or other securities or property of the Company, to which a holder of Common Stock deliverable upon conversion would have been entitled on such recapitalization.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the Closing Date, all outstanding preferred stock was converted to common stock upon the execution of the Merger (see Note 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Common stock and Stock-Based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11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At December 31, 2024 and 2023, there were 175,095,000 shares of common stock authorized, respectively, and 17,519,999 and 17,454,353 shares issued and outstanding, respectively.</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receive dividends whenever funds are legally available and when declared by the Board of Directors, subject to the priority rights of holders of all series of Preferred Stock outstanding. Holders of common stock are entitled to one vote for each share of common stock held at all meetings of stockholders.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120"/>
          </w:cols>
          <w:pgMar w:left="320" w:top="482"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Common stock reserved for issuance as of December 31, 2024 and 2023, is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Shadow Preferred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2,020,309</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2,020,309</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Series A Shadow Preferred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4,573,935</w:t>
            </w: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4,573,935</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Shadow Preferred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12,234,661</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12,234,661</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Series C Shadow Preferred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10,211,548</w:t>
            </w: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10,211,548</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3,990,707</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3,990,707</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Series D Exchange Shadow Preferred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239,405</w:t>
            </w: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239,405</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D-1 Shadow Preferred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3,662,318</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3,662,318</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Series D-2 Shadow Preferred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7,561,820</w:t>
            </w: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7,561,820</w:t>
            </w:r>
          </w:p>
        </w:tc>
        <w:tc>
          <w:tcPr>
            <w:tcW w:w="26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outstanding for future issuance of Series D Shadow and Series D-2 Shadow</w:t>
            </w: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756,172</w:t>
            </w:r>
          </w:p>
        </w:tc>
        <w:tc>
          <w:tcPr>
            <w:tcW w:w="6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1,094,667</w:t>
            </w:r>
          </w:p>
        </w:tc>
        <w:tc>
          <w:tcPr>
            <w:tcW w:w="2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Warrants outstanding for future issuance of common stock</w:t>
            </w:r>
          </w:p>
        </w:tc>
        <w:tc>
          <w:tcPr>
            <w:tcW w:w="14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81"/>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warrants (estimated see Note 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1,127,088</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721,086</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         (a)</w:t>
            </w:r>
          </w:p>
        </w:tc>
        <w:tc>
          <w:tcPr>
            <w:tcW w:w="112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99"/>
              </w:rPr>
              <w:t>         (a)</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 (estimated see Note 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7,007,582</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 April 2024 (estimated see Note 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620" w:type="dxa"/>
            <w:vAlign w:val="bottom"/>
          </w:tcPr>
          <w:p>
            <w:pPr>
              <w:spacing w:after="0"/>
              <w:rPr>
                <w:sz w:val="18"/>
                <w:szCs w:val="18"/>
                <w:color w:val="auto"/>
              </w:rPr>
            </w:pPr>
          </w:p>
        </w:tc>
        <w:tc>
          <w:tcPr>
            <w:tcW w:w="112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81"/>
              </w:rPr>
              <w:t>— </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41,018,458</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21,354,809</w:t>
            </w:r>
          </w:p>
        </w:tc>
        <w:tc>
          <w:tcPr>
            <w:tcW w:w="2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available for future issuance</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2,226,705</w:t>
            </w:r>
          </w:p>
        </w:tc>
        <w:tc>
          <w:tcPr>
            <w:tcW w:w="6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839,706</w:t>
            </w:r>
          </w:p>
        </w:tc>
        <w:tc>
          <w:tcPr>
            <w:tcW w:w="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96,123,126</w:t>
            </w:r>
          </w:p>
        </w:tc>
        <w:tc>
          <w:tcPr>
            <w:tcW w:w="6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75,514,616</w:t>
            </w:r>
          </w:p>
        </w:tc>
        <w:tc>
          <w:tcPr>
            <w:tcW w:w="2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line="282"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shares to be issued upon exercise of the 2023 Convertible Note Warrants is not determinable as of December 31, 2023 due to the variable settlement terms (see Note 8).</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11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November 2011, and as amended in December 2018 and August 2021, the Company adopted the 2011 Stock Plan (the “2011 Amended Plan”). Under the 2011 Amended Plan, incentive stock options (“ISOs”) may be granted to employees at exercise prices not lower than the fair value of the stock at the date of grant as determined by the Board, or the committee appointed by the Board to administer the 2011 Amended Plan. For ISOs granted to a person who, at the time of the grant, owns stock representing more than 10% of the total combined voting power of all classes of the Company’s stock, the per share exercise price must be no less than 110% of the fair value on the date of the grant as determined by the Board.</w:t>
      </w:r>
    </w:p>
    <w:p>
      <w:pPr>
        <w:spacing w:after="0" w:line="183" w:lineRule="exact"/>
        <w:rPr>
          <w:sz w:val="20"/>
          <w:szCs w:val="20"/>
          <w:color w:val="auto"/>
        </w:rPr>
      </w:pPr>
    </w:p>
    <w:p>
      <w:pPr>
        <w:ind w:left="120" w:right="420" w:firstLine="440"/>
        <w:spacing w:after="0" w:line="312" w:lineRule="auto"/>
        <w:rPr>
          <w:sz w:val="20"/>
          <w:szCs w:val="20"/>
          <w:color w:val="auto"/>
        </w:rPr>
      </w:pPr>
      <w:r>
        <w:rPr>
          <w:rFonts w:ascii="Times New Roman" w:cs="Times New Roman" w:eastAsia="Times New Roman" w:hAnsi="Times New Roman"/>
          <w:sz w:val="17"/>
          <w:szCs w:val="17"/>
          <w:color w:val="auto"/>
        </w:rPr>
        <w:t>The Company recognizes compensation expense for service-based options on a straight-line basis over the requisite service period of all employees or non-employees, which is the award’s vesting term, generally over four years. The Company accounts for forfeitures when they occur.</w:t>
      </w:r>
    </w:p>
    <w:p>
      <w:pPr>
        <w:spacing w:after="0" w:line="14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also grants RSUs, which vest upon the satisfaction of both the service-based condition and a liquidity event condition. The liquidity event condition for the RSUs is satisfied upon the occurrence of a qualifying event, defined specifically in the equity documents, and generally refer to the earlier of a specified period of time subsequent to an initial public offering or an acquisition, in all cases prior to the expiration date of the award.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 or the expiration date of the award. The RSUs expire as defined by the individual RSU grant, generally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140"/>
          </w:cols>
          <w:pgMar w:left="320" w:top="482" w:right="4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earlier of (i) the first anniversary or second anniversary of terminated service, for 2023 and prior grants, respectively, for any reason and (ii) expire date defined as the fifth anniversary of the date of grant.</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RSUs is determined based on the Company’s estimated fair value of common stock at the date of grant, as determined by the Board of Directors.</w:t>
      </w:r>
    </w:p>
    <w:p>
      <w:pPr>
        <w:spacing w:after="0" w:line="16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2024, there were service-based stock options outstanding to purchase a total of 36,363,184 shares of common stock under the Plan and 4,655,274 unvested RSUs. As of December 31, 2024, 2,226,705 shares of common stock were available for issuance for either stock option or RSU grants under the 2011 Amended Plan.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Options: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stock option activity as of December 31, 2024 is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52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34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5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34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5580" w:type="dxa"/>
            <w:vAlign w:val="bottom"/>
          </w:tcPr>
          <w:p>
            <w:pPr>
              <w:spacing w:after="0"/>
              <w:rPr>
                <w:sz w:val="15"/>
                <w:szCs w:val="15"/>
                <w:color w:val="auto"/>
              </w:rPr>
            </w:pPr>
          </w:p>
        </w:tc>
        <w:tc>
          <w:tcPr>
            <w:tcW w:w="15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30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at December 31,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1,325,844</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15,141,280</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0.44</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0.80</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(8,601)</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0.80</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(19,543)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15.53</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 at December 31, 2023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16,437,980</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9.3</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13,907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21,329,457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0.92</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(65,646)</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1.49</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0.74</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(1,333,107)</w:t>
            </w:r>
          </w:p>
        </w:tc>
        <w:tc>
          <w:tcPr>
            <w:tcW w:w="10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1.54</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at December 31, 2024</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36,363,184</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6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22,845</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Vested/expected to vest at December 31, 2024</w:t>
            </w: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9.1</w:t>
            </w:r>
          </w:p>
        </w:tc>
        <w:tc>
          <w:tcPr>
            <w:tcW w:w="4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22,492</w:t>
            </w: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35,560,434</w:t>
            </w: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6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options at December 31, 2024</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9,614,865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1.58</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8.3</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7,066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service-based options exercised during the years ended December 31, 2024 and 2023 was $17,000 and zero, respectively. The intrinsic value is the difference between the estimated fair value of the Company’s common stock at the date of exercise and the exercise price for in-the-money stock options.</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years ended December 31, 2024 and 2023 was $0.88 per share and $0.25 per share, respectively. The total grant date fair value of stock options that vested during the years ended December 31, 2024 and 2023 was $2.8 million and $0.8 million, respectively.</w:t>
      </w:r>
    </w:p>
    <w:p>
      <w:pPr>
        <w:spacing w:after="0" w:line="17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approximately $18.2 million of total unrecognized compensation cost related to unvested stock options granted, which is expected to be recognized over the weighted-average period of 2.4 years.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140"/>
          </w:cols>
          <w:pgMar w:left="320" w:top="482" w:right="4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recorded stock-based compensation expense for stock options and the 2024 cancellation of 135,400 RSUs during the years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2024 and 2023, as follows (in thousands):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26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5"/>
                <w:szCs w:val="15"/>
                <w:color w:val="auto"/>
              </w:rPr>
            </w:pP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2,741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2,111</w:t>
            </w:r>
          </w:p>
        </w:tc>
      </w:tr>
      <w:tr>
        <w:trPr>
          <w:trHeight w:val="216"/>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$3,847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2,483</w:t>
            </w:r>
          </w:p>
        </w:tc>
      </w:tr>
    </w:tbl>
    <w:p>
      <w:pPr>
        <w:spacing w:after="0" w:line="19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option-pricing model to determine the grant-date fair value of stock options. The determination of the fair value of stock options on the grant date is affected by the estimated underlying common stock price, as well as assumptions regarding a number of complex and subjective variables. These variables include expected stock price volatility over the term of the awards, actual and projected employee stock option exercise behaviors, risk-free interest rates, and expected dividends. The grant date fair value of the Company’s stock options granted in the years ended December 31, 2024 and 2023 was estimated using the Black-Scholes model with the range of assumptions stated below:</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0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 - 4.43%</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- 4.46%</w:t>
            </w:r>
          </w:p>
        </w:tc>
        <w:tc>
          <w:tcPr>
            <w:tcW w:w="4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00" w:type="dxa"/>
            <w:vAlign w:val="bottom"/>
          </w:tcPr>
          <w:p>
            <w:pPr>
              <w:spacing w:after="0"/>
              <w:rPr>
                <w:sz w:val="18"/>
                <w:szCs w:val="18"/>
                <w:color w:val="auto"/>
              </w:rPr>
            </w:pPr>
          </w:p>
        </w:tc>
        <w:tc>
          <w:tcPr>
            <w:tcW w:w="256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color w:val="auto"/>
              </w:rPr>
              <w:t>5.00 - 6.22</w:t>
            </w:r>
          </w:p>
        </w:tc>
        <w:tc>
          <w:tcPr>
            <w:tcW w:w="1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5.00 - 6.01</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1300"/>
              <w:spacing w:after="0"/>
              <w:rPr>
                <w:sz w:val="20"/>
                <w:szCs w:val="20"/>
                <w:color w:val="auto"/>
              </w:rPr>
            </w:pPr>
            <w:r>
              <w:rPr>
                <w:rFonts w:ascii="Times New Roman" w:cs="Times New Roman" w:eastAsia="Times New Roman" w:hAnsi="Times New Roman"/>
                <w:sz w:val="18"/>
                <w:szCs w:val="18"/>
                <w:color w:val="auto"/>
                <w:w w:val="98"/>
              </w:rPr>
              <w:t>56.92% - 57.51%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56.74% - 57.56%</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tcPr>
          <w:p>
            <w:pPr>
              <w:spacing w:after="0"/>
              <w:rPr>
                <w:sz w:val="18"/>
                <w:szCs w:val="18"/>
                <w:color w:val="auto"/>
              </w:rPr>
            </w:pPr>
          </w:p>
        </w:tc>
        <w:tc>
          <w:tcPr>
            <w:tcW w:w="256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common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560" w:type="dxa"/>
            <w:vAlign w:val="bottom"/>
            <w:gridSpan w:val="2"/>
            <w:shd w:val="clear" w:color="auto" w:fill="CCEEFF"/>
          </w:tcPr>
          <w:p>
            <w:pPr>
              <w:jc w:val="right"/>
              <w:ind w:right="1300"/>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0.25</w:t>
            </w:r>
          </w:p>
        </w:tc>
      </w:tr>
    </w:tbl>
    <w:p>
      <w:pPr>
        <w:spacing w:after="0" w:line="19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risk-free interest rate is based on the U.S. Treasury constant maturities on the date of the grant for the time period equal to the expected term of the options granted. Expected volatility was calculated for the given term on the basis of the average volatilities of a peer group of representative public companies having considered characteristics such as industry, stage of life cycle, size, financial leverage and comparable programs and participant pools. The Company determined the use of historical volatility for similar entities represents a more accurate calculation of option fair value. Expected life is calculated using the simplified method (based on the mid-point between the vesting date and the end of the contractual term of the option). The Company has no history or experience of paying cash dividends on its common stock and thus, has assumed a zero-dividend rate. The assumptions used to calculate the fair value of options granted are evaluated and revised for new awards, as necessary, to reflect market conditions and experience.</w:t>
      </w:r>
    </w:p>
    <w:p>
      <w:pPr>
        <w:spacing w:after="0" w:line="192" w:lineRule="exact"/>
        <w:rPr>
          <w:sz w:val="20"/>
          <w:szCs w:val="20"/>
          <w:color w:val="auto"/>
        </w:rPr>
      </w:pPr>
    </w:p>
    <w:p>
      <w:pPr>
        <w:jc w:val="center"/>
        <w:ind w:left="380" w:right="500"/>
        <w:spacing w:after="0" w:line="454" w:lineRule="auto"/>
        <w:rPr>
          <w:sz w:val="20"/>
          <w:szCs w:val="20"/>
          <w:color w:val="auto"/>
        </w:rPr>
      </w:pPr>
      <w:r>
        <w:rPr>
          <w:rFonts w:ascii="Times New Roman" w:cs="Times New Roman" w:eastAsia="Times New Roman" w:hAnsi="Times New Roman"/>
          <w:sz w:val="18"/>
          <w:szCs w:val="18"/>
          <w:color w:val="auto"/>
        </w:rPr>
        <w:t>On the Closing Date, all outstanding options were converted into new instruments in accordance with the terms of the Merger (see Note 1). F-81</w:t>
      </w:r>
    </w:p>
    <w:p>
      <w:pPr>
        <w:sectPr>
          <w:pgSz w:w="11900" w:h="16838" w:orient="portrait"/>
          <w:cols w:equalWidth="0" w:num="1">
            <w:col w:w="11080"/>
          </w:cols>
          <w:pgMar w:left="320" w:top="482" w:right="4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Restricted-Stock Units: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the Company’s RSU activity issued under the 2011 Amended Plan, inclusive of the 6,000,000 RSUs issued to an investor (see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7 and 13), for the years ended December 31, 2024 and 2023 is as follows:</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600" w:type="dxa"/>
            <w:vAlign w:val="bottom"/>
            <w:gridSpan w:val="3"/>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January 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137,909</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10,929,820</w:t>
            </w:r>
          </w:p>
        </w:tc>
        <w:tc>
          <w:tcPr>
            <w:tcW w:w="7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23"/>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(150,900)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4,916,829</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(254,555)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Expired</w:t>
            </w:r>
          </w:p>
        </w:tc>
        <w:tc>
          <w:tcPr>
            <w:tcW w:w="160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Nonvested as of December 31, 2024</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4,655,274</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RSUs have both a service-based condition and a liquidity event condition. The liquidity event condition is only satisfied on the consummation of the liquidity event, such as an IPO, which is currently not determinable or probable. As the satisfaction of the liquidity event condition for all RSUs is neither determinable nor probable as of December 31, 2024, no stock-based compensation expense was recognized for the periods presented. As of December 31, 2024, there was $6.3 million of total unrecognized compensation expense related to outstanding RSU equity awards. Since the RSUs only vest on the consummation of a liquidity event which is currently not determinable or probable, the Company is unable to determine the weighted-average period over which the unrecognized cost will be recognized.</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6,000,000 RSUs issued as part of the 2023 Convertible Note financing were fair valued on the date of grant and recognized as debt financing charge at date of transaction (see Notes 8 and 13). Effective December 21, 2023, as a condition of executing the Merger Agreement, the Company accelerated the vesting associated with the 6,000,000 RSUs. Upon acceleration, the RSUs were immediately exchanged and 6,000,000 shares of common stock issued. The modification of vesting terms resulted in the recognition of $1.7 million in stock-based compensation expense during the year ended December 31, 2023.</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the Closing Date, all outstanding RSUs were converted into new instruments in accordance with the terms of the Merger (see Note 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of December 31, 2024, the Company had outstanding purchase orders and contractual obligations totaling $0.2 million to procure inventory. The majority of the Company’s outstanding inventory purchase orders and preauthorized commitments to procure strategic components based on the Company’s expected demand are placed with the Company’s primary third party contract manufacturer and a semiconductor supplier. The Company has an obligation to purchase inventories that have been purchased by the contract manufacturer when components have not been consumed within a period defined in the terms of the Company’s agreement. During the years ended December 31, 2024 and 2023, the Company purchased inventories of $4.3 million and $4.4 million, respectively, due to this obligation.</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120"/>
          </w:cols>
          <w:pgMar w:left="320" w:top="482"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While the Company expects such purchased components to be used in future production of Company finished goods, these components are considered in the Company’s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many not be recoverable, the loss is probable and management has the ability to reasonably estimate the amount of the loss. As of December 31, 2024 and 2023, the liability balance of the Company’s accrued losses on accrued purchase commitments equaled $0.6 million and $3.6 million, respectively, on the consolidated balance sheets.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claims or other legal matters arising in the ordinary course of business. The Company records accruals for outstanding legal proceedings when it is probable a liability will be incurred, and the amount of loss can be reasonably estimated. The Company does not believe that there are any pending legal proceedings or other loss contingencies that will, either individually or in the aggregate, have a material adverse effect on the Company’s consolidated financial statements.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December 22, 2023 Merger Agreement as amended (see Note 1), provided that as soon as reasonably practicable following the date of the Merger Agreement, Burkhan and/or its affiliates and/or nominees shall purchase from the Company: (i) convertible promissory notes under the Company’s 2023 NPA (see Note 7) and (ii) the Burkhan Pre-funded Warrant (see Note 8) for aggregate gross proceeds to the Company of $25.0 million.</w:t>
      </w:r>
    </w:p>
    <w:p>
      <w:pPr>
        <w:spacing w:after="0" w:line="158"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In addition, 16,300,000 shares of New Blaize common stock may be issued as earnout shares for a period from the closing of the business combination until the five-year anniversary thereof, in accordance with the schedule set forth in the Merger Agreement. The earnout shares are to be issued to Burkhan and eligible shareholders of the Company contingent, in each case, on the closing stock price of the New Blaize common stock exceeding specific thresholds.</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On April 22, 2024, the Company, BurTech LP LLC, and BurTech entered into a Backstop Subscription Agreement. Pursuant to the Backstop Subscription Agreement, in the event that the amount of cash in BurTech’s trust account following redemptions and before payment of expenses is less than $30,000,000, BurTech LP LLC shall purchase, prior to or substantially concurrently with the closing of the Merger, a number of shares of Class A common stock of BurTech equal to the difference between $30,000,000 minus the Trust Amount divided by $10.00 per share. The April Amendment also amended various definitions and covenants to reflect the funding commitment of the BurTech’s Sponsor pursuant to the Backstop Subscription Agreement.</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April 22, 2024, BurTech LP LLC and BurTech entered into a letter agreement. Under this agreement, conditioned upon the occurrence of the closing of the Merger, BurTech LP LLC agreed to forfeit 2,000,000 BurTech Shares to be effective immediately prior to the closing.</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Lock-Up Agreement attached to the Merger Agreement was also amended on April 22, 2024 to include certain consent requirements to the transfer of the Burkhan Prefunded Warrant Stock and grant the Company Board of Directors the discretion to determine whether certain persons will be subject to the lock-up requirements.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On October 24, 2024, BurTech, Merger Sub, the Company and Burkhan entered into an Amendment No. 2 to Agreement and Plan of Merger (the “Second Amendment to Merger Agreement”). The Second Amendment to</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100"/>
          </w:cols>
          <w:pgMar w:left="320" w:top="482" w:right="47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Merger Agreement amended the original merger agreement to revise the New Blaize Board designees to nine members, including four individuals to be designated by the Company and five independent directors, designated by the Company after consultation, in good faith, with BurTech regarding the determination of the independent directors, with the chairman designated until a new chairperson is appointed by the New Blaize Board.</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November 21, 2024, BurTech, Merger Sub, Blaize and Burkhan entered into an Amendment No. 3 to Agreement and Plan of Merger (the “Third Amendment to Merger Agreement”). The Third Amendment to Merger Agreement amended the original merger agreement to (i) revise the New Blaize Board designees to be comprised of seven members, including two individuals to be designated by Blaize and five independent directors, designated by Blaize after consultation, in good faith, with BurTech regarding the determination of the independent directors, with Lane M. Bess to be designated as the Chairman until a new chairperson is appointed by the New Blaize Board, (ii) remove the agreement between BurTech, Sponsor and Burkhan to enter into the Stockholders’ Agreement at the closing of the Business Combination and to remove such Form of Stockholders’ Agreement as an exhibit to the original merger agreement and (iii) replace the proposed Third Amended and Restated Certificate of Incorporation with a new Form of Third Amended and Restated Certificate of Incorporation to reflect that the New Blaize Board will not be a classified board.</w:t>
      </w:r>
    </w:p>
    <w:p>
      <w:pPr>
        <w:spacing w:after="0" w:line="19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the terms and subject to the conditions set forth in the Merger Agreement, on January 13, 2025, the transaction was consummated (see Note 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September 19, 2024, the Company entered into an engagement letter with KeyBanc Capital Markets Inc. (“KBCM”) to serve as its</w:t>
      </w:r>
    </w:p>
    <w:p>
      <w:pPr>
        <w:spacing w:after="0" w:line="27" w:lineRule="exact"/>
        <w:rPr>
          <w:sz w:val="20"/>
          <w:szCs w:val="20"/>
          <w:color w:val="auto"/>
        </w:rPr>
      </w:pPr>
    </w:p>
    <w:p>
      <w:pPr>
        <w:ind w:left="340" w:hanging="224"/>
        <w:spacing w:after="0"/>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strategic advisor in connection with the Business Combination, (ii) sole and exclusive placement agent for private placement services and</w:t>
      </w:r>
    </w:p>
    <w:p>
      <w:pPr>
        <w:spacing w:after="0" w:line="9" w:lineRule="exact"/>
        <w:rPr>
          <w:rFonts w:ascii="Times New Roman" w:cs="Times New Roman" w:eastAsia="Times New Roman" w:hAnsi="Times New Roman"/>
          <w:sz w:val="18"/>
          <w:szCs w:val="18"/>
          <w:color w:val="auto"/>
        </w:rPr>
      </w:pPr>
    </w:p>
    <w:p>
      <w:pPr>
        <w:ind w:left="120" w:right="20" w:hanging="4"/>
        <w:spacing w:after="0" w:line="253" w:lineRule="auto"/>
        <w:tabs>
          <w:tab w:leader="none" w:pos="43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and exclusive financial advisor in connection with any potential sale transactions. Pursuant to the engagement, the Company agreed to pay KBCM (i) a strategic advisory fee of $1,000,000 upon the Closing of the Business Combination and (ii) a placement fee based on a percentage of the gross proceeds from any private placements or, in the event no private placement is completed by KBCM has used reasonable best efforts to secure such a private placement, a fee of $500,000 promptly (but not later than two business days) following the close of the Business Combination. Additionally, a sale transaction fee will be paid, calculated as the greater of $3,000,000 or 1% of the transaction value.</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October 24, 2024, contingent upon the close of the proposed merger on or before December 31, 2024 and continued employment or services to the Company on the applicable grant date, the Company’s Board of Directors approved the issuance of 6,936,285 restricted stock units under the New Blaize equity plan.</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October through December of 2024, the Company entered into various advisor agreements related to business development and strategy, and for new revenue contracts, in new geographical markets. Compensation for services, pending approval by the New Blaize Board of Directors, is in the form of restricted stock units of New Blaize following the filing of a registration statement subsequent to Merger consummation to register such shares, and subject to the advisors continued service on the applicable grant date.</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December 2024, the Company entered into an agreement for capital market services which included advisory services and a finder’s fee, for which payment was due upon the close of the Merger (see Note 1). Under the terms of the agreement, at the discretion of the Company, the advisory fee of $0.8 million is to be paid in the form of (i) cash and (ii) cash or a combination of cash and shares of common stock of New Blaize at a price of $10 per share at various dates in 2025. The finder’s fee, equal to a specified percentage of the trust value for the Company’s shares held by investors introduced by the advisor, is to be paid fifty percent in cash and fifty-percent in shares of New Blaize at a price of $10.00 per share, concurrent with the close of the Meger. The Company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120"/>
          </w:cols>
          <w:pgMar w:left="320" w:top="482"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recognized $0.6 million associated with the contract as deferred offering costs and accrued liabilities for the year ended December 31, 2024. On the earlier of the date that is six months from the date of the Merger and the date that a Registration Statement filed with the SEC registering the resale of the closing shares is declared effective (the “Reset Date”), if the five day volume weighted average price of common stock for the five trading days immediately preceding the Reset Date (such price, the “Reset Price”) is less than $10 per share (subject to a $1.00 per share floor), within two days the Company shall issue an additional number of common shares equal to the number obtained by dividing (i) the product of the number of shares held as of the Reset Date and $10.00 by (ii) the Reset Price, less the number of sharing shares held, provided that the additional shares shall not exceed 300,000.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13. Related Party Transactions and Balances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revenues of approximately $1.5 million, or approximately 98% of its total revenue, from sales to two minority stockholders. During the year ended December 31, 2023, the Company recognized revenues of approximately $3.8 million, or nearly 100% of its total revenue, from sales to one minority stockholders. As of December 31, 2024 and 2023, there was zero and $0.5 million of accounts receivables from one of these customers, respectively, all of which was unbilled.</w:t>
      </w:r>
    </w:p>
    <w:p>
      <w:pPr>
        <w:spacing w:after="0" w:line="18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November 2023, the Company executed a $4.0 million demand note (see Note 7) with a related party investor holding more than a 10% ownership in the outstanding stock of the Company. In April 2024, the Company repaid the total outstanding principal and interest. This related party investor also has a representative serving on the Company’s Board of Directors. The same investor invested in a 2023 Convertible Note (see Note 8) in the amount of $5.0 million or 41% of the total 2023 Convertible Note proceeds raised in 2023. In accordance with the terms of the 2023 Convertible Note NPA, the investor also received 2023 Convertible Note Warrants (see Note 8) for no additional consideration resulting in the allocation of proceeds between the 2023 Convertible Note and the 2023 Convertible Note Warrants. The 2023 Convertible Note and 2023 Convertible Note Warrants held by this investor are subject to the adjustments in fair value. As of December 31, 2024, the related party 2023 Convertible Note and 2023 Convertible Note Warrants approximate $6.9 million and $8.0 million, respectively. As of December 31, 2023, the related party 2023 Convertible Note and 2023 Convertible Note Warrants approximate $7.3 million and $0.9 million, respectively. During the years ended December 31, 2024 and 2023, the change in fair value for the 2023 Convertible Note equaled $0.4 million and $3.0 million, respectively (see Note 4). During the years ended December 31, 2024 and 2023, the change in fair value for the 2023 Convertible Note Warrants equaled $0.8 million and $0.2 million, respectively (see Note 4). In conjunction with the issuance of the 2023 Convertible Note, the Company issued 6,000,000 RSUs to the investor. The issuance date fair value of the RSUs was recognized as a financing charge (see Note 8). In December 2023, the terms of the RSUs were modified resulting in accelerated vesting and immediate issuance of 6,000,000 common stock shares for which incremental stock-based compensation expense was recorded (see Note 11).</w:t>
      </w:r>
    </w:p>
    <w:p>
      <w:pPr>
        <w:spacing w:after="0" w:line="19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January 2023, one of the minority investors with which the Company had a revenue arrangement, representing 21% and zero percent of revenue for the years ended December 31, 2024 and 2023, also invested in a P2P Note (see Note 7) in the amount of $3.3 million or 35% of the total P2P proceeds raised in 2023. In accordance with the terms of the 2022 P2P NPA, the minority investor also received P2P Warrants (see Note 8) for no additional consideration resulting in the allocation of proceeds between the P2P Note and the P2P Warrants. The P2P Note and P2P Warrants held by the minority investor are subject to the adjustments in fair value. As of December 31, 2024, the related party P2P Note and P2P Warrants approximate $4.2 million and nearly zero, respectively. As of December 31, 2023, the related party P2P Note and P2P Warrants approximate $3.9 million and</w:t>
      </w:r>
    </w:p>
    <w:p>
      <w:pPr>
        <w:spacing w:after="0" w:line="5" w:lineRule="exact"/>
        <w:rPr>
          <w:sz w:val="20"/>
          <w:szCs w:val="20"/>
          <w:color w:val="auto"/>
        </w:rPr>
      </w:pPr>
    </w:p>
    <w:p>
      <w:pPr>
        <w:ind w:left="120" w:right="380"/>
        <w:spacing w:after="0" w:line="260" w:lineRule="auto"/>
        <w:rPr>
          <w:sz w:val="20"/>
          <w:szCs w:val="20"/>
          <w:color w:val="auto"/>
        </w:rPr>
      </w:pPr>
      <w:r>
        <w:rPr>
          <w:rFonts w:ascii="Times New Roman" w:cs="Times New Roman" w:eastAsia="Times New Roman" w:hAnsi="Times New Roman"/>
          <w:sz w:val="18"/>
          <w:szCs w:val="18"/>
          <w:color w:val="auto"/>
        </w:rPr>
        <w:t>$0.3 million, respectively. During the years ended December 31, 2024 and 2023, the change in fair value for the P2P Note equaled $0.3 million and $0.9 million, respectively (see Note 4). During the years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120"/>
          </w:cols>
          <w:pgMar w:left="320" w:top="482" w:right="4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ended December 31, 2024 and 2023, the change in fair value for P2P Warrants equaled $0.3 million and $32,000 respectively (see Note 4).</w:t>
      </w:r>
    </w:p>
    <w:p>
      <w:pPr>
        <w:spacing w:after="0" w:line="225" w:lineRule="exact"/>
        <w:rPr>
          <w:sz w:val="20"/>
          <w:szCs w:val="20"/>
          <w:color w:val="auto"/>
        </w:rPr>
      </w:pPr>
    </w:p>
    <w:p>
      <w:pPr>
        <w:ind w:left="120" w:right="80" w:firstLine="440"/>
        <w:spacing w:after="0" w:line="271" w:lineRule="auto"/>
        <w:rPr>
          <w:sz w:val="20"/>
          <w:szCs w:val="20"/>
          <w:color w:val="auto"/>
        </w:rPr>
      </w:pPr>
      <w:r>
        <w:rPr>
          <w:rFonts w:ascii="Times New Roman" w:cs="Times New Roman" w:eastAsia="Times New Roman" w:hAnsi="Times New Roman"/>
          <w:sz w:val="17"/>
          <w:szCs w:val="17"/>
          <w:color w:val="auto"/>
        </w:rPr>
        <w:t>In December 2022, one of the minority stockholders with which the Company had a revenue arrangement, representing 77% and nearly 100% of total revenues for the years ended December 31, 2024 and 2023, and zero percent and 98% of accounts receivable as of December 31, 2024 and 2023, respectively, also invested in a P2P Note (see Note 7) in the amount of $0.4 million or 13% of the total P2P proceeds raised in 2022. In accordance with the terms of the 2022 P2P NPA, the minority investor also received P2P Warrants equal (see Note 8) for no additional consideration resulting in the allocation of proceeds between the P2P Note and the P2P Warrants. The P2P Note and P2P Warrants held by the minority investor are subject to the adjustments in fair value. As of December 31, 2024, the fair value of the related party P2P Note and P2P Warrants approximate $0.5 million and nearly zero, respectively. As of December 31, 2023, the related party P2P Note and P2P Warrants approximate $0.4 million and $29,000, respectively. During the year ended December 31, 2024, the change in fair value for the P2P Note and P2P Note Warrants equaled $38,000 and $29,000, respectively (see Note 4). During the year ended December 31, 2023, the change in fair value for the P2P Note and P2P Note Warrants was immaterial (see Note 4).</w:t>
      </w:r>
    </w:p>
    <w:p>
      <w:pPr>
        <w:spacing w:after="0" w:line="17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During 2024, the Company incurred $0.3 million of marketing expenses paid to a Company owned by a direct family member of a minority stockholder and Company board of director.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14. Net Loss Per Share Attributable to Common Shareholders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dilutive net loss per share attributable to common stockholders for the years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4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7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(61,195)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(87,589)</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used to compute net loss per share attributable to common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17,476,105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7"/>
              </w:rPr>
              <w:t>4,213,244</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ind w:left="5340"/>
              <w:spacing w:after="0"/>
              <w:rPr>
                <w:sz w:val="20"/>
                <w:szCs w:val="20"/>
                <w:color w:val="auto"/>
              </w:rPr>
            </w:pPr>
            <w:r>
              <w:rPr>
                <w:rFonts w:ascii="Times New Roman" w:cs="Times New Roman" w:eastAsia="Times New Roman" w:hAnsi="Times New Roman"/>
                <w:sz w:val="18"/>
                <w:szCs w:val="18"/>
                <w:color w:val="auto"/>
              </w:rPr>
              <w:t>F-86</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7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The following potentially dilutive securities were excluded from the calculation of diluted net loss per share attributable to common shareholders for the periods presented because the impact of including them would have been anti-dilutive for the years ended December 31, 2024 and 2023:</w:t>
      </w:r>
    </w:p>
    <w:p>
      <w:pPr>
        <w:spacing w:after="0" w:line="16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75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r>
      <w:tr>
        <w:trPr>
          <w:trHeight w:val="209"/>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26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36,363,184</w:t>
            </w:r>
          </w:p>
        </w:tc>
        <w:tc>
          <w:tcPr>
            <w:tcW w:w="6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16,437,980</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4,655,274</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4,916,829</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Series D and D-2 preferred stock warrants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756,172</w:t>
            </w:r>
          </w:p>
        </w:tc>
        <w:tc>
          <w:tcPr>
            <w:tcW w:w="6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1,094,667</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warrants (estimated See Note 8)</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1,127,088</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721,086</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         (a)</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(a)</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50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— </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2,063</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 (estimated See Note 8)</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2,000,000</w:t>
            </w:r>
          </w:p>
        </w:tc>
        <w:tc>
          <w:tcPr>
            <w:tcW w:w="6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7,007,582</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 April 2024 (estimated See Note 8)</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4,500,000</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93,896,421</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74,674,910</w:t>
            </w:r>
          </w:p>
        </w:tc>
        <w:tc>
          <w:tcPr>
            <w:tcW w:w="26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740" w:hanging="424"/>
        <w:spacing w:after="0" w:line="282" w:lineRule="auto"/>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shares to be issued upon exercise of the 2023 Convertible Note Warrants is not determinable due to the variable settlement terms (see Note 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15. Employee Benefit Plan</w:t>
      </w:r>
    </w:p>
    <w:p>
      <w:pPr>
        <w:spacing w:after="0" w:line="121"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A 401(k) plan is provided that covers substantially all employees meeting certain age and service requirements. The Company makes discretionary contributions to the 401(k) plan. The Company recorded $0.6 million and $0.5 million in matching contributions for the years ended December 31, 2024 and 2023.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employee benefits: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provides its employees in India an opportunity to participate in a long term defined benefits plan, the liability the Company bears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for providing this benefit is determined through an actuarial valuation at each reporting date. The benefit plan provides for lump sum payments to vested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employees on retirement, death while in service or on termination of employment for an amount equivalent to 15 days of basic salary for each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completed year of service. Vesting occurs upon completion of five years of service. The present value of such obligation is determined by the projected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unit credit method and adjusted for past service cost and fair value of plan assets as at the balance sheet date through which the obligations are to be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settled. The actuarial gain or loss on change in present value of the defined benefit obligation or change in return of the plan assets is recognized as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or expense in the consolidated statement of operations. The expected return on plan assets is based on the assumed rate of return of such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assets. As of December 31, 2024 and 2023, the related liability is included within accrued compensation and other liabilities on the consolidated balance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sheets.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16. Segment Reporting</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reportable segment, manages the business, and evaluates financial performance on a consolidated basis. The CODM regularly receives and reviews consolidated financial results focusing primarily on revenue, costs and expenses, and net loss from the consolidated statements of operations to make decisions regarding the allocation of resources and assessment of performance.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100"/>
          </w:cols>
          <w:pgMar w:left="320" w:top="482" w:right="47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loss for the years ended December 31, 2024 and 2023 is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Less: Costs and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3,656</w:t>
            </w: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31,981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23,773</w:t>
            </w: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2,693</w:t>
            </w: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2,040</w:t>
            </w: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interest (income)/expense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16,187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49,454</w:t>
            </w: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segment items (a)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9,574</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(87,589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640" w:hanging="224"/>
        <w:spacing w:after="0" w:line="282" w:lineRule="auto"/>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in segment net loss includes marketing expense, professional fees, income tax expense, facilities costs, foreign currency exchange gains and losses, credit loss, and other overhead expenses.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measure of segment assets is reported on the consolidated balance sheet as total consolidated assets. Long-lived and ROU assets located in the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United States, Asia Pacific and United Kingdon region were as follows:</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3"/>
        </w:trPr>
        <w:tc>
          <w:tcPr>
            <w:tcW w:w="5100" w:type="dxa"/>
            <w:vAlign w:val="bottom"/>
          </w:tcPr>
          <w:p>
            <w:pPr>
              <w:spacing w:after="0"/>
              <w:rPr>
                <w:sz w:val="15"/>
                <w:szCs w:val="15"/>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Fixed Assets</w:t>
            </w:r>
          </w:p>
        </w:tc>
        <w:tc>
          <w:tcPr>
            <w:tcW w:w="32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ROU Assets</w:t>
            </w: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Fixed Assets</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ROU Assets</w:t>
            </w: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6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tcPr>
          <w:p>
            <w:pPr>
              <w:spacing w:after="0"/>
              <w:rPr>
                <w:sz w:val="18"/>
                <w:szCs w:val="18"/>
                <w:color w:val="auto"/>
              </w:rPr>
            </w:pPr>
          </w:p>
        </w:tc>
        <w:tc>
          <w:tcPr>
            <w:tcW w:w="8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913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1,175</w:t>
            </w: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1,038</w:t>
            </w:r>
          </w:p>
        </w:tc>
        <w:tc>
          <w:tcPr>
            <w:tcW w:w="3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1,477</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149</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525</w:t>
            </w:r>
          </w:p>
        </w:tc>
      </w:tr>
      <w:tr>
        <w:trPr>
          <w:trHeight w:val="22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6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66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4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March 11, 2025, the date on which these consolidated financial statements were available to be issued and has determined that the following subsequent events are reportable other than those disclosed elsewhere in the consolidated financial statements.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January 13, 2025, the Company consummated the Merger (See Note 1 “Description of Business”).</w:t>
      </w:r>
    </w:p>
    <w:p>
      <w:pPr>
        <w:spacing w:after="0" w:line="225"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On January 13, 2025, the Company entered into an advisory agreement, for a term of twelve months, related to a private placement backstop financing or other financings of the Company of equity or equity-linked securities with respect to the Company’s Merger. Under the terms of the agreement, the advisory fee of $0.5 million for capital market advisory services is due (1) $0.3 million upon the closing of the Merger with fifty-percent paid in cash and fifty percent paid in common stock of New Blaize; and 0.2 million paid in two equal quarterly installments due at the end of each calendar quarter following the Merger with fifty percent of each quarterly payment being paid in cash and fifty precent paid in common stock of the Company. In addition, the Company entered into a warrant agreement, for a nominal upfront value, which allows the advisor to purchase 50 000 shares of common stock at a price of $11.50 per share for a term of five years. On February 10, 2025, New Blaize issued the 50,000 common stock warrants.</w:t>
      </w:r>
    </w:p>
    <w:p>
      <w:pPr>
        <w:spacing w:after="0" w:line="171" w:lineRule="exact"/>
        <w:rPr>
          <w:sz w:val="20"/>
          <w:szCs w:val="20"/>
          <w:color w:val="auto"/>
        </w:rPr>
      </w:pPr>
    </w:p>
    <w:p>
      <w:pPr>
        <w:jc w:val="center"/>
        <w:ind w:right="100"/>
        <w:spacing w:after="0" w:line="454" w:lineRule="auto"/>
        <w:rPr>
          <w:sz w:val="20"/>
          <w:szCs w:val="20"/>
          <w:color w:val="auto"/>
        </w:rPr>
      </w:pPr>
      <w:r>
        <w:rPr>
          <w:rFonts w:ascii="Times New Roman" w:cs="Times New Roman" w:eastAsia="Times New Roman" w:hAnsi="Times New Roman"/>
          <w:sz w:val="18"/>
          <w:szCs w:val="18"/>
          <w:color w:val="auto"/>
        </w:rPr>
        <w:t>During January 2025 the Company received $15.4 million in funding in accordance with the PIPE Subscription Agreements (see Note 1). F-88</w:t>
      </w:r>
    </w:p>
    <w:p>
      <w:pPr>
        <w:sectPr>
          <w:pgSz w:w="11900" w:h="16838" w:orient="portrait"/>
          <w:cols w:equalWidth="0" w:num="1">
            <w:col w:w="11120"/>
          </w:cols>
          <w:pgMar w:left="320" w:top="482" w:right="4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indicates the expenses to be incurred in connection with the offering described in this registration statement, other than underwriting discounts and commissions.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1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166,494.45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Sky fees and expenses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Agent’s fees and expenses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86" w:lineRule="exact"/>
        <w:rPr>
          <w:sz w:val="20"/>
          <w:szCs w:val="20"/>
          <w:color w:val="auto"/>
        </w:rPr>
      </w:pPr>
    </w:p>
    <w:p>
      <w:pPr>
        <w:ind w:left="540" w:hanging="424"/>
        <w:spacing w:after="0"/>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Section 102 of the DGCL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00"/>
          </w:cols>
          <w:pgMar w:left="320" w:top="482" w:right="47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certificate of incorporation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9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Set forth below is information regarding shares of capital stock issued by us within the past three years. Also included is the consideration received by us for such shares and information relating to the section of the Securities Act, or rule of the Securities and Exchange Commission, under which exemption from registration was claimed.</w:t>
      </w:r>
    </w:p>
    <w:p>
      <w:pPr>
        <w:spacing w:after="0" w:line="320" w:lineRule="exact"/>
        <w:rPr>
          <w:sz w:val="20"/>
          <w:szCs w:val="20"/>
          <w:color w:val="auto"/>
        </w:rPr>
      </w:pPr>
    </w:p>
    <w:p>
      <w:pPr>
        <w:ind w:left="540" w:hanging="424"/>
        <w:spacing w:after="0"/>
        <w:tabs>
          <w:tab w:leader="none" w:pos="5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PIPE Investment.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From December 31, 2024 through January 13, 2025, BurTech and certain subscribers (each, a “Subscriber” and collectively, the “Subscribers”) entered into subscription agreements (each, a “PIPE Subscription Agreement” and collectively, the “PIPE Subscription Agreements”) pursuant to which BurTech agreed to issue and sell to the Subscribers, immediately prior to the closing of the Merger, collectively, 1,540,300 shares of Class A Stock (the “PIPE Shares”) at a price per share equal to $10.00 (the “PIPE Investment”). On January 13, 2025, immediately prior to the Closing, BurTech issued 1,540,300 shares of Class A Stock to the Subscribers in accordance with the terms of the PIPE Subscription Agreement. The shares of Class A Stock issued in the PIPE were offered in a private placement under the Securities Act of 1933, as amended (the “Securities Act”), pursuant to the PIPE Subscription Agreements.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80"/>
          </w:cols>
          <w:pgMar w:left="320" w:top="482" w:right="4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Secured Promissory Note and Pledge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Sponsor issued a secured promissory note and pledge agreement (the “Sponsor Note”) to BurTech (the “Holder”) in the principal amount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$8,753,744.21, bearing an interest rate of 7% with annual compounding, compounded on December 31 each year the Sponsor Note remains outstanding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remaining principal amount of the Sponsor Note as at the maturity date, until such remaining principal amount is paid. Pursuant to the Sponsor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the Sponsor granted a first priority security interest in, and pledges, 2,000,000 shares of Class A Stock and all additions, accessions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substitutions to the Holder to secure the satisfaction by the Sponsor of all its obligations to the Holder under this Sponsor Note. This Sponsor Note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issued in connection with the consummation of the Business Combination in satisfaction of the Acquiror Transaction Expenses (as defined in the Merger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that were due to third-party service providers on or immediately following Closing. As consideration for entry into the Sponsor Note,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issued 750,000 shares of Class A Stock (“Sponsor Note Shares”) to the Sponsor in accordance with the terms of the Sponsor Note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“Sponsor Note Issuance” and together with the PIPE Investment, the “Private Placements”). The shares of Class A Stock issued in consideration for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Sponsor Note were offered in a private placement under the Securities Act, pursuant to the Sponsor Note.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31" w:lineRule="exact"/>
        <w:rPr>
          <w:sz w:val="20"/>
          <w:szCs w:val="20"/>
          <w:color w:val="auto"/>
        </w:rPr>
      </w:pPr>
    </w:p>
    <w:p>
      <w:pPr>
        <w:ind w:left="540" w:hanging="424"/>
        <w:spacing w:after="0"/>
        <w:tabs>
          <w:tab w:leader="none" w:pos="5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49"/>
        </w:trPr>
        <w:tc>
          <w:tcPr>
            <w:tcW w:w="460" w:type="dxa"/>
            <w:vAlign w:val="bottom"/>
            <w:tcBorders>
              <w:bottom w:val="single" w:sz="8" w:color="auto"/>
            </w:tcBorders>
            <w:vMerge w:val="continue"/>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Form</w:t>
            </w:r>
          </w:p>
        </w:tc>
        <w:tc>
          <w:tcPr>
            <w:tcW w:w="720" w:type="dxa"/>
            <w:vAlign w:val="bottom"/>
            <w:tcBorders>
              <w:top w:val="single" w:sz="8" w:color="auto"/>
            </w:tcBorders>
            <w:gridSpan w:val="2"/>
          </w:tcPr>
          <w:p>
            <w:pPr>
              <w:jc w:val="right"/>
              <w:ind w:right="280"/>
              <w:spacing w:after="0" w:line="129" w:lineRule="exact"/>
              <w:rPr>
                <w:sz w:val="20"/>
                <w:szCs w:val="20"/>
                <w:color w:val="auto"/>
              </w:rPr>
            </w:pPr>
            <w:r>
              <w:rPr>
                <w:rFonts w:ascii="Times New Roman" w:cs="Times New Roman" w:eastAsia="Times New Roman" w:hAnsi="Times New Roman"/>
                <w:sz w:val="14"/>
                <w:szCs w:val="14"/>
                <w:b w:val="1"/>
                <w:bCs w:val="1"/>
                <w:color w:val="auto"/>
                <w:w w:val="94"/>
              </w:rPr>
              <w:t>Exhibit</w:t>
            </w:r>
          </w:p>
        </w:tc>
        <w:tc>
          <w:tcPr>
            <w:tcW w:w="880" w:type="dxa"/>
            <w:vAlign w:val="bottom"/>
            <w:tcBorders>
              <w:top w:val="single" w:sz="8" w:color="auto"/>
            </w:tcBorders>
          </w:tcPr>
          <w:p>
            <w:pPr>
              <w:jc w:val="right"/>
              <w:ind w:right="12"/>
              <w:spacing w:after="0" w:line="129"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spacing w:after="0"/>
              <w:rPr>
                <w:sz w:val="22"/>
                <w:szCs w:val="22"/>
                <w:color w:val="auto"/>
              </w:rPr>
            </w:pPr>
          </w:p>
        </w:tc>
        <w:tc>
          <w:tcPr>
            <w:tcW w:w="7720" w:type="dxa"/>
            <w:vAlign w:val="bottom"/>
            <w:gridSpan w:val="14"/>
          </w:tcPr>
          <w:p>
            <w:pPr>
              <w:spacing w:after="0"/>
              <w:rPr>
                <w:rFonts w:ascii="Times New Roman" w:cs="Times New Roman" w:eastAsia="Times New Roman" w:hAnsi="Times New Roman"/>
                <w:sz w:val="18"/>
                <w:szCs w:val="18"/>
                <w:color w:val="0000EE"/>
              </w:rPr>
            </w:pPr>
            <w:hyperlink r:id="rId329">
              <w:r>
                <w:rPr>
                  <w:rFonts w:ascii="Times New Roman" w:cs="Times New Roman" w:eastAsia="Times New Roman" w:hAnsi="Times New Roman"/>
                  <w:sz w:val="18"/>
                  <w:szCs w:val="18"/>
                  <w:color w:val="0000EE"/>
                </w:rPr>
                <w:t>Agreement and Plan of Merger, dated as of December 22, 2023, by and among BurTech Acquisition</w:t>
              </w:r>
            </w:hyperlink>
          </w:p>
        </w:tc>
        <w:tc>
          <w:tcPr>
            <w:tcW w:w="48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329">
              <w:r>
                <w:rPr>
                  <w:rFonts w:ascii="Times New Roman" w:cs="Times New Roman" w:eastAsia="Times New Roman" w:hAnsi="Times New Roman"/>
                  <w:sz w:val="18"/>
                  <w:szCs w:val="18"/>
                  <w:color w:val="0000EE"/>
                  <w:w w:val="99"/>
                </w:rPr>
                <w:t>Corp., BurTech Merger Sub, Inc., Blaize, Inc. and for the limited purposes set forth therein, Burkhan</w:t>
              </w:r>
            </w:hyperlink>
          </w:p>
        </w:tc>
        <w:tc>
          <w:tcPr>
            <w:tcW w:w="48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720" w:type="dxa"/>
            <w:vAlign w:val="bottom"/>
            <w:gridSpan w:val="14"/>
          </w:tcPr>
          <w:p>
            <w:pPr>
              <w:spacing w:after="0" w:line="196" w:lineRule="exact"/>
              <w:rPr>
                <w:rFonts w:ascii="Times New Roman" w:cs="Times New Roman" w:eastAsia="Times New Roman" w:hAnsi="Times New Roman"/>
                <w:sz w:val="18"/>
                <w:szCs w:val="18"/>
                <w:color w:val="0000EE"/>
              </w:rPr>
            </w:pPr>
            <w:hyperlink r:id="rId329">
              <w:r>
                <w:rPr>
                  <w:rFonts w:ascii="Times New Roman" w:cs="Times New Roman" w:eastAsia="Times New Roman" w:hAnsi="Times New Roman"/>
                  <w:sz w:val="18"/>
                  <w:szCs w:val="18"/>
                  <w:color w:val="0000EE"/>
                </w:rPr>
                <w:t>Capital LLC.</w:t>
              </w:r>
            </w:hyperlink>
          </w:p>
        </w:tc>
        <w:tc>
          <w:tcPr>
            <w:tcW w:w="7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7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9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7/19/2024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tcPr>
          <w:p>
            <w:pPr>
              <w:spacing w:after="0"/>
              <w:rPr>
                <w:sz w:val="24"/>
                <w:szCs w:val="24"/>
                <w:color w:val="auto"/>
              </w:rPr>
            </w:pPr>
          </w:p>
        </w:tc>
        <w:tc>
          <w:tcPr>
            <w:tcW w:w="7720" w:type="dxa"/>
            <w:vAlign w:val="bottom"/>
            <w:gridSpan w:val="14"/>
          </w:tcPr>
          <w:p>
            <w:pPr>
              <w:spacing w:after="0"/>
              <w:rPr>
                <w:rFonts w:ascii="Times New Roman" w:cs="Times New Roman" w:eastAsia="Times New Roman" w:hAnsi="Times New Roman"/>
                <w:sz w:val="18"/>
                <w:szCs w:val="18"/>
                <w:color w:val="0000EE"/>
              </w:rPr>
            </w:pPr>
            <w:hyperlink r:id="rId329">
              <w:r>
                <w:rPr>
                  <w:rFonts w:ascii="Times New Roman" w:cs="Times New Roman" w:eastAsia="Times New Roman" w:hAnsi="Times New Roman"/>
                  <w:sz w:val="18"/>
                  <w:szCs w:val="18"/>
                  <w:color w:val="0000EE"/>
                </w:rPr>
                <w:t>Amendment to Agreement and Plan of Merger, dated as of April 22, 2024, by and among BurTech</w:t>
              </w:r>
            </w:hyperlink>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329">
              <w:r>
                <w:rPr>
                  <w:rFonts w:ascii="Times New Roman" w:cs="Times New Roman" w:eastAsia="Times New Roman" w:hAnsi="Times New Roman"/>
                  <w:sz w:val="18"/>
                  <w:szCs w:val="18"/>
                  <w:color w:val="0000EE"/>
                  <w:w w:val="99"/>
                </w:rPr>
                <w:t>Acquisition Corp., BurTech Merger Sub, Inc., Blaize, Inc. and for the limited purposes set forth therein,</w:t>
              </w:r>
            </w:hyperlink>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720" w:type="dxa"/>
            <w:vAlign w:val="bottom"/>
            <w:gridSpan w:val="14"/>
          </w:tcPr>
          <w:p>
            <w:pPr>
              <w:spacing w:after="0" w:line="196" w:lineRule="exact"/>
              <w:rPr>
                <w:rFonts w:ascii="Times New Roman" w:cs="Times New Roman" w:eastAsia="Times New Roman" w:hAnsi="Times New Roman"/>
                <w:sz w:val="18"/>
                <w:szCs w:val="18"/>
                <w:color w:val="0000EE"/>
              </w:rPr>
            </w:pPr>
            <w:hyperlink r:id="rId329">
              <w:r>
                <w:rPr>
                  <w:rFonts w:ascii="Times New Roman" w:cs="Times New Roman" w:eastAsia="Times New Roman" w:hAnsi="Times New Roman"/>
                  <w:sz w:val="18"/>
                  <w:szCs w:val="18"/>
                  <w:color w:val="0000EE"/>
                </w:rPr>
                <w:t>Burkhan Capital LLC.</w:t>
              </w:r>
            </w:hyperlink>
          </w:p>
        </w:tc>
        <w:tc>
          <w:tcPr>
            <w:tcW w:w="7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7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9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7/19/2024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Pr>
          <w:p>
            <w:pPr>
              <w:spacing w:after="0"/>
              <w:rPr>
                <w:sz w:val="24"/>
                <w:szCs w:val="24"/>
                <w:color w:val="auto"/>
              </w:rPr>
            </w:pPr>
          </w:p>
        </w:tc>
        <w:tc>
          <w:tcPr>
            <w:tcW w:w="7720" w:type="dxa"/>
            <w:vAlign w:val="bottom"/>
            <w:gridSpan w:val="14"/>
          </w:tcPr>
          <w:p>
            <w:pPr>
              <w:spacing w:after="0"/>
              <w:rPr>
                <w:rFonts w:ascii="Times New Roman" w:cs="Times New Roman" w:eastAsia="Times New Roman" w:hAnsi="Times New Roman"/>
                <w:sz w:val="18"/>
                <w:szCs w:val="18"/>
                <w:color w:val="0000EE"/>
              </w:rPr>
            </w:pPr>
            <w:hyperlink r:id="rId330">
              <w:r>
                <w:rPr>
                  <w:rFonts w:ascii="Times New Roman" w:cs="Times New Roman" w:eastAsia="Times New Roman" w:hAnsi="Times New Roman"/>
                  <w:sz w:val="18"/>
                  <w:szCs w:val="18"/>
                  <w:color w:val="0000EE"/>
                </w:rPr>
                <w:t>Amendment No. 2 to Agreement and Plan of Merger, dated as of October 24, 2024, by and among</w:t>
              </w:r>
            </w:hyperlink>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30">
              <w:r>
                <w:rPr>
                  <w:rFonts w:ascii="Times New Roman" w:cs="Times New Roman" w:eastAsia="Times New Roman" w:hAnsi="Times New Roman"/>
                  <w:sz w:val="18"/>
                  <w:szCs w:val="18"/>
                  <w:color w:val="0000EE"/>
                  <w:w w:val="99"/>
                </w:rPr>
                <w:t>BurTech Acquisition Corp., BurTech Merger Sub, Inc., Blaize, Inc. and for the limited purposes set</w:t>
              </w:r>
            </w:hyperlink>
          </w:p>
        </w:tc>
        <w:tc>
          <w:tcPr>
            <w:tcW w:w="58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30">
              <w:r>
                <w:rPr>
                  <w:rFonts w:ascii="Times New Roman" w:cs="Times New Roman" w:eastAsia="Times New Roman" w:hAnsi="Times New Roman"/>
                  <w:sz w:val="18"/>
                  <w:szCs w:val="18"/>
                  <w:color w:val="0000EE"/>
                  <w:w w:val="99"/>
                </w:rPr>
                <w:t>forth therein, Burkhan Capital LLC.</w:t>
              </w:r>
            </w:hyperlink>
          </w:p>
        </w:tc>
        <w:tc>
          <w:tcPr>
            <w:tcW w:w="5120" w:type="dxa"/>
            <w:vAlign w:val="bottom"/>
            <w:gridSpan w:val="10"/>
          </w:tcPr>
          <w:p>
            <w:pPr>
              <w:spacing w:after="0"/>
              <w:rPr>
                <w:sz w:val="17"/>
                <w:szCs w:val="17"/>
                <w:color w:val="auto"/>
              </w:rPr>
            </w:pPr>
          </w:p>
        </w:tc>
        <w:tc>
          <w:tcPr>
            <w:tcW w:w="7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7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9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10/30/2024</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tcPr>
          <w:p>
            <w:pPr>
              <w:spacing w:after="0"/>
              <w:rPr>
                <w:sz w:val="24"/>
                <w:szCs w:val="24"/>
                <w:color w:val="auto"/>
              </w:rPr>
            </w:pPr>
          </w:p>
        </w:tc>
        <w:tc>
          <w:tcPr>
            <w:tcW w:w="7720" w:type="dxa"/>
            <w:vAlign w:val="bottom"/>
            <w:gridSpan w:val="14"/>
          </w:tcPr>
          <w:p>
            <w:pPr>
              <w:spacing w:after="0"/>
              <w:rPr>
                <w:rFonts w:ascii="Times New Roman" w:cs="Times New Roman" w:eastAsia="Times New Roman" w:hAnsi="Times New Roman"/>
                <w:sz w:val="18"/>
                <w:szCs w:val="18"/>
                <w:color w:val="0000EE"/>
              </w:rPr>
            </w:pPr>
            <w:hyperlink r:id="rId331">
              <w:r>
                <w:rPr>
                  <w:rFonts w:ascii="Times New Roman" w:cs="Times New Roman" w:eastAsia="Times New Roman" w:hAnsi="Times New Roman"/>
                  <w:sz w:val="18"/>
                  <w:szCs w:val="18"/>
                  <w:color w:val="0000EE"/>
                </w:rPr>
                <w:t>Amendment No. 3 to Agreement and Plan of Merger, dated as of November 21, 2024, by and among</w:t>
              </w:r>
            </w:hyperlink>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1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31">
              <w:r>
                <w:rPr>
                  <w:rFonts w:ascii="Times New Roman" w:cs="Times New Roman" w:eastAsia="Times New Roman" w:hAnsi="Times New Roman"/>
                  <w:sz w:val="18"/>
                  <w:szCs w:val="18"/>
                  <w:color w:val="0000EE"/>
                  <w:w w:val="99"/>
                </w:rPr>
                <w:t>BurTech Acquisition Corp., BurTech Merger Sub, Inc., Blaize, Inc. and for the limited purposes set</w:t>
              </w:r>
            </w:hyperlink>
          </w:p>
        </w:tc>
        <w:tc>
          <w:tcPr>
            <w:tcW w:w="100" w:type="dxa"/>
            <w:vAlign w:val="bottom"/>
            <w:tcBorders>
              <w:top w:val="single" w:sz="8" w:color="0000EE"/>
            </w:tcBorders>
            <w:gridSpan w:val="2"/>
          </w:tcPr>
          <w:p>
            <w:pPr>
              <w:spacing w:after="0"/>
              <w:rPr>
                <w:sz w:val="17"/>
                <w:szCs w:val="17"/>
                <w:color w:val="auto"/>
              </w:rPr>
            </w:pPr>
          </w:p>
        </w:tc>
        <w:tc>
          <w:tcPr>
            <w:tcW w:w="48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31">
              <w:r>
                <w:rPr>
                  <w:rFonts w:ascii="Times New Roman" w:cs="Times New Roman" w:eastAsia="Times New Roman" w:hAnsi="Times New Roman"/>
                  <w:sz w:val="18"/>
                  <w:szCs w:val="18"/>
                  <w:color w:val="0000EE"/>
                  <w:w w:val="99"/>
                </w:rPr>
                <w:t>forth therein, Burkhan Capital LLC.</w:t>
              </w:r>
            </w:hyperlink>
          </w:p>
        </w:tc>
        <w:tc>
          <w:tcPr>
            <w:tcW w:w="5120" w:type="dxa"/>
            <w:vAlign w:val="bottom"/>
            <w:gridSpan w:val="10"/>
          </w:tcPr>
          <w:p>
            <w:pPr>
              <w:spacing w:after="0"/>
              <w:rPr>
                <w:sz w:val="17"/>
                <w:szCs w:val="17"/>
                <w:color w:val="auto"/>
              </w:rPr>
            </w:pPr>
          </w:p>
        </w:tc>
        <w:tc>
          <w:tcPr>
            <w:tcW w:w="7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7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9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11/26/2024</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4"/>
                <w:szCs w:val="24"/>
                <w:color w:val="auto"/>
              </w:rPr>
            </w:pPr>
          </w:p>
        </w:tc>
        <w:tc>
          <w:tcPr>
            <w:tcW w:w="59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332">
              <w:r>
                <w:rPr>
                  <w:rFonts w:ascii="Times New Roman" w:cs="Times New Roman" w:eastAsia="Times New Roman" w:hAnsi="Times New Roman"/>
                  <w:sz w:val="18"/>
                  <w:szCs w:val="18"/>
                  <w:color w:val="0000EE"/>
                  <w:w w:val="99"/>
                </w:rPr>
                <w:t>Third Amended and Restated Certificate of Incorporation of Blaize Holdings, Inc.</w:t>
              </w:r>
            </w:hyperlink>
          </w:p>
        </w:tc>
        <w:tc>
          <w:tcPr>
            <w:tcW w:w="1820" w:type="dxa"/>
            <w:vAlign w:val="bottom"/>
            <w:gridSpan w:val="6"/>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8-K</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40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333">
              <w:r>
                <w:rPr>
                  <w:rFonts w:ascii="Times New Roman" w:cs="Times New Roman" w:eastAsia="Times New Roman" w:hAnsi="Times New Roman"/>
                  <w:sz w:val="18"/>
                  <w:szCs w:val="18"/>
                  <w:color w:val="0000EE"/>
                  <w:w w:val="99"/>
                </w:rPr>
                <w:t>Amended and Restated Bylaws of Blaize Holdings, Inc.</w:t>
              </w:r>
            </w:hyperlink>
          </w:p>
        </w:tc>
        <w:tc>
          <w:tcPr>
            <w:tcW w:w="3700" w:type="dxa"/>
            <w:vAlign w:val="bottom"/>
            <w:gridSpan w:val="7"/>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8-K</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7720" w:type="dxa"/>
            <w:vAlign w:val="bottom"/>
            <w:gridSpan w:val="14"/>
          </w:tcPr>
          <w:p>
            <w:pPr>
              <w:spacing w:after="0"/>
              <w:rPr>
                <w:rFonts w:ascii="Times New Roman" w:cs="Times New Roman" w:eastAsia="Times New Roman" w:hAnsi="Times New Roman"/>
                <w:sz w:val="18"/>
                <w:szCs w:val="18"/>
                <w:color w:val="0000EE"/>
              </w:rPr>
            </w:pPr>
            <w:hyperlink r:id="rId334">
              <w:r>
                <w:rPr>
                  <w:rFonts w:ascii="Times New Roman" w:cs="Times New Roman" w:eastAsia="Times New Roman" w:hAnsi="Times New Roman"/>
                  <w:sz w:val="18"/>
                  <w:szCs w:val="18"/>
                  <w:color w:val="0000EE"/>
                </w:rPr>
                <w:t>Specimen Common Stock Certificate.</w:t>
              </w:r>
            </w:hyperlink>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S-1/A</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11/19/2021</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218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8"/>
              </w:rPr>
            </w:pPr>
            <w:hyperlink r:id="rId335">
              <w:r>
                <w:rPr>
                  <w:rFonts w:ascii="Times New Roman" w:cs="Times New Roman" w:eastAsia="Times New Roman" w:hAnsi="Times New Roman"/>
                  <w:sz w:val="18"/>
                  <w:szCs w:val="18"/>
                  <w:color w:val="0000EE"/>
                  <w:w w:val="98"/>
                </w:rPr>
                <w:t>Specimen Warrant Certificate.</w:t>
              </w:r>
            </w:hyperlink>
          </w:p>
        </w:tc>
        <w:tc>
          <w:tcPr>
            <w:tcW w:w="540" w:type="dxa"/>
            <w:vAlign w:val="bottom"/>
            <w:tcBorders>
              <w:top w:val="single" w:sz="8" w:color="0000EE"/>
            </w:tcBorders>
            <w:gridSpan w:val="2"/>
          </w:tcPr>
          <w:p>
            <w:pPr>
              <w:spacing w:after="0"/>
              <w:rPr>
                <w:sz w:val="24"/>
                <w:szCs w:val="24"/>
                <w:color w:val="auto"/>
              </w:rPr>
            </w:pPr>
          </w:p>
        </w:tc>
        <w:tc>
          <w:tcPr>
            <w:tcW w:w="5000" w:type="dxa"/>
            <w:vAlign w:val="bottom"/>
            <w:gridSpan w:val="9"/>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S-1/A</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11/19/2021</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72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336">
              <w:r>
                <w:rPr>
                  <w:rFonts w:ascii="Times New Roman" w:cs="Times New Roman" w:eastAsia="Times New Roman" w:hAnsi="Times New Roman"/>
                  <w:sz w:val="18"/>
                  <w:szCs w:val="18"/>
                  <w:color w:val="0000EE"/>
                  <w:w w:val="99"/>
                </w:rPr>
                <w:t>Warrant Agreement, dated as of December 10, 2021, by and between the Company and Continental</w:t>
              </w:r>
            </w:hyperlink>
          </w:p>
        </w:tc>
        <w:tc>
          <w:tcPr>
            <w:tcW w:w="52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720" w:type="dxa"/>
            <w:vAlign w:val="bottom"/>
            <w:gridSpan w:val="14"/>
          </w:tcPr>
          <w:p>
            <w:pPr>
              <w:spacing w:after="0" w:line="196" w:lineRule="exact"/>
              <w:rPr>
                <w:rFonts w:ascii="Times New Roman" w:cs="Times New Roman" w:eastAsia="Times New Roman" w:hAnsi="Times New Roman"/>
                <w:sz w:val="18"/>
                <w:szCs w:val="18"/>
                <w:color w:val="0000EE"/>
              </w:rPr>
            </w:pPr>
            <w:hyperlink r:id="rId336">
              <w:r>
                <w:rPr>
                  <w:rFonts w:ascii="Times New Roman" w:cs="Times New Roman" w:eastAsia="Times New Roman" w:hAnsi="Times New Roman"/>
                  <w:sz w:val="18"/>
                  <w:szCs w:val="18"/>
                  <w:color w:val="0000EE"/>
                </w:rPr>
                <w:t>Stock Transfer &amp; Trust Company, as warrant agent.</w:t>
              </w:r>
            </w:hyperlink>
          </w:p>
        </w:tc>
        <w:tc>
          <w:tcPr>
            <w:tcW w:w="7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9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12/16/2021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82"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Exhibit</w:t>
      </w:r>
    </w:p>
    <w:p>
      <w:pPr>
        <w:spacing w:after="0" w:line="115" w:lineRule="exact"/>
        <w:rPr>
          <w:sz w:val="20"/>
          <w:szCs w:val="20"/>
          <w:color w:val="auto"/>
        </w:rPr>
      </w:pPr>
    </w:p>
    <w:p>
      <w:pPr>
        <w:ind w:left="200" w:hanging="84"/>
        <w:spacing w:after="0"/>
        <w:tabs>
          <w:tab w:leader="none" w:pos="20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5.1*</w:t>
      </w:r>
      <w:r>
        <w:rPr>
          <w:rFonts w:ascii="Times New Roman" w:cs="Times New Roman" w:eastAsia="Times New Roman" w:hAnsi="Times New Roman"/>
          <w:sz w:val="17"/>
          <w:szCs w:val="17"/>
          <w:u w:val="single" w:color="auto"/>
          <w:color w:val="0000EE"/>
        </w:rPr>
        <w:t>Opinion of Latham &amp; Watkins LLP.</w:t>
      </w:r>
    </w:p>
    <w:p>
      <w:pPr>
        <w:spacing w:after="0" w:line="128" w:lineRule="exact"/>
        <w:rPr>
          <w:rFonts w:ascii="Times New Roman" w:cs="Times New Roman" w:eastAsia="Times New Roman" w:hAnsi="Times New Roman"/>
          <w:sz w:val="16"/>
          <w:szCs w:val="16"/>
          <w:color w:val="auto"/>
        </w:rPr>
      </w:pPr>
    </w:p>
    <w:p>
      <w:pPr>
        <w:ind w:left="1120" w:right="20" w:hanging="1004"/>
        <w:spacing w:after="0" w:line="266" w:lineRule="auto"/>
        <w:tabs>
          <w:tab w:leader="none" w:pos="211" w:val="left"/>
        </w:tabs>
        <w:numPr>
          <w:ilvl w:val="0"/>
          <w:numId w:val="11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hyperlink r:id="rId338">
        <w:r>
          <w:rPr>
            <w:rFonts w:ascii="Times New Roman" w:cs="Times New Roman" w:eastAsia="Times New Roman" w:hAnsi="Times New Roman"/>
            <w:sz w:val="18"/>
            <w:szCs w:val="18"/>
            <w:u w:val="single" w:color="auto"/>
            <w:color w:val="0000EE"/>
          </w:rPr>
          <w:t>Amended and Restated Registration Rights Agreement, dated as of January 13, 2025, by and among</w:t>
        </w:r>
      </w:hyperlink>
      <w:r>
        <w:rPr>
          <w:rFonts w:ascii="Times New Roman" w:cs="Times New Roman" w:eastAsia="Times New Roman" w:hAnsi="Times New Roman"/>
          <w:sz w:val="18"/>
          <w:szCs w:val="18"/>
          <w:u w:val="single" w:color="auto"/>
          <w:color w:val="0000EE"/>
        </w:rPr>
        <w:t xml:space="preserve"> </w:t>
      </w:r>
      <w:hyperlink r:id="rId338">
        <w:r>
          <w:rPr>
            <w:rFonts w:ascii="Times New Roman" w:cs="Times New Roman" w:eastAsia="Times New Roman" w:hAnsi="Times New Roman"/>
            <w:sz w:val="18"/>
            <w:szCs w:val="18"/>
            <w:u w:val="single" w:color="auto"/>
            <w:color w:val="0000EE"/>
          </w:rPr>
          <w:t>the Company, certain stockholders of BurTech named therein and certain stockholders of Legacy</w:t>
        </w:r>
      </w:hyperlink>
      <w:r>
        <w:rPr>
          <w:rFonts w:ascii="Times New Roman" w:cs="Times New Roman" w:eastAsia="Times New Roman" w:hAnsi="Times New Roman"/>
          <w:sz w:val="18"/>
          <w:szCs w:val="18"/>
          <w:u w:val="single" w:color="auto"/>
          <w:color w:val="0000EE"/>
        </w:rPr>
        <w:t xml:space="preserve"> </w:t>
      </w:r>
      <w:hyperlink r:id="rId338">
        <w:r>
          <w:rPr>
            <w:rFonts w:ascii="Times New Roman" w:cs="Times New Roman" w:eastAsia="Times New Roman" w:hAnsi="Times New Roman"/>
            <w:sz w:val="18"/>
            <w:szCs w:val="18"/>
            <w:u w:val="single" w:color="auto"/>
            <w:color w:val="0000EE"/>
          </w:rPr>
          <w:t>Blaize named therein.</w:t>
        </w:r>
      </w:hyperlink>
    </w:p>
    <w:p>
      <w:pPr>
        <w:spacing w:after="0" w:line="55" w:lineRule="exact"/>
        <w:rPr>
          <w:rFonts w:ascii="Times New Roman" w:cs="Times New Roman" w:eastAsia="Times New Roman" w:hAnsi="Times New Roman"/>
          <w:sz w:val="18"/>
          <w:szCs w:val="18"/>
          <w:u w:val="single" w:color="auto"/>
          <w:color w:val="0000EE"/>
        </w:rPr>
      </w:pPr>
    </w:p>
    <w:tbl>
      <w:tblPr>
        <w:tblLayout w:type="fixed"/>
        <w:tblInd w:w="1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10.2</w:t>
            </w:r>
          </w:p>
        </w:tc>
        <w:tc>
          <w:tcPr>
            <w:tcW w:w="67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339">
              <w:r>
                <w:rPr>
                  <w:rFonts w:ascii="Times New Roman" w:cs="Times New Roman" w:eastAsia="Times New Roman" w:hAnsi="Times New Roman"/>
                  <w:sz w:val="18"/>
                  <w:szCs w:val="18"/>
                  <w:color w:val="0000EE"/>
                  <w:w w:val="99"/>
                </w:rPr>
                <w:t>Letter Agreement, dated as of December 10, 2021, by and among BurTech, its officers and its</w:t>
              </w:r>
            </w:hyperlink>
          </w:p>
        </w:tc>
        <w:tc>
          <w:tcPr>
            <w:tcW w:w="3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5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39">
              <w:r>
                <w:rPr>
                  <w:rFonts w:ascii="Times New Roman" w:cs="Times New Roman" w:eastAsia="Times New Roman" w:hAnsi="Times New Roman"/>
                  <w:sz w:val="18"/>
                  <w:szCs w:val="18"/>
                  <w:color w:val="0000EE"/>
                  <w:w w:val="99"/>
                </w:rPr>
                <w:t>directors, Sponsor and certain other stockholders party thereto.</w:t>
              </w:r>
            </w:hyperlink>
          </w:p>
        </w:tc>
        <w:tc>
          <w:tcPr>
            <w:tcW w:w="2560" w:type="dxa"/>
            <w:vAlign w:val="bottom"/>
            <w:gridSpan w:val="2"/>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10.3</w:t>
            </w:r>
          </w:p>
        </w:tc>
        <w:tc>
          <w:tcPr>
            <w:tcW w:w="7080" w:type="dxa"/>
            <w:vAlign w:val="bottom"/>
            <w:gridSpan w:val="9"/>
          </w:tcPr>
          <w:p>
            <w:pPr>
              <w:spacing w:after="0"/>
              <w:rPr>
                <w:rFonts w:ascii="Times New Roman" w:cs="Times New Roman" w:eastAsia="Times New Roman" w:hAnsi="Times New Roman"/>
                <w:sz w:val="18"/>
                <w:szCs w:val="18"/>
                <w:color w:val="0000EE"/>
              </w:rPr>
            </w:pPr>
            <w:hyperlink r:id="rId340">
              <w:r>
                <w:rPr>
                  <w:rFonts w:ascii="Times New Roman" w:cs="Times New Roman" w:eastAsia="Times New Roman" w:hAnsi="Times New Roman"/>
                  <w:sz w:val="18"/>
                  <w:szCs w:val="18"/>
                  <w:color w:val="0000EE"/>
                </w:rPr>
                <w:t>Form of Indemnification Agreement.</w:t>
              </w:r>
            </w:hyperlink>
          </w:p>
        </w:tc>
      </w:tr>
      <w:tr>
        <w:trPr>
          <w:trHeight w:val="20"/>
        </w:trPr>
        <w:tc>
          <w:tcPr>
            <w:tcW w:w="100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10.4</w:t>
            </w:r>
          </w:p>
        </w:tc>
        <w:tc>
          <w:tcPr>
            <w:tcW w:w="38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341">
              <w:r>
                <w:rPr>
                  <w:rFonts w:ascii="Times New Roman" w:cs="Times New Roman" w:eastAsia="Times New Roman" w:hAnsi="Times New Roman"/>
                  <w:sz w:val="18"/>
                  <w:szCs w:val="18"/>
                  <w:color w:val="0000EE"/>
                  <w:w w:val="99"/>
                </w:rPr>
                <w:t>Blaize, Inc. Amended and Restated 2011 Stock Plan.</w:t>
              </w:r>
            </w:hyperlink>
          </w:p>
        </w:tc>
        <w:tc>
          <w:tcPr>
            <w:tcW w:w="3280" w:type="dxa"/>
            <w:vAlign w:val="bottom"/>
            <w:gridSpan w:val="4"/>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10.5</w:t>
            </w:r>
          </w:p>
        </w:tc>
        <w:tc>
          <w:tcPr>
            <w:tcW w:w="1960" w:type="dxa"/>
            <w:vAlign w:val="bottom"/>
            <w:tcBorders>
              <w:bottom w:val="single" w:sz="8" w:color="0000EE"/>
            </w:tcBorders>
          </w:tcPr>
          <w:p>
            <w:pPr>
              <w:spacing w:after="0"/>
              <w:rPr>
                <w:rFonts w:ascii="Times New Roman" w:cs="Times New Roman" w:eastAsia="Times New Roman" w:hAnsi="Times New Roman"/>
                <w:sz w:val="18"/>
                <w:szCs w:val="18"/>
                <w:color w:val="0000EE"/>
              </w:rPr>
            </w:pPr>
            <w:hyperlink r:id="rId342">
              <w:r>
                <w:rPr>
                  <w:rFonts w:ascii="Times New Roman" w:cs="Times New Roman" w:eastAsia="Times New Roman" w:hAnsi="Times New Roman"/>
                  <w:sz w:val="18"/>
                  <w:szCs w:val="18"/>
                  <w:color w:val="0000EE"/>
                </w:rPr>
                <w:t>Blaize Holdings, Inc. 2025</w:t>
              </w:r>
            </w:hyperlink>
          </w:p>
        </w:tc>
        <w:tc>
          <w:tcPr>
            <w:tcW w:w="1620" w:type="dxa"/>
            <w:vAlign w:val="bottom"/>
            <w:tcBorders>
              <w:bottom w:val="single" w:sz="8" w:color="0000EE"/>
            </w:tcBorders>
            <w:gridSpan w:val="3"/>
          </w:tcPr>
          <w:p>
            <w:pPr>
              <w:ind w:left="20"/>
              <w:spacing w:after="0"/>
              <w:rPr>
                <w:rFonts w:ascii="Times New Roman" w:cs="Times New Roman" w:eastAsia="Times New Roman" w:hAnsi="Times New Roman"/>
                <w:sz w:val="18"/>
                <w:szCs w:val="18"/>
                <w:color w:val="0000EE"/>
                <w:w w:val="97"/>
              </w:rPr>
            </w:pPr>
            <w:hyperlink r:id="rId342">
              <w:r>
                <w:rPr>
                  <w:rFonts w:ascii="Times New Roman" w:cs="Times New Roman" w:eastAsia="Times New Roman" w:hAnsi="Times New Roman"/>
                  <w:sz w:val="18"/>
                  <w:szCs w:val="18"/>
                  <w:color w:val="0000EE"/>
                  <w:w w:val="97"/>
                </w:rPr>
                <w:t>Incentive Award Plan.</w:t>
              </w:r>
            </w:hyperlink>
          </w:p>
        </w:tc>
        <w:tc>
          <w:tcPr>
            <w:tcW w:w="3500" w:type="dxa"/>
            <w:vAlign w:val="bottom"/>
            <w:gridSpan w:val="5"/>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10.6</w:t>
            </w:r>
          </w:p>
        </w:tc>
        <w:tc>
          <w:tcPr>
            <w:tcW w:w="1960" w:type="dxa"/>
            <w:vAlign w:val="bottom"/>
          </w:tcPr>
          <w:p>
            <w:pPr>
              <w:spacing w:after="0"/>
              <w:rPr>
                <w:rFonts w:ascii="Times New Roman" w:cs="Times New Roman" w:eastAsia="Times New Roman" w:hAnsi="Times New Roman"/>
                <w:sz w:val="18"/>
                <w:szCs w:val="18"/>
                <w:color w:val="0000EE"/>
              </w:rPr>
            </w:pPr>
            <w:hyperlink r:id="rId343">
              <w:r>
                <w:rPr>
                  <w:rFonts w:ascii="Times New Roman" w:cs="Times New Roman" w:eastAsia="Times New Roman" w:hAnsi="Times New Roman"/>
                  <w:sz w:val="18"/>
                  <w:szCs w:val="18"/>
                  <w:color w:val="0000EE"/>
                </w:rPr>
                <w:t>Blaize Holdings, Inc. 2025</w:t>
              </w:r>
            </w:hyperlink>
          </w:p>
        </w:tc>
        <w:tc>
          <w:tcPr>
            <w:tcW w:w="5120" w:type="dxa"/>
            <w:vAlign w:val="bottom"/>
            <w:gridSpan w:val="8"/>
          </w:tcPr>
          <w:p>
            <w:pPr>
              <w:ind w:left="20"/>
              <w:spacing w:after="0"/>
              <w:rPr>
                <w:rFonts w:ascii="Times New Roman" w:cs="Times New Roman" w:eastAsia="Times New Roman" w:hAnsi="Times New Roman"/>
                <w:sz w:val="18"/>
                <w:szCs w:val="18"/>
                <w:color w:val="0000EE"/>
              </w:rPr>
            </w:pPr>
            <w:hyperlink r:id="rId343">
              <w:r>
                <w:rPr>
                  <w:rFonts w:ascii="Times New Roman" w:cs="Times New Roman" w:eastAsia="Times New Roman" w:hAnsi="Times New Roman"/>
                  <w:sz w:val="18"/>
                  <w:szCs w:val="18"/>
                  <w:color w:val="0000EE"/>
                </w:rPr>
                <w:t>Employee Stock Purchase Plan.</w:t>
              </w:r>
            </w:hyperlink>
          </w:p>
        </w:tc>
      </w:tr>
      <w:tr>
        <w:trPr>
          <w:trHeight w:val="20"/>
        </w:trPr>
        <w:tc>
          <w:tcPr>
            <w:tcW w:w="1000" w:type="dxa"/>
            <w:vAlign w:val="bottom"/>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10.7</w:t>
            </w:r>
          </w:p>
        </w:tc>
        <w:tc>
          <w:tcPr>
            <w:tcW w:w="70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344">
              <w:r>
                <w:rPr>
                  <w:rFonts w:ascii="Times New Roman" w:cs="Times New Roman" w:eastAsia="Times New Roman" w:hAnsi="Times New Roman"/>
                  <w:sz w:val="18"/>
                  <w:szCs w:val="18"/>
                  <w:color w:val="0000EE"/>
                  <w:w w:val="99"/>
                </w:rPr>
                <w:t>Form of Stock Option Grant Agreement (Installment Exercise) and Grant Notice under the Blaize,</w:t>
              </w:r>
            </w:hyperlink>
          </w:p>
        </w:tc>
      </w:tr>
      <w:tr>
        <w:trPr>
          <w:trHeight w:val="196"/>
        </w:trPr>
        <w:tc>
          <w:tcPr>
            <w:tcW w:w="1000" w:type="dxa"/>
            <w:vAlign w:val="bottom"/>
          </w:tcPr>
          <w:p>
            <w:pPr>
              <w:spacing w:after="0"/>
              <w:rPr>
                <w:sz w:val="17"/>
                <w:szCs w:val="17"/>
                <w:color w:val="auto"/>
              </w:rPr>
            </w:pPr>
          </w:p>
        </w:tc>
        <w:tc>
          <w:tcPr>
            <w:tcW w:w="7080" w:type="dxa"/>
            <w:vAlign w:val="bottom"/>
            <w:gridSpan w:val="9"/>
          </w:tcPr>
          <w:p>
            <w:pPr>
              <w:spacing w:after="0" w:line="196" w:lineRule="exact"/>
              <w:rPr>
                <w:rFonts w:ascii="Times New Roman" w:cs="Times New Roman" w:eastAsia="Times New Roman" w:hAnsi="Times New Roman"/>
                <w:sz w:val="18"/>
                <w:szCs w:val="18"/>
                <w:color w:val="0000EE"/>
              </w:rPr>
            </w:pPr>
            <w:hyperlink r:id="rId344">
              <w:r>
                <w:rPr>
                  <w:rFonts w:ascii="Times New Roman" w:cs="Times New Roman" w:eastAsia="Times New Roman" w:hAnsi="Times New Roman"/>
                  <w:sz w:val="18"/>
                  <w:szCs w:val="18"/>
                  <w:color w:val="0000EE"/>
                </w:rPr>
                <w:t>Inc. Amended and Restated 2011 Stock Plan.</w:t>
              </w:r>
            </w:hyperlink>
          </w:p>
        </w:tc>
      </w:tr>
      <w:tr>
        <w:trPr>
          <w:trHeight w:val="20"/>
        </w:trPr>
        <w:tc>
          <w:tcPr>
            <w:tcW w:w="100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20" w:right="120" w:hanging="1004"/>
        <w:spacing w:after="0" w:line="282" w:lineRule="auto"/>
        <w:tabs>
          <w:tab w:leader="none" w:pos="211" w:val="left"/>
        </w:tabs>
        <w:numPr>
          <w:ilvl w:val="0"/>
          <w:numId w:val="11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hyperlink r:id="rId345">
        <w:r>
          <w:rPr>
            <w:rFonts w:ascii="Times New Roman" w:cs="Times New Roman" w:eastAsia="Times New Roman" w:hAnsi="Times New Roman"/>
            <w:sz w:val="18"/>
            <w:szCs w:val="18"/>
            <w:u w:val="single" w:color="auto"/>
            <w:color w:val="0000EE"/>
          </w:rPr>
          <w:t>Form of Restricted Stock Unit Grant Agreement and Grant Notice under the Blaize, Inc. Amended</w:t>
        </w:r>
      </w:hyperlink>
      <w:r>
        <w:rPr>
          <w:rFonts w:ascii="Times New Roman" w:cs="Times New Roman" w:eastAsia="Times New Roman" w:hAnsi="Times New Roman"/>
          <w:sz w:val="18"/>
          <w:szCs w:val="18"/>
          <w:u w:val="single" w:color="auto"/>
          <w:color w:val="0000EE"/>
        </w:rPr>
        <w:t xml:space="preserve"> </w:t>
      </w:r>
      <w:hyperlink r:id="rId345">
        <w:r>
          <w:rPr>
            <w:rFonts w:ascii="Times New Roman" w:cs="Times New Roman" w:eastAsia="Times New Roman" w:hAnsi="Times New Roman"/>
            <w:sz w:val="18"/>
            <w:szCs w:val="18"/>
            <w:u w:val="single" w:color="auto"/>
            <w:color w:val="0000EE"/>
          </w:rPr>
          <w:t>and Restated 2011 Stock Plan.</w:t>
        </w:r>
      </w:hyperlink>
    </w:p>
    <w:p>
      <w:pPr>
        <w:spacing w:after="0" w:line="53" w:lineRule="exact"/>
        <w:rPr>
          <w:rFonts w:ascii="Times New Roman" w:cs="Times New Roman" w:eastAsia="Times New Roman" w:hAnsi="Times New Roman"/>
          <w:sz w:val="18"/>
          <w:szCs w:val="18"/>
          <w:u w:val="single" w:color="auto"/>
          <w:color w:val="0000EE"/>
        </w:rPr>
      </w:pPr>
    </w:p>
    <w:p>
      <w:pPr>
        <w:ind w:left="200" w:hanging="84"/>
        <w:spacing w:after="0"/>
        <w:tabs>
          <w:tab w:leader="none" w:pos="200" w:val="left"/>
        </w:tabs>
        <w:numPr>
          <w:ilvl w:val="0"/>
          <w:numId w:val="116"/>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10.9</w:t>
      </w:r>
      <w:hyperlink r:id="rId346">
        <w:r>
          <w:rPr>
            <w:rFonts w:ascii="Times New Roman" w:cs="Times New Roman" w:eastAsia="Times New Roman" w:hAnsi="Times New Roman"/>
            <w:sz w:val="17"/>
            <w:szCs w:val="17"/>
            <w:u w:val="single" w:color="auto"/>
            <w:color w:val="0000EE"/>
          </w:rPr>
          <w:t>Form of Non-Redemption Agreement.</w:t>
        </w:r>
      </w:hyperlink>
    </w:p>
    <w:p>
      <w:pPr>
        <w:spacing w:after="0" w:line="128" w:lineRule="exact"/>
        <w:rPr>
          <w:rFonts w:ascii="Times New Roman" w:cs="Times New Roman" w:eastAsia="Times New Roman" w:hAnsi="Times New Roman"/>
          <w:sz w:val="17"/>
          <w:szCs w:val="17"/>
          <w:u w:val="single" w:color="auto"/>
          <w:color w:val="0000EE"/>
        </w:rPr>
      </w:pPr>
    </w:p>
    <w:p>
      <w:pPr>
        <w:ind w:left="200" w:hanging="84"/>
        <w:spacing w:after="0"/>
        <w:tabs>
          <w:tab w:leader="none" w:pos="200" w:val="left"/>
        </w:tabs>
        <w:numPr>
          <w:ilvl w:val="0"/>
          <w:numId w:val="116"/>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10.10</w:t>
      </w:r>
      <w:hyperlink r:id="rId347">
        <w:r>
          <w:rPr>
            <w:rFonts w:ascii="Times New Roman" w:cs="Times New Roman" w:eastAsia="Times New Roman" w:hAnsi="Times New Roman"/>
            <w:sz w:val="17"/>
            <w:szCs w:val="17"/>
            <w:u w:val="single" w:color="auto"/>
            <w:color w:val="0000EE"/>
          </w:rPr>
          <w:t>Form of PIPE Agreement</w:t>
        </w:r>
      </w:hyperlink>
    </w:p>
    <w:p>
      <w:pPr>
        <w:spacing w:after="0" w:line="128" w:lineRule="exact"/>
        <w:rPr>
          <w:rFonts w:ascii="Times New Roman" w:cs="Times New Roman" w:eastAsia="Times New Roman" w:hAnsi="Times New Roman"/>
          <w:sz w:val="17"/>
          <w:szCs w:val="17"/>
          <w:u w:val="single" w:color="auto"/>
          <w:color w:val="0000EE"/>
        </w:rPr>
      </w:pPr>
    </w:p>
    <w:p>
      <w:pPr>
        <w:ind w:left="1120" w:right="420" w:hanging="1004"/>
        <w:spacing w:after="0" w:line="282" w:lineRule="auto"/>
        <w:tabs>
          <w:tab w:leader="none" w:pos="211" w:val="left"/>
        </w:tabs>
        <w:numPr>
          <w:ilvl w:val="0"/>
          <w:numId w:val="11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hyperlink r:id="rId348">
        <w:r>
          <w:rPr>
            <w:rFonts w:ascii="Times New Roman" w:cs="Times New Roman" w:eastAsia="Times New Roman" w:hAnsi="Times New Roman"/>
            <w:sz w:val="18"/>
            <w:szCs w:val="18"/>
            <w:u w:val="single" w:color="auto"/>
            <w:color w:val="0000EE"/>
          </w:rPr>
          <w:t>Registration Rights Agreement, dated as of January 13, 2025, by and among the Company and</w:t>
        </w:r>
      </w:hyperlink>
      <w:r>
        <w:rPr>
          <w:rFonts w:ascii="Times New Roman" w:cs="Times New Roman" w:eastAsia="Times New Roman" w:hAnsi="Times New Roman"/>
          <w:sz w:val="18"/>
          <w:szCs w:val="18"/>
          <w:u w:val="single" w:color="auto"/>
          <w:color w:val="0000EE"/>
        </w:rPr>
        <w:t xml:space="preserve"> </w:t>
      </w:r>
      <w:hyperlink r:id="rId348">
        <w:r>
          <w:rPr>
            <w:rFonts w:ascii="Times New Roman" w:cs="Times New Roman" w:eastAsia="Times New Roman" w:hAnsi="Times New Roman"/>
            <w:sz w:val="18"/>
            <w:szCs w:val="18"/>
            <w:u w:val="single" w:color="auto"/>
            <w:color w:val="0000EE"/>
          </w:rPr>
          <w:t>certain stockholders of Legacy Blaize named therein.</w:t>
        </w:r>
      </w:hyperlink>
    </w:p>
    <w:p>
      <w:pPr>
        <w:spacing w:after="0" w:line="53" w:lineRule="exact"/>
        <w:rPr>
          <w:rFonts w:ascii="Times New Roman" w:cs="Times New Roman" w:eastAsia="Times New Roman" w:hAnsi="Times New Roman"/>
          <w:sz w:val="18"/>
          <w:szCs w:val="18"/>
          <w:u w:val="single" w:color="auto"/>
          <w:color w:val="0000EE"/>
        </w:rPr>
      </w:pPr>
    </w:p>
    <w:p>
      <w:pPr>
        <w:ind w:left="1120" w:right="240" w:hanging="1004"/>
        <w:spacing w:after="0" w:line="282" w:lineRule="auto"/>
        <w:tabs>
          <w:tab w:leader="none" w:pos="211" w:val="left"/>
        </w:tabs>
        <w:numPr>
          <w:ilvl w:val="0"/>
          <w:numId w:val="11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hyperlink r:id="rId349">
        <w:r>
          <w:rPr>
            <w:rFonts w:ascii="Times New Roman" w:cs="Times New Roman" w:eastAsia="Times New Roman" w:hAnsi="Times New Roman"/>
            <w:sz w:val="18"/>
            <w:szCs w:val="18"/>
            <w:u w:val="single" w:color="auto"/>
            <w:color w:val="0000EE"/>
          </w:rPr>
          <w:t>Stockholder Lock-Up Agreement, dated as of January 13, 2025, by and among the Company and</w:t>
        </w:r>
      </w:hyperlink>
      <w:r>
        <w:rPr>
          <w:rFonts w:ascii="Times New Roman" w:cs="Times New Roman" w:eastAsia="Times New Roman" w:hAnsi="Times New Roman"/>
          <w:sz w:val="18"/>
          <w:szCs w:val="18"/>
          <w:u w:val="single" w:color="auto"/>
          <w:color w:val="0000EE"/>
        </w:rPr>
        <w:t xml:space="preserve"> </w:t>
      </w:r>
      <w:hyperlink r:id="rId349">
        <w:r>
          <w:rPr>
            <w:rFonts w:ascii="Times New Roman" w:cs="Times New Roman" w:eastAsia="Times New Roman" w:hAnsi="Times New Roman"/>
            <w:sz w:val="18"/>
            <w:szCs w:val="18"/>
            <w:u w:val="single" w:color="auto"/>
            <w:color w:val="0000EE"/>
          </w:rPr>
          <w:t>certain stockholders of Legacy Blaize named therein.</w:t>
        </w:r>
      </w:hyperlink>
    </w:p>
    <w:p>
      <w:pPr>
        <w:spacing w:after="0" w:line="53" w:lineRule="exact"/>
        <w:rPr>
          <w:rFonts w:ascii="Times New Roman" w:cs="Times New Roman" w:eastAsia="Times New Roman" w:hAnsi="Times New Roman"/>
          <w:sz w:val="18"/>
          <w:szCs w:val="18"/>
          <w:u w:val="single" w:color="auto"/>
          <w:color w:val="0000EE"/>
        </w:rPr>
      </w:pPr>
    </w:p>
    <w:p>
      <w:pPr>
        <w:ind w:left="1120" w:right="300" w:hanging="1004"/>
        <w:spacing w:after="0" w:line="282" w:lineRule="auto"/>
        <w:tabs>
          <w:tab w:leader="none" w:pos="211" w:val="left"/>
        </w:tabs>
        <w:numPr>
          <w:ilvl w:val="0"/>
          <w:numId w:val="11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hyperlink r:id="rId350">
        <w:r>
          <w:rPr>
            <w:rFonts w:ascii="Times New Roman" w:cs="Times New Roman" w:eastAsia="Times New Roman" w:hAnsi="Times New Roman"/>
            <w:sz w:val="18"/>
            <w:szCs w:val="18"/>
            <w:u w:val="single" w:color="auto"/>
            <w:color w:val="0000EE"/>
          </w:rPr>
          <w:t>Noteholder Lock-Up Agreement, dated as of January 13, 2025, by and among the Company and</w:t>
        </w:r>
      </w:hyperlink>
      <w:r>
        <w:rPr>
          <w:rFonts w:ascii="Times New Roman" w:cs="Times New Roman" w:eastAsia="Times New Roman" w:hAnsi="Times New Roman"/>
          <w:sz w:val="18"/>
          <w:szCs w:val="18"/>
          <w:u w:val="single" w:color="auto"/>
          <w:color w:val="0000EE"/>
        </w:rPr>
        <w:t xml:space="preserve"> </w:t>
      </w:r>
      <w:hyperlink r:id="rId350">
        <w:r>
          <w:rPr>
            <w:rFonts w:ascii="Times New Roman" w:cs="Times New Roman" w:eastAsia="Times New Roman" w:hAnsi="Times New Roman"/>
            <w:sz w:val="18"/>
            <w:szCs w:val="18"/>
            <w:u w:val="single" w:color="auto"/>
            <w:color w:val="0000EE"/>
          </w:rPr>
          <w:t>certain securityholders of Legacy Blaize named therein.</w:t>
        </w:r>
      </w:hyperlink>
    </w:p>
    <w:p>
      <w:pPr>
        <w:spacing w:after="0" w:line="53" w:lineRule="exact"/>
        <w:rPr>
          <w:rFonts w:ascii="Times New Roman" w:cs="Times New Roman" w:eastAsia="Times New Roman" w:hAnsi="Times New Roman"/>
          <w:sz w:val="18"/>
          <w:szCs w:val="18"/>
          <w:u w:val="single" w:color="auto"/>
          <w:color w:val="0000EE"/>
        </w:rPr>
      </w:pPr>
    </w:p>
    <w:p>
      <w:pPr>
        <w:ind w:left="1120" w:right="440" w:hanging="1004"/>
        <w:spacing w:after="0" w:line="282" w:lineRule="auto"/>
        <w:tabs>
          <w:tab w:leader="none" w:pos="211" w:val="left"/>
        </w:tabs>
        <w:numPr>
          <w:ilvl w:val="0"/>
          <w:numId w:val="11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hyperlink r:id="rId351">
        <w:r>
          <w:rPr>
            <w:rFonts w:ascii="Times New Roman" w:cs="Times New Roman" w:eastAsia="Times New Roman" w:hAnsi="Times New Roman"/>
            <w:sz w:val="18"/>
            <w:szCs w:val="18"/>
            <w:u w:val="single" w:color="auto"/>
            <w:color w:val="0000EE"/>
          </w:rPr>
          <w:t>Secured Promissory Note and Pledge Agreement, dated as of January 13, 2025, by and among</w:t>
        </w:r>
      </w:hyperlink>
      <w:r>
        <w:rPr>
          <w:rFonts w:ascii="Times New Roman" w:cs="Times New Roman" w:eastAsia="Times New Roman" w:hAnsi="Times New Roman"/>
          <w:sz w:val="18"/>
          <w:szCs w:val="18"/>
          <w:u w:val="single" w:color="auto"/>
          <w:color w:val="0000EE"/>
        </w:rPr>
        <w:t xml:space="preserve"> </w:t>
      </w:r>
      <w:hyperlink r:id="rId351">
        <w:r>
          <w:rPr>
            <w:rFonts w:ascii="Times New Roman" w:cs="Times New Roman" w:eastAsia="Times New Roman" w:hAnsi="Times New Roman"/>
            <w:sz w:val="18"/>
            <w:szCs w:val="18"/>
            <w:u w:val="single" w:color="auto"/>
            <w:color w:val="0000EE"/>
          </w:rPr>
          <w:t>BurTech LP LLC and BurTech.</w:t>
        </w:r>
      </w:hyperlink>
    </w:p>
    <w:p>
      <w:pPr>
        <w:spacing w:after="0" w:line="53" w:lineRule="exact"/>
        <w:rPr>
          <w:rFonts w:ascii="Times New Roman" w:cs="Times New Roman" w:eastAsia="Times New Roman" w:hAnsi="Times New Roman"/>
          <w:sz w:val="18"/>
          <w:szCs w:val="18"/>
          <w:u w:val="single" w:color="auto"/>
          <w:color w:val="0000EE"/>
        </w:rPr>
      </w:pPr>
    </w:p>
    <w:p>
      <w:pPr>
        <w:ind w:left="1120" w:right="240" w:hanging="1004"/>
        <w:spacing w:after="0" w:line="282" w:lineRule="auto"/>
        <w:tabs>
          <w:tab w:leader="none" w:pos="211" w:val="left"/>
        </w:tabs>
        <w:numPr>
          <w:ilvl w:val="0"/>
          <w:numId w:val="11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hyperlink r:id="rId352">
        <w:r>
          <w:rPr>
            <w:rFonts w:ascii="Times New Roman" w:cs="Times New Roman" w:eastAsia="Times New Roman" w:hAnsi="Times New Roman"/>
            <w:sz w:val="18"/>
            <w:szCs w:val="18"/>
            <w:u w:val="single" w:color="auto"/>
            <w:color w:val="0000EE"/>
          </w:rPr>
          <w:t>Letter Agreement, dated as of January 13, 2025, by and among BurTech, Merger Sub, Blaize and</w:t>
        </w:r>
      </w:hyperlink>
      <w:r>
        <w:rPr>
          <w:rFonts w:ascii="Times New Roman" w:cs="Times New Roman" w:eastAsia="Times New Roman" w:hAnsi="Times New Roman"/>
          <w:sz w:val="18"/>
          <w:szCs w:val="18"/>
          <w:u w:val="single" w:color="auto"/>
          <w:color w:val="0000EE"/>
        </w:rPr>
        <w:t xml:space="preserve"> </w:t>
      </w:r>
      <w:hyperlink r:id="rId352">
        <w:r>
          <w:rPr>
            <w:rFonts w:ascii="Times New Roman" w:cs="Times New Roman" w:eastAsia="Times New Roman" w:hAnsi="Times New Roman"/>
            <w:sz w:val="18"/>
            <w:szCs w:val="18"/>
            <w:u w:val="single" w:color="auto"/>
            <w:color w:val="0000EE"/>
          </w:rPr>
          <w:t>Burkhan BurTech LP LLC and Blaize.</w:t>
        </w:r>
      </w:hyperlink>
    </w:p>
    <w:p>
      <w:pPr>
        <w:spacing w:after="0" w:line="53" w:lineRule="exact"/>
        <w:rPr>
          <w:rFonts w:ascii="Times New Roman" w:cs="Times New Roman" w:eastAsia="Times New Roman" w:hAnsi="Times New Roman"/>
          <w:sz w:val="18"/>
          <w:szCs w:val="18"/>
          <w:u w:val="single" w:color="auto"/>
          <w:color w:val="0000EE"/>
        </w:rPr>
      </w:pPr>
    </w:p>
    <w:p>
      <w:pPr>
        <w:ind w:left="200" w:hanging="84"/>
        <w:spacing w:after="0"/>
        <w:tabs>
          <w:tab w:leader="none" w:pos="200" w:val="left"/>
        </w:tabs>
        <w:numPr>
          <w:ilvl w:val="0"/>
          <w:numId w:val="116"/>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10.16</w:t>
      </w:r>
      <w:hyperlink r:id="rId353">
        <w:r>
          <w:rPr>
            <w:rFonts w:ascii="Times New Roman" w:cs="Times New Roman" w:eastAsia="Times New Roman" w:hAnsi="Times New Roman"/>
            <w:sz w:val="17"/>
            <w:szCs w:val="17"/>
            <w:u w:val="single" w:color="auto"/>
            <w:color w:val="0000EE"/>
          </w:rPr>
          <w:t>Offer Letter, dated as of June 18, 2018, by and between ThinCI, Inc. and Dinakar Munagala.</w:t>
        </w:r>
      </w:hyperlink>
    </w:p>
    <w:p>
      <w:pPr>
        <w:spacing w:after="0" w:line="128" w:lineRule="exact"/>
        <w:rPr>
          <w:rFonts w:ascii="Times New Roman" w:cs="Times New Roman" w:eastAsia="Times New Roman" w:hAnsi="Times New Roman"/>
          <w:sz w:val="17"/>
          <w:szCs w:val="17"/>
          <w:u w:val="single" w:color="auto"/>
          <w:color w:val="0000EE"/>
        </w:rPr>
      </w:pPr>
    </w:p>
    <w:p>
      <w:pPr>
        <w:ind w:left="200" w:hanging="84"/>
        <w:spacing w:after="0"/>
        <w:tabs>
          <w:tab w:leader="none" w:pos="200" w:val="left"/>
        </w:tabs>
        <w:numPr>
          <w:ilvl w:val="0"/>
          <w:numId w:val="116"/>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10.17</w:t>
      </w:r>
      <w:hyperlink r:id="rId354">
        <w:r>
          <w:rPr>
            <w:rFonts w:ascii="Times New Roman" w:cs="Times New Roman" w:eastAsia="Times New Roman" w:hAnsi="Times New Roman"/>
            <w:sz w:val="17"/>
            <w:szCs w:val="17"/>
            <w:u w:val="single" w:color="auto"/>
            <w:color w:val="0000EE"/>
          </w:rPr>
          <w:t>Offer Letter, dated as of June 20, 2018, by and between ThinCI, Inc. and Val Cook.</w:t>
        </w:r>
      </w:hyperlink>
    </w:p>
    <w:p>
      <w:pPr>
        <w:spacing w:after="0" w:line="128" w:lineRule="exact"/>
        <w:rPr>
          <w:rFonts w:ascii="Times New Roman" w:cs="Times New Roman" w:eastAsia="Times New Roman" w:hAnsi="Times New Roman"/>
          <w:sz w:val="17"/>
          <w:szCs w:val="17"/>
          <w:u w:val="single" w:color="auto"/>
          <w:color w:val="0000EE"/>
        </w:rPr>
      </w:pPr>
    </w:p>
    <w:p>
      <w:pPr>
        <w:ind w:left="1120" w:right="1000" w:hanging="1004"/>
        <w:spacing w:after="0" w:line="282" w:lineRule="auto"/>
        <w:tabs>
          <w:tab w:leader="none" w:pos="211" w:val="left"/>
        </w:tabs>
        <w:numPr>
          <w:ilvl w:val="0"/>
          <w:numId w:val="11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hyperlink r:id="rId355">
        <w:r>
          <w:rPr>
            <w:rFonts w:ascii="Times New Roman" w:cs="Times New Roman" w:eastAsia="Times New Roman" w:hAnsi="Times New Roman"/>
            <w:sz w:val="18"/>
            <w:szCs w:val="18"/>
            <w:u w:val="single" w:color="auto"/>
            <w:color w:val="0000EE"/>
          </w:rPr>
          <w:t>Offer Letter, dated as of November 15, 2018, by and between ThinCI, Inc. and Dmitry</w:t>
        </w:r>
      </w:hyperlink>
      <w:r>
        <w:rPr>
          <w:rFonts w:ascii="Times New Roman" w:cs="Times New Roman" w:eastAsia="Times New Roman" w:hAnsi="Times New Roman"/>
          <w:sz w:val="18"/>
          <w:szCs w:val="18"/>
          <w:u w:val="single" w:color="auto"/>
          <w:color w:val="0000EE"/>
        </w:rPr>
        <w:t xml:space="preserve"> </w:t>
      </w:r>
      <w:hyperlink r:id="rId355">
        <w:r>
          <w:rPr>
            <w:rFonts w:ascii="Times New Roman" w:cs="Times New Roman" w:eastAsia="Times New Roman" w:hAnsi="Times New Roman"/>
            <w:sz w:val="18"/>
            <w:szCs w:val="18"/>
            <w:u w:val="single" w:color="auto"/>
            <w:color w:val="0000EE"/>
          </w:rPr>
          <w:t>Zakharchenko.</w:t>
        </w:r>
      </w:hyperlink>
    </w:p>
    <w:p>
      <w:pPr>
        <w:spacing w:after="0" w:line="53" w:lineRule="exact"/>
        <w:rPr>
          <w:rFonts w:ascii="Times New Roman" w:cs="Times New Roman" w:eastAsia="Times New Roman" w:hAnsi="Times New Roman"/>
          <w:sz w:val="18"/>
          <w:szCs w:val="18"/>
          <w:u w:val="single" w:color="auto"/>
          <w:color w:val="0000EE"/>
        </w:rPr>
      </w:pPr>
    </w:p>
    <w:p>
      <w:pPr>
        <w:ind w:left="1120" w:hanging="1004"/>
        <w:spacing w:after="0" w:line="282" w:lineRule="auto"/>
        <w:tabs>
          <w:tab w:leader="none" w:pos="211" w:val="left"/>
        </w:tabs>
        <w:numPr>
          <w:ilvl w:val="0"/>
          <w:numId w:val="11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hyperlink r:id="rId356">
        <w:r>
          <w:rPr>
            <w:rFonts w:ascii="Times New Roman" w:cs="Times New Roman" w:eastAsia="Times New Roman" w:hAnsi="Times New Roman"/>
            <w:sz w:val="18"/>
            <w:szCs w:val="18"/>
            <w:u w:val="single" w:color="auto"/>
            <w:color w:val="0000EE"/>
          </w:rPr>
          <w:t>Amendment to Offer Letter, dated as of February 22, 2022, by and between ThinCI, Inc. and Dmitry</w:t>
        </w:r>
      </w:hyperlink>
      <w:r>
        <w:rPr>
          <w:rFonts w:ascii="Times New Roman" w:cs="Times New Roman" w:eastAsia="Times New Roman" w:hAnsi="Times New Roman"/>
          <w:sz w:val="18"/>
          <w:szCs w:val="18"/>
          <w:u w:val="single" w:color="auto"/>
          <w:color w:val="0000EE"/>
        </w:rPr>
        <w:t xml:space="preserve"> </w:t>
      </w:r>
      <w:hyperlink r:id="rId356">
        <w:r>
          <w:rPr>
            <w:rFonts w:ascii="Times New Roman" w:cs="Times New Roman" w:eastAsia="Times New Roman" w:hAnsi="Times New Roman"/>
            <w:sz w:val="18"/>
            <w:szCs w:val="18"/>
            <w:u w:val="single" w:color="auto"/>
            <w:color w:val="0000EE"/>
          </w:rPr>
          <w:t>Zakharchenko.</w:t>
        </w:r>
      </w:hyperlink>
    </w:p>
    <w:p>
      <w:pPr>
        <w:spacing w:after="0" w:line="94" w:lineRule="exact"/>
        <w:rPr>
          <w:rFonts w:ascii="Times New Roman" w:cs="Times New Roman" w:eastAsia="Times New Roman" w:hAnsi="Times New Roman"/>
          <w:sz w:val="18"/>
          <w:szCs w:val="18"/>
          <w:color w:val="auto"/>
        </w:rPr>
      </w:pPr>
    </w:p>
    <w:p>
      <w:pPr>
        <w:ind w:left="548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200" w:lineRule="exact"/>
        <w:rPr>
          <w:rFonts w:ascii="Times New Roman" w:cs="Times New Roman" w:eastAsia="Times New Roman" w:hAnsi="Times New Roman"/>
          <w:sz w:val="18"/>
          <w:szCs w:val="18"/>
          <w:color w:val="auto"/>
        </w:rPr>
      </w:pPr>
    </w:p>
    <w:p>
      <w:pPr>
        <w:spacing w:after="0" w:line="304" w:lineRule="exact"/>
        <w:rPr>
          <w:rFonts w:ascii="Times New Roman" w:cs="Times New Roman" w:eastAsia="Times New Roman" w:hAnsi="Times New Roman"/>
          <w:sz w:val="18"/>
          <w:szCs w:val="18"/>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-15875</wp:posOffset>
            </wp:positionH>
            <wp:positionV relativeFrom="paragraph">
              <wp:posOffset>7620</wp:posOffset>
            </wp:positionV>
            <wp:extent cx="156845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tabs>
          <w:tab w:leader="none" w:pos="640" w:val="left"/>
          <w:tab w:leader="none" w:pos="1560" w:val="left"/>
        </w:tabs>
        <w:rPr>
          <w:sz w:val="20"/>
          <w:szCs w:val="20"/>
          <w:color w:val="auto"/>
        </w:rPr>
      </w:pPr>
      <w:r>
        <w:rPr>
          <w:rFonts w:ascii="Times New Roman" w:cs="Times New Roman" w:eastAsia="Times New Roman" w:hAnsi="Times New Roman"/>
          <w:sz w:val="14"/>
          <w:szCs w:val="14"/>
          <w:b w:val="1"/>
          <w:bCs w:val="1"/>
          <w:u w:val="single" w:color="auto"/>
          <w:color w:val="auto"/>
        </w:rPr>
        <w:t>Form</w:t>
      </w:r>
      <w:r>
        <w:rPr>
          <w:sz w:val="20"/>
          <w:szCs w:val="20"/>
          <w:color w:val="auto"/>
        </w:rPr>
        <w:tab/>
      </w: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Filing Date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900430</wp:posOffset>
            </wp:positionH>
            <wp:positionV relativeFrom="paragraph">
              <wp:posOffset>-3175</wp:posOffset>
            </wp:positionV>
            <wp:extent cx="65151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8">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tbl>
      <w:tblPr>
        <w:tblLayout w:type="fixed"/>
        <w:tblInd w:w="8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12/16/2021</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12/31/2024</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1/8/2025</w:t>
            </w:r>
          </w:p>
        </w:tc>
      </w:tr>
      <w:tr>
        <w:trPr>
          <w:trHeight w:val="54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bl>
    <w:p>
      <w:pPr>
        <w:sectPr>
          <w:pgSz w:w="11900" w:h="16838" w:orient="portrait"/>
          <w:cols w:equalWidth="0" w:num="2">
            <w:col w:w="8340" w:space="280"/>
            <w:col w:w="2440"/>
          </w:cols>
          <w:pgMar w:left="320" w:top="482" w:right="51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36"/>
        </w:trPr>
        <w:tc>
          <w:tcPr>
            <w:tcW w:w="1080" w:type="dxa"/>
            <w:vAlign w:val="bottom"/>
            <w:tcBorders>
              <w:bottom w:val="single" w:sz="8" w:color="auto"/>
            </w:tcBorders>
            <w:gridSpan w:val="2"/>
            <w:vMerge w:val="continue"/>
          </w:tcPr>
          <w:p>
            <w:pPr>
              <w:spacing w:after="0"/>
              <w:rPr>
                <w:sz w:val="11"/>
                <w:szCs w:val="11"/>
                <w:color w:val="auto"/>
              </w:rPr>
            </w:pPr>
          </w:p>
        </w:tc>
        <w:tc>
          <w:tcPr>
            <w:tcW w:w="5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Form</w:t>
            </w:r>
          </w:p>
        </w:tc>
        <w:tc>
          <w:tcPr>
            <w:tcW w:w="28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6"/>
              <w:spacing w:after="0" w:line="129"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10.20</w:t>
            </w:r>
          </w:p>
        </w:tc>
        <w:tc>
          <w:tcPr>
            <w:tcW w:w="72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360">
              <w:r>
                <w:rPr>
                  <w:rFonts w:ascii="Times New Roman" w:cs="Times New Roman" w:eastAsia="Times New Roman" w:hAnsi="Times New Roman"/>
                  <w:sz w:val="18"/>
                  <w:szCs w:val="18"/>
                  <w:color w:val="0000EE"/>
                  <w:w w:val="99"/>
                </w:rPr>
                <w:t>Offer Letter, dated as of July 4, 2018, by and between ThinCI, Inc. and Santiago Fernandez-Gomez.</w:t>
              </w:r>
            </w:hyperlink>
          </w:p>
        </w:tc>
        <w:tc>
          <w:tcPr>
            <w:tcW w:w="280" w:type="dxa"/>
            <w:vAlign w:val="bottom"/>
          </w:tcPr>
          <w:p>
            <w:pPr>
              <w:spacing w:after="0"/>
              <w:rPr>
                <w:sz w:val="23"/>
                <w:szCs w:val="23"/>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304"/>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10.21</w:t>
            </w:r>
          </w:p>
        </w:tc>
        <w:tc>
          <w:tcPr>
            <w:tcW w:w="7480" w:type="dxa"/>
            <w:vAlign w:val="bottom"/>
            <w:gridSpan w:val="3"/>
          </w:tcPr>
          <w:p>
            <w:pPr>
              <w:spacing w:after="0"/>
              <w:rPr>
                <w:rFonts w:ascii="Times New Roman" w:cs="Times New Roman" w:eastAsia="Times New Roman" w:hAnsi="Times New Roman"/>
                <w:sz w:val="18"/>
                <w:szCs w:val="18"/>
                <w:color w:val="0000EE"/>
              </w:rPr>
            </w:pPr>
            <w:hyperlink r:id="rId361">
              <w:r>
                <w:rPr>
                  <w:rFonts w:ascii="Times New Roman" w:cs="Times New Roman" w:eastAsia="Times New Roman" w:hAnsi="Times New Roman"/>
                  <w:sz w:val="18"/>
                  <w:szCs w:val="18"/>
                  <w:color w:val="0000EE"/>
                </w:rPr>
                <w:t>Blaize Holdings, Inc. Non-Employee Director Compensation Program.</w:t>
              </w:r>
            </w:hyperlink>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10.21</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10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00" w:hanging="84"/>
        <w:spacing w:after="0"/>
        <w:tabs>
          <w:tab w:leader="none" w:pos="200" w:val="left"/>
        </w:tabs>
        <w:numPr>
          <w:ilvl w:val="0"/>
          <w:numId w:val="117"/>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10.22</w:t>
      </w:r>
      <w:hyperlink r:id="rId362">
        <w:r>
          <w:rPr>
            <w:rFonts w:ascii="Times New Roman" w:cs="Times New Roman" w:eastAsia="Times New Roman" w:hAnsi="Times New Roman"/>
            <w:sz w:val="17"/>
            <w:szCs w:val="17"/>
            <w:u w:val="single" w:color="auto"/>
            <w:color w:val="0000EE"/>
          </w:rPr>
          <w:t>Form of Stock Option Grant Agreement (Contingent Exercise) and Grant Notice under the Blaize,</w:t>
        </w:r>
      </w:hyperlink>
    </w:p>
    <w:p>
      <w:pPr>
        <w:spacing w:after="0" w:line="7"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324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r:id="rId362">
              <w:r>
                <w:rPr>
                  <w:rFonts w:ascii="Times New Roman" w:cs="Times New Roman" w:eastAsia="Times New Roman" w:hAnsi="Times New Roman"/>
                  <w:sz w:val="18"/>
                  <w:szCs w:val="18"/>
                  <w:color w:val="0000EE"/>
                  <w:w w:val="98"/>
                </w:rPr>
                <w:t>Inc. Amended and Restated 2011 Stock Plan.</w:t>
              </w:r>
            </w:hyperlink>
          </w:p>
        </w:tc>
        <w:tc>
          <w:tcPr>
            <w:tcW w:w="4820" w:type="dxa"/>
            <w:vAlign w:val="bottom"/>
          </w:tcPr>
          <w:p>
            <w:pPr>
              <w:ind w:left="4340"/>
              <w:spacing w:after="0"/>
              <w:rPr>
                <w:sz w:val="20"/>
                <w:szCs w:val="20"/>
                <w:color w:val="auto"/>
              </w:rPr>
            </w:pPr>
            <w:r>
              <w:rPr>
                <w:rFonts w:ascii="Times New Roman" w:cs="Times New Roman" w:eastAsia="Times New Roman" w:hAnsi="Times New Roman"/>
                <w:sz w:val="18"/>
                <w:szCs w:val="18"/>
                <w:color w:val="auto"/>
              </w:rPr>
              <w:t>8-K</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bl>
    <w:p>
      <w:pPr>
        <w:spacing w:after="0" w:line="117" w:lineRule="exact"/>
        <w:rPr>
          <w:sz w:val="20"/>
          <w:szCs w:val="20"/>
          <w:color w:val="auto"/>
        </w:rPr>
      </w:pPr>
    </w:p>
    <w:p>
      <w:pPr>
        <w:ind w:left="200" w:hanging="84"/>
        <w:spacing w:after="0"/>
        <w:tabs>
          <w:tab w:leader="none" w:pos="200" w:val="left"/>
        </w:tabs>
        <w:numPr>
          <w:ilvl w:val="0"/>
          <w:numId w:val="118"/>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10.23</w:t>
      </w:r>
      <w:hyperlink r:id="rId363">
        <w:r>
          <w:rPr>
            <w:rFonts w:ascii="Times New Roman" w:cs="Times New Roman" w:eastAsia="Times New Roman" w:hAnsi="Times New Roman"/>
            <w:sz w:val="17"/>
            <w:szCs w:val="17"/>
            <w:u w:val="single" w:color="auto"/>
            <w:color w:val="0000EE"/>
          </w:rPr>
          <w:t>Registration Rights Agreement, dated as of July 14, 2025, by and between the Company and B.</w:t>
        </w:r>
      </w:hyperlink>
    </w:p>
    <w:p>
      <w:pPr>
        <w:spacing w:after="0" w:line="7"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224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r:id="rId363">
              <w:r>
                <w:rPr>
                  <w:rFonts w:ascii="Times New Roman" w:cs="Times New Roman" w:eastAsia="Times New Roman" w:hAnsi="Times New Roman"/>
                  <w:sz w:val="18"/>
                  <w:szCs w:val="18"/>
                  <w:color w:val="0000EE"/>
                  <w:w w:val="98"/>
                </w:rPr>
                <w:t>Riley Principal Capital II, LLC</w:t>
              </w:r>
            </w:hyperlink>
          </w:p>
        </w:tc>
        <w:tc>
          <w:tcPr>
            <w:tcW w:w="586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7/15/2025</w:t>
            </w:r>
          </w:p>
        </w:tc>
      </w:tr>
    </w:tbl>
    <w:p>
      <w:pPr>
        <w:spacing w:after="0" w:line="117" w:lineRule="exact"/>
        <w:rPr>
          <w:sz w:val="20"/>
          <w:szCs w:val="20"/>
          <w:color w:val="auto"/>
        </w:rPr>
      </w:pPr>
    </w:p>
    <w:p>
      <w:pPr>
        <w:ind w:left="200" w:hanging="84"/>
        <w:spacing w:after="0"/>
        <w:tabs>
          <w:tab w:leader="none" w:pos="200" w:val="left"/>
        </w:tabs>
        <w:numPr>
          <w:ilvl w:val="0"/>
          <w:numId w:val="119"/>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10.24</w:t>
      </w:r>
      <w:hyperlink r:id="rId364">
        <w:r>
          <w:rPr>
            <w:rFonts w:ascii="Times New Roman" w:cs="Times New Roman" w:eastAsia="Times New Roman" w:hAnsi="Times New Roman"/>
            <w:sz w:val="17"/>
            <w:szCs w:val="17"/>
            <w:u w:val="single" w:color="auto"/>
            <w:color w:val="0000EE"/>
          </w:rPr>
          <w:t>Common Stock Purchase Agreement, dated as of July 14, 2025, by and between the Company and</w:t>
        </w:r>
      </w:hyperlink>
    </w:p>
    <w:p>
      <w:pPr>
        <w:spacing w:after="0" w:line="7"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244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r:id="rId364">
              <w:r>
                <w:rPr>
                  <w:rFonts w:ascii="Times New Roman" w:cs="Times New Roman" w:eastAsia="Times New Roman" w:hAnsi="Times New Roman"/>
                  <w:sz w:val="18"/>
                  <w:szCs w:val="18"/>
                  <w:color w:val="0000EE"/>
                  <w:w w:val="98"/>
                </w:rPr>
                <w:t>B. Riley Principal Capital II, LLC</w:t>
              </w:r>
            </w:hyperlink>
          </w:p>
        </w:tc>
        <w:tc>
          <w:tcPr>
            <w:tcW w:w="5660" w:type="dxa"/>
            <w:vAlign w:val="bottom"/>
          </w:tcPr>
          <w:p>
            <w:pPr>
              <w:ind w:left="5140"/>
              <w:spacing w:after="0"/>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7/14/2025</w:t>
            </w:r>
          </w:p>
        </w:tc>
      </w:tr>
    </w:tbl>
    <w:p>
      <w:pPr>
        <w:spacing w:after="0" w:line="117" w:lineRule="exact"/>
        <w:rPr>
          <w:sz w:val="20"/>
          <w:szCs w:val="20"/>
          <w:color w:val="auto"/>
        </w:rPr>
      </w:pPr>
    </w:p>
    <w:p>
      <w:pPr>
        <w:ind w:left="200" w:hanging="84"/>
        <w:spacing w:after="0"/>
        <w:tabs>
          <w:tab w:leader="none" w:pos="200" w:val="left"/>
        </w:tabs>
        <w:numPr>
          <w:ilvl w:val="0"/>
          <w:numId w:val="12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6"/>
          <w:szCs w:val="16"/>
          <w:color w:val="auto"/>
        </w:rPr>
        <w:t>10.25†</w:t>
      </w:r>
      <w:hyperlink r:id="rId365">
        <w:r>
          <w:rPr>
            <w:rFonts w:ascii="Times New Roman" w:cs="Times New Roman" w:eastAsia="Times New Roman" w:hAnsi="Times New Roman"/>
            <w:sz w:val="18"/>
            <w:szCs w:val="18"/>
            <w:u w:val="single" w:color="auto"/>
            <w:color w:val="0000EE"/>
          </w:rPr>
          <w:t>Sales Partner Referral Agreement, dated as of June 30, 2025, by and between the Company and</w:t>
        </w:r>
      </w:hyperlink>
    </w:p>
    <w:tbl>
      <w:tblPr>
        <w:tblLayout w:type="fixed"/>
        <w:tblInd w:w="120" w:type="dxa"/>
        <w:tblCellMar>
          <w:top w:w="0" w:type="dxa"/>
          <w:left w:w="0" w:type="dxa"/>
          <w:bottom w:w="0" w:type="dxa"/>
          <w:right w:w="0" w:type="dxa"/>
        </w:tblCellMar>
      </w:tblPr>
      <w:tr>
        <w:trPr>
          <w:trHeight w:val="203"/>
        </w:trPr>
        <w:tc>
          <w:tcPr>
            <w:tcW w:w="1080" w:type="dxa"/>
            <w:vAlign w:val="bottom"/>
          </w:tcPr>
          <w:p>
            <w:pPr>
              <w:spacing w:after="0"/>
              <w:rPr>
                <w:sz w:val="17"/>
                <w:szCs w:val="17"/>
                <w:color w:val="auto"/>
              </w:rPr>
            </w:pPr>
          </w:p>
        </w:tc>
        <w:tc>
          <w:tcPr>
            <w:tcW w:w="2640" w:type="dxa"/>
            <w:vAlign w:val="bottom"/>
            <w:gridSpan w:val="2"/>
          </w:tcPr>
          <w:p>
            <w:pPr>
              <w:spacing w:after="0" w:line="203" w:lineRule="exact"/>
              <w:rPr>
                <w:rFonts w:ascii="Times New Roman" w:cs="Times New Roman" w:eastAsia="Times New Roman" w:hAnsi="Times New Roman"/>
                <w:sz w:val="18"/>
                <w:szCs w:val="18"/>
                <w:color w:val="0000EE"/>
              </w:rPr>
            </w:pPr>
            <w:hyperlink r:id="rId365">
              <w:r>
                <w:rPr>
                  <w:rFonts w:ascii="Times New Roman" w:cs="Times New Roman" w:eastAsia="Times New Roman" w:hAnsi="Times New Roman"/>
                  <w:sz w:val="18"/>
                  <w:szCs w:val="18"/>
                  <w:color w:val="0000EE"/>
                </w:rPr>
                <w:t>Burkhan LLC.</w:t>
              </w:r>
            </w:hyperlink>
          </w:p>
        </w:tc>
        <w:tc>
          <w:tcPr>
            <w:tcW w:w="5460" w:type="dxa"/>
            <w:vAlign w:val="bottom"/>
          </w:tcPr>
          <w:p>
            <w:pPr>
              <w:ind w:left="4940"/>
              <w:spacing w:after="0" w:line="203" w:lineRule="exact"/>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10.1</w:t>
            </w: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6/30/2025</w:t>
            </w:r>
          </w:p>
        </w:tc>
      </w:tr>
      <w:tr>
        <w:trPr>
          <w:trHeight w:val="20"/>
        </w:trPr>
        <w:tc>
          <w:tcPr>
            <w:tcW w:w="10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21.1</w:t>
            </w:r>
          </w:p>
        </w:tc>
        <w:tc>
          <w:tcPr>
            <w:tcW w:w="26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366">
              <w:r>
                <w:rPr>
                  <w:rFonts w:ascii="Times New Roman" w:cs="Times New Roman" w:eastAsia="Times New Roman" w:hAnsi="Times New Roman"/>
                  <w:sz w:val="18"/>
                  <w:szCs w:val="18"/>
                  <w:color w:val="0000EE"/>
                  <w:w w:val="98"/>
                </w:rPr>
                <w:t>Subsidiaries of Blaize Holdings, Inc.</w:t>
              </w:r>
            </w:hyperlink>
          </w:p>
        </w:tc>
        <w:tc>
          <w:tcPr>
            <w:tcW w:w="546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bl>
    <w:p>
      <w:pPr>
        <w:spacing w:after="0" w:line="117" w:lineRule="exact"/>
        <w:rPr>
          <w:sz w:val="20"/>
          <w:szCs w:val="20"/>
          <w:color w:val="auto"/>
        </w:rPr>
      </w:pPr>
    </w:p>
    <w:p>
      <w:pPr>
        <w:ind w:left="200" w:hanging="84"/>
        <w:spacing w:after="0"/>
        <w:tabs>
          <w:tab w:leader="none" w:pos="20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23.1*</w:t>
      </w:r>
      <w:r>
        <w:rPr>
          <w:rFonts w:ascii="Times New Roman" w:cs="Times New Roman" w:eastAsia="Times New Roman" w:hAnsi="Times New Roman"/>
          <w:sz w:val="17"/>
          <w:szCs w:val="17"/>
          <w:u w:val="single" w:color="auto"/>
          <w:color w:val="0000EE"/>
        </w:rPr>
        <w:t>Consent of UHY LLP.</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23.2*</w:t>
      </w:r>
      <w:r>
        <w:rPr>
          <w:rFonts w:ascii="Times New Roman" w:cs="Times New Roman" w:eastAsia="Times New Roman" w:hAnsi="Times New Roman"/>
          <w:sz w:val="17"/>
          <w:szCs w:val="17"/>
          <w:u w:val="single" w:color="auto"/>
          <w:color w:val="0000EE"/>
        </w:rPr>
        <w:t>Consent of Latham &amp; Watkins LLP (included in Exhibit 5.1).</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24.1</w:t>
            </w:r>
          </w:p>
        </w:tc>
        <w:tc>
          <w:tcPr>
            <w:tcW w:w="6080" w:type="dxa"/>
            <w:vAlign w:val="bottom"/>
            <w:gridSpan w:val="3"/>
          </w:tcPr>
          <w:p>
            <w:pPr>
              <w:spacing w:after="0"/>
              <w:rPr>
                <w:rFonts w:ascii="Times New Roman" w:cs="Times New Roman" w:eastAsia="Times New Roman" w:hAnsi="Times New Roman"/>
                <w:sz w:val="18"/>
                <w:szCs w:val="18"/>
                <w:color w:val="0000EE"/>
              </w:rPr>
            </w:pPr>
            <w:hyperlink r:id="rId367">
              <w:r>
                <w:rPr>
                  <w:rFonts w:ascii="Times New Roman" w:cs="Times New Roman" w:eastAsia="Times New Roman" w:hAnsi="Times New Roman"/>
                  <w:sz w:val="18"/>
                  <w:szCs w:val="18"/>
                  <w:color w:val="0000EE"/>
                </w:rPr>
                <w:t>Power of Attorney.</w:t>
              </w:r>
            </w:hyperlink>
          </w:p>
        </w:tc>
        <w:tc>
          <w:tcPr>
            <w:tcW w:w="20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S-1</w:t>
            </w: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7/18/2025</w:t>
            </w:r>
          </w:p>
        </w:tc>
      </w:tr>
      <w:tr>
        <w:trPr>
          <w:trHeight w:val="20"/>
        </w:trPr>
        <w:tc>
          <w:tcPr>
            <w:tcW w:w="10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4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2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c>
          <w:tcPr>
            <w:tcW w:w="2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368">
              <w:r>
                <w:rPr>
                  <w:rFonts w:ascii="Times New Roman" w:cs="Times New Roman" w:eastAsia="Times New Roman" w:hAnsi="Times New Roman"/>
                  <w:sz w:val="18"/>
                  <w:szCs w:val="18"/>
                  <w:color w:val="0000EE"/>
                  <w:w w:val="97"/>
                </w:rPr>
                <w:t>Filing Fee Table.</w:t>
              </w:r>
            </w:hyperlink>
          </w:p>
        </w:tc>
        <w:tc>
          <w:tcPr>
            <w:tcW w:w="4860" w:type="dxa"/>
            <w:vAlign w:val="bottom"/>
            <w:gridSpan w:val="2"/>
          </w:tcPr>
          <w:p>
            <w:pPr>
              <w:spacing w:after="0"/>
              <w:rPr>
                <w:sz w:val="24"/>
                <w:szCs w:val="24"/>
                <w:color w:val="auto"/>
              </w:rPr>
            </w:pPr>
          </w:p>
        </w:tc>
        <w:tc>
          <w:tcPr>
            <w:tcW w:w="20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S-1</w:t>
            </w: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7/18/2025</w:t>
            </w:r>
          </w:p>
        </w:tc>
      </w:tr>
    </w:tbl>
    <w:p>
      <w:pPr>
        <w:spacing w:after="0" w:line="130" w:lineRule="exact"/>
        <w:rPr>
          <w:sz w:val="20"/>
          <w:szCs w:val="20"/>
          <w:color w:val="auto"/>
        </w:rPr>
      </w:pPr>
    </w:p>
    <w:p>
      <w:pPr>
        <w:ind w:left="540" w:hanging="424"/>
        <w:spacing w:after="0"/>
        <w:tabs>
          <w:tab w:leader="none" w:pos="54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the exhibits and schedules to this Exhibit have been omitted in accordance with Regulation S-K Item 601(a)(5). The Company agrees to</w:t>
      </w:r>
    </w:p>
    <w:p>
      <w:pPr>
        <w:spacing w:after="0" w:line="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furnish a copy of all omitted exhibits and schedules to the SEC upon its request.</w:t>
      </w:r>
    </w:p>
    <w:p>
      <w:pPr>
        <w:spacing w:after="0" w:line="9" w:lineRule="exact"/>
        <w:rPr>
          <w:sz w:val="20"/>
          <w:szCs w:val="20"/>
          <w:color w:val="auto"/>
        </w:rPr>
      </w:pPr>
    </w:p>
    <w:p>
      <w:pPr>
        <w:ind w:left="540" w:hanging="424"/>
        <w:spacing w:after="0"/>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51" w:lineRule="exact"/>
        <w:rPr>
          <w:sz w:val="20"/>
          <w:szCs w:val="20"/>
          <w:color w:val="auto"/>
        </w:rPr>
      </w:pPr>
    </w:p>
    <w:p>
      <w:pPr>
        <w:ind w:left="540" w:hanging="424"/>
        <w:spacing w:after="0"/>
        <w:tabs>
          <w:tab w:leader="none" w:pos="5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because the information required to be set forth therein is not applicable or is shown in the financial statements or notes thereto.</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sz w:val="20"/>
          <w:szCs w:val="20"/>
          <w:color w:val="auto"/>
        </w:rPr>
      </w:pPr>
    </w:p>
    <w:p>
      <w:pPr>
        <w:ind w:left="120" w:right="120" w:firstLine="436"/>
        <w:spacing w:after="0" w:line="266" w:lineRule="auto"/>
        <w:tabs>
          <w:tab w:leader="none" w:pos="81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 (i) to include any prospectus required by Section 10(a)(3) of the Securities Act; (ii) to reflect in the prospectus any facts or events arising after the effective date of the registration statement (or the most recent post-effective amendment thereof) which, individually or in the aggregate, represent a fundamental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00"/>
          </w:cols>
          <w:pgMar w:left="320" w:top="482" w:right="47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7"/>
          <w:szCs w:val="17"/>
          <w:color w:val="auto"/>
        </w:rPr>
        <w:t>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provided, however, that paragraphs (i), (ii) and</w:t>
      </w:r>
    </w:p>
    <w:p>
      <w:pPr>
        <w:spacing w:after="0" w:line="5" w:lineRule="exact"/>
        <w:rPr>
          <w:sz w:val="20"/>
          <w:szCs w:val="20"/>
          <w:color w:val="auto"/>
        </w:rPr>
      </w:pPr>
    </w:p>
    <w:p>
      <w:pPr>
        <w:ind w:left="120" w:right="220" w:hanging="4"/>
        <w:spacing w:after="0" w:line="253" w:lineRule="auto"/>
        <w:tabs>
          <w:tab w:leader="none" w:pos="43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apply if the registration statement is on Form S-1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80" w:lineRule="exact"/>
        <w:rPr>
          <w:rFonts w:ascii="Times New Roman" w:cs="Times New Roman" w:eastAsia="Times New Roman" w:hAnsi="Times New Roman"/>
          <w:sz w:val="18"/>
          <w:szCs w:val="18"/>
          <w:color w:val="auto"/>
        </w:rPr>
      </w:pPr>
    </w:p>
    <w:p>
      <w:pPr>
        <w:ind w:left="120" w:right="140" w:firstLine="436"/>
        <w:spacing w:after="0" w:line="266" w:lineRule="auto"/>
        <w:tabs>
          <w:tab w:leader="none" w:pos="815"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7" w:lineRule="exact"/>
        <w:rPr>
          <w:rFonts w:ascii="Times New Roman" w:cs="Times New Roman" w:eastAsia="Times New Roman" w:hAnsi="Times New Roman"/>
          <w:sz w:val="18"/>
          <w:szCs w:val="18"/>
          <w:color w:val="auto"/>
        </w:rPr>
      </w:pPr>
    </w:p>
    <w:p>
      <w:pPr>
        <w:ind w:left="120" w:right="680" w:firstLine="436"/>
        <w:spacing w:after="0" w:line="282" w:lineRule="auto"/>
        <w:tabs>
          <w:tab w:leader="none" w:pos="815"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w:t>
      </w:r>
    </w:p>
    <w:p>
      <w:pPr>
        <w:spacing w:after="0" w:line="6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72" w:lineRule="exact"/>
        <w:rPr>
          <w:sz w:val="20"/>
          <w:szCs w:val="20"/>
          <w:color w:val="auto"/>
        </w:rPr>
      </w:pPr>
    </w:p>
    <w:p>
      <w:pPr>
        <w:ind w:left="120" w:right="240" w:firstLine="436"/>
        <w:spacing w:after="0" w:line="258" w:lineRule="auto"/>
        <w:tabs>
          <w:tab w:leader="none" w:pos="81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8"/>
          <w:szCs w:val="18"/>
          <w:color w:val="auto"/>
        </w:rPr>
      </w:pPr>
    </w:p>
    <w:p>
      <w:pPr>
        <w:ind w:left="1220" w:hanging="241"/>
        <w:spacing w:after="0"/>
        <w:tabs>
          <w:tab w:leader="none" w:pos="12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17" w:lineRule="exact"/>
        <w:rPr>
          <w:rFonts w:ascii="Times New Roman" w:cs="Times New Roman" w:eastAsia="Times New Roman" w:hAnsi="Times New Roman"/>
          <w:sz w:val="18"/>
          <w:szCs w:val="18"/>
          <w:color w:val="auto"/>
        </w:rPr>
      </w:pPr>
    </w:p>
    <w:p>
      <w:pPr>
        <w:ind w:left="560" w:right="280" w:firstLine="419"/>
        <w:spacing w:after="0" w:line="282" w:lineRule="auto"/>
        <w:tabs>
          <w:tab w:leader="none" w:pos="1238"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560" w:right="140" w:firstLine="419"/>
        <w:spacing w:after="0" w:line="282" w:lineRule="auto"/>
        <w:tabs>
          <w:tab w:leader="none" w:pos="1228"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an undersigned registrant; and</w:t>
      </w:r>
    </w:p>
    <w:p>
      <w:pPr>
        <w:spacing w:after="0" w:line="53"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20"/>
          </w:cols>
          <w:pgMar w:left="320" w:top="482"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8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080"/>
          </w:cols>
          <w:pgMar w:left="320" w:top="482" w:right="4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Registration Statement to be signed on its behalf by the undersigned hereunto duly authorized, on this 1st day of August, 2025.</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Dinakar Munagala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Dinakar Munagala</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Chief Executive Officer Director</w:t>
      </w:r>
    </w:p>
    <w:p>
      <w:pPr>
        <w:spacing w:after="0" w:line="20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held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540" w:type="dxa"/>
            <w:vAlign w:val="bottom"/>
            <w:gridSpan w:val="2"/>
          </w:tcPr>
          <w:p>
            <w:pPr>
              <w:jc w:val="center"/>
              <w:ind w:right="22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60" w:type="dxa"/>
            <w:vAlign w:val="bottom"/>
            <w:gridSpan w:val="3"/>
          </w:tcPr>
          <w:p>
            <w:pPr>
              <w:jc w:val="center"/>
              <w:ind w:left="37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86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Dinakar Munagala</w:t>
            </w:r>
          </w:p>
        </w:tc>
        <w:tc>
          <w:tcPr>
            <w:tcW w:w="6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5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August 1, 2025</w:t>
            </w:r>
          </w:p>
        </w:tc>
      </w:tr>
      <w:tr>
        <w:trPr>
          <w:trHeight w:val="228"/>
        </w:trPr>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Dinakar Munagala</w:t>
            </w:r>
          </w:p>
        </w:tc>
        <w:tc>
          <w:tcPr>
            <w:tcW w:w="80" w:type="dxa"/>
            <w:vAlign w:val="bottom"/>
          </w:tcPr>
          <w:p>
            <w:pPr>
              <w:spacing w:after="0"/>
              <w:rPr>
                <w:sz w:val="19"/>
                <w:szCs w:val="19"/>
                <w:color w:val="auto"/>
              </w:rPr>
            </w:pPr>
          </w:p>
        </w:tc>
        <w:tc>
          <w:tcPr>
            <w:tcW w:w="46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43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 Harminder Sehmi</w:t>
            </w:r>
          </w:p>
        </w:tc>
        <w:tc>
          <w:tcPr>
            <w:tcW w:w="80" w:type="dxa"/>
            <w:vAlign w:val="bottom"/>
          </w:tcPr>
          <w:p>
            <w:pPr>
              <w:spacing w:after="0"/>
              <w:rPr>
                <w:sz w:val="24"/>
                <w:szCs w:val="24"/>
                <w:color w:val="auto"/>
              </w:rPr>
            </w:pPr>
          </w:p>
        </w:tc>
        <w:tc>
          <w:tcPr>
            <w:tcW w:w="46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5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August 1, 2025</w:t>
            </w:r>
          </w:p>
        </w:tc>
      </w:tr>
      <w:tr>
        <w:trPr>
          <w:trHeight w:val="178"/>
        </w:trPr>
        <w:tc>
          <w:tcPr>
            <w:tcW w:w="4320" w:type="dxa"/>
            <w:vAlign w:val="bottom"/>
            <w:gridSpan w:val="4"/>
          </w:tcPr>
          <w:p>
            <w:pPr>
              <w:spacing w:after="0" w:line="177" w:lineRule="exact"/>
              <w:rPr>
                <w:sz w:val="20"/>
                <w:szCs w:val="20"/>
                <w:color w:val="auto"/>
              </w:rPr>
            </w:pPr>
            <w:r>
              <w:rPr>
                <w:rFonts w:ascii="Times New Roman" w:cs="Times New Roman" w:eastAsia="Times New Roman" w:hAnsi="Times New Roman"/>
                <w:sz w:val="18"/>
                <w:szCs w:val="18"/>
                <w:color w:val="auto"/>
              </w:rPr>
              <w:t>Harminder Sehmi</w:t>
            </w:r>
          </w:p>
        </w:tc>
        <w:tc>
          <w:tcPr>
            <w:tcW w:w="80" w:type="dxa"/>
            <w:vAlign w:val="bottom"/>
          </w:tcPr>
          <w:p>
            <w:pPr>
              <w:spacing w:after="0"/>
              <w:rPr>
                <w:sz w:val="15"/>
                <w:szCs w:val="15"/>
                <w:color w:val="auto"/>
              </w:rPr>
            </w:pPr>
          </w:p>
        </w:tc>
        <w:tc>
          <w:tcPr>
            <w:tcW w:w="4600" w:type="dxa"/>
            <w:vAlign w:val="bottom"/>
            <w:gridSpan w:val="3"/>
          </w:tcPr>
          <w:p>
            <w:pPr>
              <w:jc w:val="center"/>
              <w:ind w:right="180"/>
              <w:spacing w:after="0" w:line="177" w:lineRule="exact"/>
              <w:rPr>
                <w:sz w:val="20"/>
                <w:szCs w:val="20"/>
                <w:color w:val="auto"/>
              </w:rPr>
            </w:pPr>
            <w:r>
              <w:rPr>
                <w:rFonts w:ascii="Times New Roman" w:cs="Times New Roman" w:eastAsia="Times New Roman" w:hAnsi="Times New Roman"/>
                <w:sz w:val="18"/>
                <w:szCs w:val="18"/>
                <w:color w:val="auto"/>
                <w:w w:val="99"/>
              </w:rPr>
              <w:t>(Principal Financial Officer and Principal Accounting</w:t>
            </w: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34"/>
        </w:trPr>
        <w:tc>
          <w:tcPr>
            <w:tcW w:w="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Officer)</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45"/>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August 1, 2025</w:t>
            </w:r>
          </w:p>
        </w:tc>
      </w:tr>
      <w:tr>
        <w:trPr>
          <w:trHeight w:val="228"/>
        </w:trPr>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Edward Frank</w:t>
            </w: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August 1, 2025</w:t>
            </w:r>
          </w:p>
        </w:tc>
      </w:tr>
      <w:tr>
        <w:trPr>
          <w:trHeight w:val="228"/>
        </w:trPr>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August 1, 2025</w:t>
            </w:r>
          </w:p>
        </w:tc>
      </w:tr>
      <w:tr>
        <w:trPr>
          <w:trHeight w:val="228"/>
        </w:trPr>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August 1, 2025</w:t>
            </w:r>
          </w:p>
        </w:tc>
      </w:tr>
      <w:tr>
        <w:trPr>
          <w:trHeight w:val="228"/>
        </w:trPr>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George de Urioste</w:t>
            </w: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August 1, 2025</w:t>
            </w:r>
          </w:p>
        </w:tc>
      </w:tr>
      <w:tr>
        <w:trPr>
          <w:trHeight w:val="228"/>
        </w:trPr>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Lane Bess</w:t>
            </w: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August 1, 2025</w:t>
            </w:r>
          </w:p>
        </w:tc>
      </w:tr>
      <w:tr>
        <w:trPr>
          <w:trHeight w:val="228"/>
        </w:trPr>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Yoshiaki Fujimori</w:t>
            </w: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54"/>
        </w:trPr>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Dinakar Munagala</w:t>
            </w: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5"/>
        </w:trPr>
        <w:tc>
          <w:tcPr>
            <w:tcW w:w="480" w:type="dxa"/>
            <w:vAlign w:val="bottom"/>
          </w:tcPr>
          <w:p>
            <w:pPr>
              <w:spacing w:after="0"/>
              <w:rPr>
                <w:sz w:val="17"/>
                <w:szCs w:val="17"/>
                <w:color w:val="auto"/>
              </w:rPr>
            </w:pPr>
          </w:p>
        </w:tc>
        <w:tc>
          <w:tcPr>
            <w:tcW w:w="3840" w:type="dxa"/>
            <w:vAlign w:val="bottom"/>
            <w:tcBorders>
              <w:top w:val="single" w:sz="8" w:color="auto"/>
            </w:tcBorders>
            <w:gridSpan w:val="3"/>
          </w:tcPr>
          <w:p>
            <w:pPr>
              <w:spacing w:after="0" w:line="205" w:lineRule="exact"/>
              <w:rPr>
                <w:sz w:val="20"/>
                <w:szCs w:val="20"/>
                <w:color w:val="auto"/>
              </w:rPr>
            </w:pPr>
            <w:r>
              <w:rPr>
                <w:rFonts w:ascii="Times New Roman" w:cs="Times New Roman" w:eastAsia="Times New Roman" w:hAnsi="Times New Roman"/>
                <w:sz w:val="18"/>
                <w:szCs w:val="18"/>
                <w:color w:val="auto"/>
              </w:rPr>
              <w:t>Name: Dinakar Munagala</w:t>
            </w:r>
          </w:p>
        </w:tc>
        <w:tc>
          <w:tcPr>
            <w:tcW w:w="80" w:type="dxa"/>
            <w:vAlign w:val="bottom"/>
            <w:tcBorders>
              <w:top w:val="single" w:sz="8" w:color="auto"/>
            </w:tcBorders>
          </w:tcPr>
          <w:p>
            <w:pPr>
              <w:spacing w:after="0"/>
              <w:rPr>
                <w:sz w:val="17"/>
                <w:szCs w:val="17"/>
                <w:color w:val="auto"/>
              </w:rPr>
            </w:pP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34"/>
        </w:trPr>
        <w:tc>
          <w:tcPr>
            <w:tcW w:w="480" w:type="dxa"/>
            <w:vAlign w:val="bottom"/>
          </w:tcPr>
          <w:p>
            <w:pPr>
              <w:spacing w:after="0"/>
              <w:rPr>
                <w:sz w:val="20"/>
                <w:szCs w:val="20"/>
                <w:color w:val="auto"/>
              </w:rPr>
            </w:pP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Attorney-In-Fact</w:t>
            </w:r>
          </w:p>
        </w:tc>
        <w:tc>
          <w:tcPr>
            <w:tcW w:w="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ectPr>
          <w:pgSz w:w="11900" w:h="16838" w:orient="portrait"/>
          <w:cols w:equalWidth="0" w:num="1">
            <w:col w:w="11060"/>
          </w:cols>
          <w:pgMar w:left="320" w:top="482" w:right="519" w:bottom="1440" w:gutter="0" w:footer="0" w:header="0"/>
        </w:sectPr>
      </w:pPr>
    </w:p>
    <w:bookmarkStart w:id="243" w:name="page244"/>
    <w:bookmarkEnd w:id="2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8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w w:val="97"/>
              </w:rPr>
              <w:t>Exhibit 5.1</w:t>
            </w:r>
          </w:p>
        </w:tc>
      </w:tr>
      <w:tr>
        <w:trPr>
          <w:trHeight w:val="441"/>
        </w:trPr>
        <w:tc>
          <w:tcPr>
            <w:tcW w:w="5300" w:type="dxa"/>
            <w:vAlign w:val="bottom"/>
          </w:tcPr>
          <w:p>
            <w:pPr>
              <w:spacing w:after="0"/>
              <w:rPr>
                <w:sz w:val="24"/>
                <w:szCs w:val="24"/>
                <w:color w:val="auto"/>
              </w:rPr>
            </w:pPr>
          </w:p>
        </w:tc>
        <w:tc>
          <w:tcPr>
            <w:tcW w:w="57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811 Main Street, Suite 3700</w:t>
            </w:r>
          </w:p>
        </w:tc>
      </w:tr>
      <w:tr>
        <w:trPr>
          <w:trHeight w:val="216"/>
        </w:trPr>
        <w:tc>
          <w:tcPr>
            <w:tcW w:w="5300" w:type="dxa"/>
            <w:vAlign w:val="bottom"/>
          </w:tcPr>
          <w:p>
            <w:pPr>
              <w:spacing w:after="0"/>
              <w:rPr>
                <w:sz w:val="18"/>
                <w:szCs w:val="18"/>
                <w:color w:val="auto"/>
              </w:rPr>
            </w:pPr>
          </w:p>
        </w:tc>
        <w:tc>
          <w:tcPr>
            <w:tcW w:w="57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Houston, TX 77002</w:t>
            </w:r>
          </w:p>
        </w:tc>
      </w:tr>
      <w:tr>
        <w:trPr>
          <w:trHeight w:val="216"/>
        </w:trPr>
        <w:tc>
          <w:tcPr>
            <w:tcW w:w="5300" w:type="dxa"/>
            <w:vAlign w:val="bottom"/>
          </w:tcPr>
          <w:p>
            <w:pPr>
              <w:spacing w:after="0"/>
              <w:rPr>
                <w:sz w:val="18"/>
                <w:szCs w:val="18"/>
                <w:color w:val="auto"/>
              </w:rPr>
            </w:pPr>
          </w:p>
        </w:tc>
        <w:tc>
          <w:tcPr>
            <w:tcW w:w="57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Tel: +1.713.546.5400  Fax: +1.713.546.5401</w:t>
            </w:r>
          </w:p>
        </w:tc>
      </w:tr>
      <w:tr>
        <w:trPr>
          <w:trHeight w:val="234"/>
        </w:trPr>
        <w:tc>
          <w:tcPr>
            <w:tcW w:w="5300" w:type="dxa"/>
            <w:vAlign w:val="bottom"/>
          </w:tcPr>
          <w:p>
            <w:pPr>
              <w:spacing w:after="0"/>
              <w:rPr>
                <w:sz w:val="20"/>
                <w:szCs w:val="20"/>
                <w:color w:val="auto"/>
              </w:rPr>
            </w:pPr>
          </w:p>
        </w:tc>
        <w:tc>
          <w:tcPr>
            <w:tcW w:w="34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www.lw.com</w:t>
            </w:r>
          </w:p>
        </w:tc>
        <w:tc>
          <w:tcPr>
            <w:tcW w:w="2280" w:type="dxa"/>
            <w:vAlign w:val="bottom"/>
          </w:tcPr>
          <w:p>
            <w:pPr>
              <w:spacing w:after="0"/>
              <w:rPr>
                <w:sz w:val="20"/>
                <w:szCs w:val="20"/>
                <w:color w:val="auto"/>
              </w:rPr>
            </w:pPr>
          </w:p>
        </w:tc>
      </w:tr>
      <w:tr>
        <w:trPr>
          <w:trHeight w:val="324"/>
        </w:trPr>
        <w:tc>
          <w:tcPr>
            <w:tcW w:w="5300" w:type="dxa"/>
            <w:vAlign w:val="bottom"/>
          </w:tcPr>
          <w:p>
            <w:pPr>
              <w:spacing w:after="0"/>
              <w:rPr>
                <w:sz w:val="24"/>
                <w:szCs w:val="24"/>
                <w:color w:val="auto"/>
              </w:rPr>
            </w:pPr>
          </w:p>
        </w:tc>
        <w:tc>
          <w:tcPr>
            <w:tcW w:w="57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FIRM / AFFILIATE OFFICES</w:t>
            </w:r>
          </w:p>
        </w:tc>
      </w:tr>
      <w:tr>
        <w:trPr>
          <w:trHeight w:val="243"/>
        </w:trPr>
        <w:tc>
          <w:tcPr>
            <w:tcW w:w="5300" w:type="dxa"/>
            <w:vAlign w:val="bottom"/>
          </w:tcPr>
          <w:p>
            <w:pPr>
              <w:spacing w:after="0"/>
              <w:rPr>
                <w:sz w:val="21"/>
                <w:szCs w:val="21"/>
                <w:color w:val="auto"/>
              </w:rPr>
            </w:pPr>
          </w:p>
        </w:tc>
        <w:tc>
          <w:tcPr>
            <w:tcW w:w="34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Austin</w:t>
            </w:r>
          </w:p>
        </w:tc>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Milan</w:t>
            </w:r>
          </w:p>
        </w:tc>
      </w:tr>
      <w:tr>
        <w:trPr>
          <w:trHeight w:val="225"/>
        </w:trPr>
        <w:tc>
          <w:tcPr>
            <w:tcW w:w="5300" w:type="dxa"/>
            <w:vAlign w:val="bottom"/>
          </w:tcPr>
          <w:p>
            <w:pPr>
              <w:spacing w:after="0"/>
              <w:rPr>
                <w:sz w:val="19"/>
                <w:szCs w:val="19"/>
                <w:color w:val="auto"/>
              </w:rPr>
            </w:pPr>
          </w:p>
        </w:tc>
        <w:tc>
          <w:tcPr>
            <w:tcW w:w="34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Beijing</w:t>
            </w:r>
          </w:p>
        </w:tc>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Munich</w:t>
            </w:r>
          </w:p>
        </w:tc>
      </w:tr>
      <w:tr>
        <w:trPr>
          <w:trHeight w:val="216"/>
        </w:trPr>
        <w:tc>
          <w:tcPr>
            <w:tcW w:w="5300" w:type="dxa"/>
            <w:vAlign w:val="bottom"/>
          </w:tcPr>
          <w:p>
            <w:pPr>
              <w:spacing w:after="0"/>
              <w:rPr>
                <w:sz w:val="18"/>
                <w:szCs w:val="18"/>
                <w:color w:val="auto"/>
              </w:rPr>
            </w:pPr>
          </w:p>
        </w:tc>
        <w:tc>
          <w:tcPr>
            <w:tcW w:w="34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Boston</w:t>
            </w:r>
          </w:p>
        </w:tc>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5300" w:type="dxa"/>
            <w:vAlign w:val="bottom"/>
          </w:tcPr>
          <w:p>
            <w:pPr>
              <w:spacing w:after="0"/>
              <w:rPr>
                <w:sz w:val="18"/>
                <w:szCs w:val="18"/>
                <w:color w:val="auto"/>
              </w:rPr>
            </w:pPr>
          </w:p>
        </w:tc>
        <w:tc>
          <w:tcPr>
            <w:tcW w:w="34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Brussels</w:t>
            </w:r>
          </w:p>
        </w:tc>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Orange County</w:t>
            </w:r>
          </w:p>
        </w:tc>
      </w:tr>
      <w:tr>
        <w:trPr>
          <w:trHeight w:val="216"/>
        </w:trPr>
        <w:tc>
          <w:tcPr>
            <w:tcW w:w="5300" w:type="dxa"/>
            <w:vAlign w:val="bottom"/>
          </w:tcPr>
          <w:p>
            <w:pPr>
              <w:spacing w:after="0"/>
              <w:rPr>
                <w:sz w:val="18"/>
                <w:szCs w:val="18"/>
                <w:color w:val="auto"/>
              </w:rPr>
            </w:pPr>
          </w:p>
        </w:tc>
        <w:tc>
          <w:tcPr>
            <w:tcW w:w="34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Century City</w:t>
            </w:r>
          </w:p>
        </w:tc>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Paris</w:t>
            </w:r>
          </w:p>
        </w:tc>
      </w:tr>
      <w:tr>
        <w:trPr>
          <w:trHeight w:val="216"/>
        </w:trPr>
        <w:tc>
          <w:tcPr>
            <w:tcW w:w="5300" w:type="dxa"/>
            <w:vAlign w:val="bottom"/>
          </w:tcPr>
          <w:p>
            <w:pPr>
              <w:spacing w:after="0"/>
              <w:rPr>
                <w:sz w:val="18"/>
                <w:szCs w:val="18"/>
                <w:color w:val="auto"/>
              </w:rPr>
            </w:pPr>
          </w:p>
        </w:tc>
        <w:tc>
          <w:tcPr>
            <w:tcW w:w="34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Chicago</w:t>
            </w:r>
          </w:p>
        </w:tc>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August 1, 2025</w:t>
            </w:r>
          </w:p>
        </w:tc>
        <w:tc>
          <w:tcPr>
            <w:tcW w:w="34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Dubai</w:t>
            </w:r>
          </w:p>
        </w:tc>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San Diego</w:t>
            </w:r>
          </w:p>
        </w:tc>
      </w:tr>
      <w:tr>
        <w:trPr>
          <w:trHeight w:val="216"/>
        </w:trPr>
        <w:tc>
          <w:tcPr>
            <w:tcW w:w="5300" w:type="dxa"/>
            <w:vAlign w:val="bottom"/>
          </w:tcPr>
          <w:p>
            <w:pPr>
              <w:spacing w:after="0"/>
              <w:rPr>
                <w:sz w:val="18"/>
                <w:szCs w:val="18"/>
                <w:color w:val="auto"/>
              </w:rPr>
            </w:pPr>
          </w:p>
        </w:tc>
        <w:tc>
          <w:tcPr>
            <w:tcW w:w="34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Düsseldorf</w:t>
            </w:r>
          </w:p>
        </w:tc>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6"/>
        </w:trPr>
        <w:tc>
          <w:tcPr>
            <w:tcW w:w="5300" w:type="dxa"/>
            <w:vAlign w:val="bottom"/>
          </w:tcPr>
          <w:p>
            <w:pPr>
              <w:spacing w:after="0"/>
              <w:rPr>
                <w:sz w:val="18"/>
                <w:szCs w:val="18"/>
                <w:color w:val="auto"/>
              </w:rPr>
            </w:pPr>
          </w:p>
        </w:tc>
        <w:tc>
          <w:tcPr>
            <w:tcW w:w="34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Frankfurt</w:t>
            </w:r>
          </w:p>
        </w:tc>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Seoul</w:t>
            </w:r>
          </w:p>
        </w:tc>
      </w:tr>
      <w:tr>
        <w:trPr>
          <w:trHeight w:val="216"/>
        </w:trPr>
        <w:tc>
          <w:tcPr>
            <w:tcW w:w="5300" w:type="dxa"/>
            <w:vAlign w:val="bottom"/>
          </w:tcPr>
          <w:p>
            <w:pPr>
              <w:spacing w:after="0"/>
              <w:rPr>
                <w:sz w:val="18"/>
                <w:szCs w:val="18"/>
                <w:color w:val="auto"/>
              </w:rPr>
            </w:pPr>
          </w:p>
        </w:tc>
        <w:tc>
          <w:tcPr>
            <w:tcW w:w="34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Hamburg</w:t>
            </w:r>
          </w:p>
        </w:tc>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Silicon Valley</w:t>
            </w:r>
          </w:p>
        </w:tc>
      </w:tr>
      <w:tr>
        <w:trPr>
          <w:trHeight w:val="216"/>
        </w:trPr>
        <w:tc>
          <w:tcPr>
            <w:tcW w:w="5300" w:type="dxa"/>
            <w:vAlign w:val="bottom"/>
          </w:tcPr>
          <w:p>
            <w:pPr>
              <w:spacing w:after="0"/>
              <w:rPr>
                <w:sz w:val="18"/>
                <w:szCs w:val="18"/>
                <w:color w:val="auto"/>
              </w:rPr>
            </w:pPr>
          </w:p>
        </w:tc>
        <w:tc>
          <w:tcPr>
            <w:tcW w:w="34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Hong Kong</w:t>
            </w:r>
          </w:p>
        </w:tc>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5300" w:type="dxa"/>
            <w:vAlign w:val="bottom"/>
          </w:tcPr>
          <w:p>
            <w:pPr>
              <w:spacing w:after="0"/>
              <w:rPr>
                <w:sz w:val="18"/>
                <w:szCs w:val="18"/>
                <w:color w:val="auto"/>
              </w:rPr>
            </w:pPr>
          </w:p>
        </w:tc>
        <w:tc>
          <w:tcPr>
            <w:tcW w:w="34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Houston</w:t>
            </w:r>
          </w:p>
        </w:tc>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Tel Aviv</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Blaize Holdings, Inc.</w:t>
            </w:r>
          </w:p>
        </w:tc>
        <w:tc>
          <w:tcPr>
            <w:tcW w:w="34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London</w:t>
            </w:r>
          </w:p>
        </w:tc>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Tokyo</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4659 Golden Foothill Parkway, Suite 206</w:t>
            </w:r>
          </w:p>
        </w:tc>
        <w:tc>
          <w:tcPr>
            <w:tcW w:w="34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Los Angeles</w:t>
            </w:r>
          </w:p>
        </w:tc>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Washington, D.C.</w:t>
            </w: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El Dorado Hills, C 95762</w:t>
            </w:r>
          </w:p>
        </w:tc>
        <w:tc>
          <w:tcPr>
            <w:tcW w:w="34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Madrid</w:t>
            </w:r>
          </w:p>
        </w:tc>
        <w:tc>
          <w:tcPr>
            <w:tcW w:w="2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-2228215</wp:posOffset>
            </wp:positionV>
            <wp:extent cx="2134235" cy="3086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3">
                      <a:extLst>
                        <a:ext uri="{28A0092B-C50C-407E-A947-70E740481C1C}"/>
                      </a:extLst>
                    </a:blip>
                    <a:srcRect/>
                    <a:stretch>
                      <a:fillRect/>
                    </a:stretch>
                  </pic:blipFill>
                  <pic:spPr bwMode="auto">
                    <a:xfrm>
                      <a:off x="0" y="0"/>
                      <a:ext cx="213423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Blaize Holdings, Inc. – Registration Statement on Form S-1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set forth above:</w:t>
      </w:r>
    </w:p>
    <w:p>
      <w:pPr>
        <w:spacing w:after="0" w:line="221"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We have acted as special counsel to Blaize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on the date hereof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of a registration statement on Form S-1 (as amended, the “</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relating to the registration of the offer and sale from time to time, (i) by B. Riley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 Capital II, LLC (“</w:t>
      </w:r>
      <w:r>
        <w:rPr>
          <w:rFonts w:ascii="Times New Roman" w:cs="Times New Roman" w:eastAsia="Times New Roman" w:hAnsi="Times New Roman"/>
          <w:sz w:val="18"/>
          <w:szCs w:val="18"/>
          <w:b w:val="1"/>
          <w:bCs w:val="1"/>
          <w:color w:val="auto"/>
        </w:rPr>
        <w:t>B. Riley</w:t>
      </w:r>
      <w:r>
        <w:rPr>
          <w:rFonts w:ascii="Times New Roman" w:cs="Times New Roman" w:eastAsia="Times New Roman" w:hAnsi="Times New Roman"/>
          <w:sz w:val="18"/>
          <w:szCs w:val="18"/>
          <w:color w:val="auto"/>
        </w:rPr>
        <w:t xml:space="preserve">”) of up to 20,242,805 shares (the </w:t>
      </w:r>
      <w:r>
        <w:rPr>
          <w:rFonts w:ascii="Times New Roman" w:cs="Times New Roman" w:eastAsia="Times New Roman" w:hAnsi="Times New Roman"/>
          <w:sz w:val="18"/>
          <w:szCs w:val="18"/>
          <w:b w:val="1"/>
          <w:bCs w:val="1"/>
          <w:i w:val="1"/>
          <w:iCs w:val="1"/>
          <w:color w:val="auto"/>
        </w:rPr>
        <w:t>“B. Riley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 common stock, par value $0.0001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xml:space="preserve">”), that the Company may elect, in its sole discretion, to issue and sell to B. Riley, from time to time from and after the Commencement Date as defined in that certain common stock purchase agreement, dated as of July 14, 2025, by and between the Company and B. Riley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(ii) by B. Riley of 83,353 shares of Common Stock that the Company issued to B. Riley on July 15, 2025, pursuant to the Purchase Agreement (the “</w:t>
      </w:r>
      <w:r>
        <w:rPr>
          <w:rFonts w:ascii="Times New Roman" w:cs="Times New Roman" w:eastAsia="Times New Roman" w:hAnsi="Times New Roman"/>
          <w:sz w:val="18"/>
          <w:szCs w:val="18"/>
          <w:b w:val="1"/>
          <w:bCs w:val="1"/>
          <w:i w:val="1"/>
          <w:iCs w:val="1"/>
          <w:color w:val="auto"/>
        </w:rPr>
        <w:t>Commitment Shares</w:t>
      </w:r>
      <w:r>
        <w:rPr>
          <w:rFonts w:ascii="Times New Roman" w:cs="Times New Roman" w:eastAsia="Times New Roman" w:hAnsi="Times New Roman"/>
          <w:sz w:val="18"/>
          <w:szCs w:val="18"/>
          <w:color w:val="auto"/>
        </w:rPr>
        <w:t>”), and (iii) by Cantor Fitzgerald &amp; Co. (“</w:t>
      </w:r>
      <w:r>
        <w:rPr>
          <w:rFonts w:ascii="Times New Roman" w:cs="Times New Roman" w:eastAsia="Times New Roman" w:hAnsi="Times New Roman"/>
          <w:sz w:val="18"/>
          <w:szCs w:val="18"/>
          <w:b w:val="1"/>
          <w:bCs w:val="1"/>
          <w:i w:val="1"/>
          <w:iCs w:val="1"/>
          <w:color w:val="auto"/>
        </w:rPr>
        <w:t>Cantor</w:t>
      </w:r>
      <w:r>
        <w:rPr>
          <w:rFonts w:ascii="Times New Roman" w:cs="Times New Roman" w:eastAsia="Times New Roman" w:hAnsi="Times New Roman"/>
          <w:sz w:val="18"/>
          <w:szCs w:val="18"/>
          <w:color w:val="auto"/>
        </w:rPr>
        <w:t>” and, together with B. Riley, the “</w:t>
      </w:r>
      <w:r>
        <w:rPr>
          <w:rFonts w:ascii="Times New Roman" w:cs="Times New Roman" w:eastAsia="Times New Roman" w:hAnsi="Times New Roman"/>
          <w:sz w:val="18"/>
          <w:szCs w:val="18"/>
          <w:b w:val="1"/>
          <w:bCs w:val="1"/>
          <w:i w:val="1"/>
          <w:iCs w:val="1"/>
          <w:color w:val="auto"/>
        </w:rPr>
        <w:t>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Stockholders</w:t>
      </w:r>
      <w:r>
        <w:rPr>
          <w:rFonts w:ascii="Times New Roman" w:cs="Times New Roman" w:eastAsia="Times New Roman" w:hAnsi="Times New Roman"/>
          <w:sz w:val="18"/>
          <w:szCs w:val="18"/>
          <w:color w:val="auto"/>
        </w:rPr>
        <w:t>”) of 769,231 shares of Common Stock (the “</w:t>
      </w:r>
      <w:r>
        <w:rPr>
          <w:rFonts w:ascii="Times New Roman" w:cs="Times New Roman" w:eastAsia="Times New Roman" w:hAnsi="Times New Roman"/>
          <w:sz w:val="18"/>
          <w:szCs w:val="18"/>
          <w:b w:val="1"/>
          <w:bCs w:val="1"/>
          <w:i w:val="1"/>
          <w:iCs w:val="1"/>
          <w:color w:val="auto"/>
        </w:rPr>
        <w:t>Cantor Shares</w:t>
      </w:r>
      <w:r>
        <w:rPr>
          <w:rFonts w:ascii="Times New Roman" w:cs="Times New Roman" w:eastAsia="Times New Roman" w:hAnsi="Times New Roman"/>
          <w:sz w:val="18"/>
          <w:szCs w:val="18"/>
          <w:color w:val="auto"/>
        </w:rPr>
        <w:t>”, and together with the B. Riley Shares and Commitment Shares,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that the Company issued to Cantor in a private placement on July 15, 2025, pursuant to that certain letter agreement, dated April 11, 2025, by and between the Company and Cantor. This opinion is being furnished in connection with the requirements of Item 601(b)(5) of Regulation S-K under the Act, and no opinion is expressed herein as to any matter pertaining to the contents of the Registration Statement or related prospectus or prospectus supplement (collectively,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other than as expressly stated herein with respect to the offer and sale of the Shares.</w:t>
      </w:r>
    </w:p>
    <w:p>
      <w:pPr>
        <w:spacing w:after="0" w:line="191"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we express no opinion with respect to any other laws.</w:t>
      </w:r>
    </w:p>
    <w:p>
      <w:pPr>
        <w:sectPr>
          <w:pgSz w:w="11900" w:h="16838" w:orient="portrait"/>
          <w:cols w:equalWidth="0" w:num="1">
            <w:col w:w="11020"/>
          </w:cols>
          <w:pgMar w:left="440" w:top="117" w:right="4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August 1,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388745" cy="1028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5">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w:t>
      </w:r>
    </w:p>
    <w:p>
      <w:pPr>
        <w:spacing w:after="0" w:line="252" w:lineRule="exact"/>
        <w:rPr>
          <w:sz w:val="20"/>
          <w:szCs w:val="20"/>
          <w:color w:val="auto"/>
        </w:rPr>
      </w:pPr>
    </w:p>
    <w:p>
      <w:pPr>
        <w:jc w:val="both"/>
        <w:ind w:left="960" w:hanging="532"/>
        <w:spacing w:after="0" w:line="254" w:lineRule="auto"/>
        <w:tabs>
          <w:tab w:leader="none" w:pos="9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B. Riley Shares shall have been duly registered on the books of the transfer agent and registrar therefor in the name or on behalf of B. Riley, and have been issued by the Company against payment therefor (not less than par value) in the circumstances contemplated by the Registration Statement and the Purchase Agreement, the issuance and sale of the B. Riley Shares will have been duly authorized by all necessary corporate action of the Company, and the B. Riley Shares will be validly issued, fully paid and nonassessable. In rendering the foregoing opinion, we have assumed that certain terms of the B. Riley Shares to be issued by the Company from time to time will be authorized and approved by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one or more committees thereof established by the Board or other person or body designated by the Board having the authority to issue and sell the B. Riley Shares pursuant to the Purchase Agreement in accordance with the DGCL, the third amended and restated certificate of incorporation and the amended and restated bylaws of the Company and certain resolutions of the Board and one or more committees thereof.</w:t>
      </w:r>
    </w:p>
    <w:p>
      <w:pPr>
        <w:spacing w:after="0" w:line="215"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 Shares and the Cantor Shares have been duly authorized by all necessary corporate action of the Company and are validly issued, fully paid and nonassessable.</w:t>
      </w:r>
    </w:p>
    <w:p>
      <w:pPr>
        <w:spacing w:after="0" w:line="162"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In rendering the opinion in paragraph 1 above, we have assumed that (i) the Company complied or will comply with all applicable notice requirements regarding uncertificated shares provided in the DGCL and (ii) upon the issuance of any of the Shares, the total number of shares of Common Stock issued and outstanding will not exceed the total number of shares of Common Stock that the Company is then authorized to issue under its amended and restated certificate of incorporation.</w:t>
      </w:r>
    </w:p>
    <w:p>
      <w:pPr>
        <w:spacing w:after="0" w:line="180"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Latham &amp; Watkins LLP</w:t>
      </w:r>
    </w:p>
    <w:p>
      <w:pPr>
        <w:sectPr>
          <w:pgSz w:w="11900" w:h="16838" w:orient="portrait"/>
          <w:cols w:equalWidth="0" w:num="1">
            <w:col w:w="11020"/>
          </w:cols>
          <w:pgMar w:left="440" w:top="266" w:right="43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CONSENT</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Blaize Holdings, Inc. (the “Company”) on Amendment No. 2 to Form S-1 of our report dated March 11, 2025, which includes an explanatory paragraph as to Blaize, Inc. and Subsidiaries’ ability to continue as a going concern, with respect to our audits of the consolidated financial statements of Blaize, Inc. and Subsidiaries as of December 31, 2024 and 2023 and for the years then ended. We also consent to the reference to our Firm under the heading “Experts” in such Prospectus.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2025</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
      <w:numFmt w:val="bullet"/>
      <w:start w:val="1"/>
    </w:lvl>
    <w:lvl w:ilvl="1">
      <w:lvlJc w:val="left"/>
      <w:lvlText w:val="•"/>
      <w:numFmt w:val="bullet"/>
      <w:start w:val="1"/>
    </w:lvl>
  </w:abstractNum>
  <w:abstractNum w:abstractNumId="3">
    <w:nsid w:val="1DBABF00"/>
    <w:multiLevelType w:val="hybridMultilevel"/>
    <w:lvl w:ilvl="0">
      <w:lvlJc w:val="left"/>
      <w:lvlText w:val="•"/>
      <w:numFmt w:val="bullet"/>
      <w:start w:val="1"/>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1)"/>
      <w:numFmt w:val="lowerLetter"/>
      <w:start w:val="1"/>
    </w:lvl>
  </w:abstractNum>
  <w:abstractNum w:abstractNumId="6">
    <w:nsid w:val="1381823A"/>
    <w:multiLevelType w:val="hybridMultilevel"/>
    <w:lvl w:ilvl="0">
      <w:lvlJc w:val="left"/>
      <w:lvlText w:val="%1"/>
      <w:numFmt w:val="upperLetter"/>
      <w:start w:val="35"/>
    </w:lvl>
  </w:abstractNum>
  <w:abstractNum w:abstractNumId="7">
    <w:nsid w:val="5DB70AE5"/>
    <w:multiLevelType w:val="hybridMultilevel"/>
    <w:lvl w:ilvl="0">
      <w:lvlJc w:val="left"/>
      <w:lvlText w:val="•"/>
      <w:numFmt w:val="bullet"/>
      <w:start w:val="1"/>
    </w:lvl>
  </w:abstractNum>
  <w:abstractNum w:abstractNumId="8">
    <w:nsid w:val="100F8FCA"/>
    <w:multiLevelType w:val="hybridMultilevel"/>
    <w:lvl w:ilvl="0">
      <w:lvlJc w:val="left"/>
      <w:lvlText w:val="•"/>
      <w:numFmt w:val="bullet"/>
      <w:start w:val="1"/>
    </w:lvl>
  </w:abstractNum>
  <w:abstractNum w:abstractNumId="9">
    <w:nsid w:val="6590700B"/>
    <w:multiLevelType w:val="hybridMultilevel"/>
    <w:lvl w:ilvl="0">
      <w:lvlJc w:val="left"/>
      <w:lvlText w:val="•"/>
      <w:numFmt w:val="bullet"/>
      <w:start w:val="1"/>
    </w:lvl>
  </w:abstractNum>
  <w:abstractNum w:abstractNumId="10">
    <w:nsid w:val="15014ACB"/>
    <w:multiLevelType w:val="hybridMultilevel"/>
    <w:lvl w:ilvl="0">
      <w:lvlJc w:val="left"/>
      <w:lvlText w:val="•"/>
      <w:numFmt w:val="bullet"/>
      <w:start w:val="1"/>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
      <w:numFmt w:val="bullet"/>
      <w:start w:val="1"/>
    </w:lvl>
  </w:abstractNum>
  <w:abstractNum w:abstractNumId="14">
    <w:nsid w:val="6B94764"/>
    <w:multiLevelType w:val="hybridMultilevel"/>
    <w:lvl w:ilvl="0">
      <w:lvlJc w:val="left"/>
      <w:lvlText w:val="•"/>
      <w:numFmt w:val="bullet"/>
      <w:start w:val="1"/>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
      <w:numFmt w:val="bullet"/>
      <w:start w:val="1"/>
    </w:lvl>
  </w:abstractNum>
  <w:abstractNum w:abstractNumId="17">
    <w:nsid w:val="1EBA5D23"/>
    <w:multiLevelType w:val="hybridMultilevel"/>
    <w:lvl w:ilvl="0">
      <w:lvlJc w:val="left"/>
      <w:lvlText w:val="(%1)"/>
      <w:numFmt w:val="lowerRoman"/>
      <w:start w:val="1"/>
    </w:lvl>
  </w:abstractNum>
  <w:abstractNum w:abstractNumId="18">
    <w:nsid w:val="661E3F1E"/>
    <w:multiLevelType w:val="hybridMultilevel"/>
    <w:lvl w:ilvl="0">
      <w:lvlJc w:val="left"/>
      <w:lvlText w:val="•"/>
      <w:numFmt w:val="bullet"/>
      <w:start w:val="1"/>
    </w:lvl>
  </w:abstractNum>
  <w:abstractNum w:abstractNumId="19">
    <w:nsid w:val="5DC79EA8"/>
    <w:multiLevelType w:val="hybridMultilevel"/>
    <w:lvl w:ilvl="0">
      <w:lvlJc w:val="left"/>
      <w:lvlText w:val="•"/>
      <w:numFmt w:val="bullet"/>
      <w:start w:val="1"/>
    </w:lvl>
  </w:abstractNum>
  <w:abstractNum w:abstractNumId="20">
    <w:nsid w:val="540A471C"/>
    <w:multiLevelType w:val="hybridMultilevel"/>
    <w:lvl w:ilvl="0">
      <w:lvlJc w:val="left"/>
      <w:lvlText w:val="•"/>
      <w:numFmt w:val="bullet"/>
      <w:start w:val="1"/>
    </w:lvl>
  </w:abstractNum>
  <w:abstractNum w:abstractNumId="21">
    <w:nsid w:val="7BD3EE7B"/>
    <w:multiLevelType w:val="hybridMultilevel"/>
    <w:lvl w:ilvl="0">
      <w:lvlJc w:val="left"/>
      <w:lvlText w:val="•"/>
      <w:numFmt w:val="bullet"/>
      <w:start w:val="1"/>
    </w:lvl>
  </w:abstractNum>
  <w:abstractNum w:abstractNumId="22">
    <w:nsid w:val="51D9C564"/>
    <w:multiLevelType w:val="hybridMultilevel"/>
    <w:lvl w:ilvl="0">
      <w:lvlJc w:val="left"/>
      <w:lvlText w:val="•"/>
      <w:numFmt w:val="bullet"/>
      <w:start w:val="1"/>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
      <w:numFmt w:val="bullet"/>
      <w:start w:val="1"/>
    </w:lvl>
  </w:abstractNum>
  <w:abstractNum w:abstractNumId="25">
    <w:nsid w:val="11447B73"/>
    <w:multiLevelType w:val="hybridMultilevel"/>
    <w:lvl w:ilvl="0">
      <w:lvlJc w:val="left"/>
      <w:lvlText w:val="•"/>
      <w:numFmt w:val="bullet"/>
      <w:start w:val="1"/>
    </w:lvl>
  </w:abstractNum>
  <w:abstractNum w:abstractNumId="26">
    <w:nsid w:val="42963E5A"/>
    <w:multiLevelType w:val="hybridMultilevel"/>
    <w:lvl w:ilvl="0">
      <w:lvlJc w:val="left"/>
      <w:lvlText w:val="•"/>
      <w:numFmt w:val="bullet"/>
      <w:start w:val="1"/>
    </w:lvl>
  </w:abstractNum>
  <w:abstractNum w:abstractNumId="27">
    <w:nsid w:val="A0382C5"/>
    <w:multiLevelType w:val="hybridMultilevel"/>
    <w:lvl w:ilvl="0">
      <w:lvlJc w:val="left"/>
      <w:lvlText w:val="•"/>
      <w:numFmt w:val="bullet"/>
      <w:start w:val="1"/>
    </w:lvl>
  </w:abstractNum>
  <w:abstractNum w:abstractNumId="28">
    <w:nsid w:val="8F2B15E"/>
    <w:multiLevelType w:val="hybridMultilevel"/>
    <w:lvl w:ilvl="0">
      <w:lvlJc w:val="left"/>
      <w:lvlText w:val="•"/>
      <w:numFmt w:val="bullet"/>
      <w:start w:val="1"/>
    </w:lvl>
  </w:abstractNum>
  <w:abstractNum w:abstractNumId="29">
    <w:nsid w:val="1A32234B"/>
    <w:multiLevelType w:val="hybridMultilevel"/>
    <w:lvl w:ilvl="0">
      <w:lvlJc w:val="left"/>
      <w:lvlText w:val="•"/>
      <w:numFmt w:val="bullet"/>
      <w:start w:val="1"/>
    </w:lvl>
  </w:abstractNum>
  <w:abstractNum w:abstractNumId="30">
    <w:nsid w:val="3B0FD379"/>
    <w:multiLevelType w:val="hybridMultilevel"/>
    <w:lvl w:ilvl="0">
      <w:lvlJc w:val="left"/>
      <w:lvlText w:val="•"/>
      <w:numFmt w:val="bullet"/>
      <w:start w:val="1"/>
    </w:lvl>
  </w:abstractNum>
  <w:abstractNum w:abstractNumId="31">
    <w:nsid w:val="68EB2F63"/>
    <w:multiLevelType w:val="hybridMultilevel"/>
    <w:lvl w:ilvl="0">
      <w:lvlJc w:val="left"/>
      <w:lvlText w:val="(%1)"/>
      <w:numFmt w:val="decimal"/>
      <w:start w:val="1"/>
    </w:lvl>
  </w:abstractNum>
  <w:abstractNum w:abstractNumId="32">
    <w:nsid w:val="4962813B"/>
    <w:multiLevelType w:val="hybridMultilevel"/>
    <w:lvl w:ilvl="0">
      <w:lvlJc w:val="left"/>
      <w:lvlText w:val="•"/>
      <w:numFmt w:val="bullet"/>
      <w:start w:val="1"/>
    </w:lvl>
  </w:abstractNum>
  <w:abstractNum w:abstractNumId="33">
    <w:nsid w:val="60B6DF70"/>
    <w:multiLevelType w:val="hybridMultilevel"/>
    <w:lvl w:ilvl="0">
      <w:lvlJc w:val="left"/>
      <w:lvlText w:val="•"/>
      <w:numFmt w:val="bullet"/>
      <w:start w:val="1"/>
    </w:lvl>
  </w:abstractNum>
  <w:abstractNum w:abstractNumId="34">
    <w:nsid w:val="6A5EE64"/>
    <w:multiLevelType w:val="hybridMultilevel"/>
    <w:lvl w:ilvl="0">
      <w:lvlJc w:val="left"/>
      <w:lvlText w:val="(%1)"/>
      <w:numFmt w:val="lowerRoman"/>
      <w:start w:val="3"/>
    </w:lvl>
  </w:abstractNum>
  <w:abstractNum w:abstractNumId="35">
    <w:nsid w:val="14330624"/>
    <w:multiLevelType w:val="hybridMultilevel"/>
    <w:lvl w:ilvl="0">
      <w:lvlJc w:val="left"/>
      <w:lvlText w:val="•"/>
      <w:numFmt w:val="bullet"/>
      <w:start w:val="1"/>
    </w:lvl>
  </w:abstractNum>
  <w:abstractNum w:abstractNumId="36">
    <w:nsid w:val="7FFFCA11"/>
    <w:multiLevelType w:val="hybridMultilevel"/>
    <w:lvl w:ilvl="0">
      <w:lvlJc w:val="left"/>
      <w:lvlText w:val="•"/>
      <w:numFmt w:val="bullet"/>
      <w:start w:val="1"/>
    </w:lvl>
  </w:abstractNum>
  <w:abstractNum w:abstractNumId="37">
    <w:nsid w:val="1A27709E"/>
    <w:multiLevelType w:val="hybridMultilevel"/>
    <w:lvl w:ilvl="0">
      <w:lvlJc w:val="left"/>
      <w:lvlText w:val="•"/>
      <w:numFmt w:val="bullet"/>
      <w:start w:val="1"/>
    </w:lvl>
  </w:abstractNum>
  <w:abstractNum w:abstractNumId="38">
    <w:nsid w:val="71EA1109"/>
    <w:multiLevelType w:val="hybridMultilevel"/>
    <w:lvl w:ilvl="0">
      <w:lvlJc w:val="left"/>
      <w:lvlText w:val="•"/>
      <w:numFmt w:val="bullet"/>
      <w:start w:val="1"/>
    </w:lvl>
  </w:abstractNum>
  <w:abstractNum w:abstractNumId="39">
    <w:nsid w:val="100F59DC"/>
    <w:multiLevelType w:val="hybridMultilevel"/>
    <w:lvl w:ilvl="0">
      <w:lvlJc w:val="left"/>
      <w:lvlText w:val="•"/>
      <w:numFmt w:val="bullet"/>
      <w:start w:val="1"/>
    </w:lvl>
  </w:abstractNum>
  <w:abstractNum w:abstractNumId="40">
    <w:nsid w:val="7FB7E0AA"/>
    <w:multiLevelType w:val="hybridMultilevel"/>
    <w:lvl w:ilvl="0">
      <w:lvlJc w:val="left"/>
      <w:lvlText w:val="(%1)"/>
      <w:numFmt w:val="lowerLetter"/>
      <w:start w:val="26"/>
    </w:lvl>
    <w:lvl w:ilvl="1">
      <w:lvlJc w:val="left"/>
      <w:lvlText w:val="•"/>
      <w:numFmt w:val="bullet"/>
      <w:start w:val="1"/>
    </w:lvl>
  </w:abstractNum>
  <w:abstractNum w:abstractNumId="41">
    <w:nsid w:val="6EB5BD4"/>
    <w:multiLevelType w:val="hybridMultilevel"/>
    <w:lvl w:ilvl="0">
      <w:lvlJc w:val="left"/>
      <w:lvlText w:val="•"/>
      <w:numFmt w:val="bullet"/>
      <w:start w:val="1"/>
    </w:lvl>
  </w:abstractNum>
  <w:abstractNum w:abstractNumId="42">
    <w:nsid w:val="6F6DD9AC"/>
    <w:multiLevelType w:val="hybridMultilevel"/>
    <w:lvl w:ilvl="0">
      <w:lvlJc w:val="left"/>
      <w:lvlText w:val="•"/>
      <w:numFmt w:val="bullet"/>
      <w:start w:val="1"/>
    </w:lvl>
  </w:abstractNum>
  <w:abstractNum w:abstractNumId="43">
    <w:nsid w:val="94211F2"/>
    <w:multiLevelType w:val="hybridMultilevel"/>
    <w:lvl w:ilvl="0">
      <w:lvlJc w:val="left"/>
      <w:lvlText w:val="(%1)"/>
      <w:numFmt w:val="decimal"/>
      <w:start w:val="10"/>
    </w:lvl>
  </w:abstractNum>
  <w:abstractNum w:abstractNumId="44">
    <w:nsid w:val="885E1B"/>
    <w:multiLevelType w:val="hybridMultilevel"/>
    <w:lvl w:ilvl="0">
      <w:lvlJc w:val="left"/>
      <w:lvlText w:val="(%1)"/>
      <w:numFmt w:val="lowerRoman"/>
      <w:start w:val="2"/>
    </w:lvl>
  </w:abstractNum>
  <w:abstractNum w:abstractNumId="45">
    <w:nsid w:val="76272110"/>
    <w:multiLevelType w:val="hybridMultilevel"/>
    <w:lvl w:ilvl="0">
      <w:lvlJc w:val="left"/>
      <w:lvlText w:val="(%1)"/>
      <w:numFmt w:val="lowerRoman"/>
      <w:start w:val="3"/>
    </w:lvl>
  </w:abstractNum>
  <w:abstractNum w:abstractNumId="46">
    <w:nsid w:val="4C04A8AF"/>
    <w:multiLevelType w:val="hybridMultilevel"/>
    <w:lvl w:ilvl="0">
      <w:lvlJc w:val="left"/>
      <w:lvlText w:val="•"/>
      <w:numFmt w:val="bullet"/>
      <w:start w:val="1"/>
    </w:lvl>
  </w:abstractNum>
  <w:abstractNum w:abstractNumId="47">
    <w:nsid w:val="1716703B"/>
    <w:multiLevelType w:val="hybridMultilevel"/>
    <w:lvl w:ilvl="0">
      <w:lvlJc w:val="left"/>
      <w:lvlText w:val="•"/>
      <w:numFmt w:val="bullet"/>
      <w:start w:val="1"/>
    </w:lvl>
  </w:abstractNum>
  <w:abstractNum w:abstractNumId="48">
    <w:nsid w:val="14E17E33"/>
    <w:multiLevelType w:val="hybridMultilevel"/>
    <w:lvl w:ilvl="0">
      <w:lvlJc w:val="left"/>
      <w:lvlText w:val="%1."/>
      <w:numFmt w:val="decimal"/>
      <w:start w:val="1"/>
    </w:lvl>
  </w:abstractNum>
  <w:abstractNum w:abstractNumId="49">
    <w:nsid w:val="3222E7CD"/>
    <w:multiLevelType w:val="hybridMultilevel"/>
    <w:lvl w:ilvl="0">
      <w:lvlJc w:val="left"/>
      <w:lvlText w:val="•"/>
      <w:numFmt w:val="bullet"/>
      <w:start w:val="1"/>
    </w:lvl>
  </w:abstractNum>
  <w:abstractNum w:abstractNumId="50">
    <w:nsid w:val="74DE0EE3"/>
    <w:multiLevelType w:val="hybridMultilevel"/>
    <w:lvl w:ilvl="0">
      <w:lvlJc w:val="left"/>
      <w:lvlText w:val="•"/>
      <w:numFmt w:val="bullet"/>
      <w:start w:val="1"/>
    </w:lvl>
  </w:abstractNum>
  <w:abstractNum w:abstractNumId="51">
    <w:nsid w:val="68EBC550"/>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52">
    <w:nsid w:val="2DF6D648"/>
    <w:multiLevelType w:val="hybridMultilevel"/>
    <w:lvl w:ilvl="0">
      <w:lvlJc w:val="left"/>
      <w:lvlText w:val="•"/>
      <w:numFmt w:val="bullet"/>
      <w:start w:val="1"/>
    </w:lvl>
    <w:lvl w:ilvl="1">
      <w:lvlJc w:val="left"/>
      <w:lvlText w:val="%2."/>
      <w:numFmt w:val="decimal"/>
      <w:start w:val="1"/>
    </w:lvl>
  </w:abstractNum>
  <w:abstractNum w:abstractNumId="53">
    <w:nsid w:val="46B7D447"/>
    <w:multiLevelType w:val="hybridMultilevel"/>
    <w:lvl w:ilvl="0">
      <w:lvlJc w:val="left"/>
      <w:lvlText w:val="•"/>
      <w:numFmt w:val="bullet"/>
      <w:start w:val="1"/>
    </w:lvl>
  </w:abstractNum>
  <w:abstractNum w:abstractNumId="54">
    <w:nsid w:val="4A2AC315"/>
    <w:multiLevelType w:val="hybridMultilevel"/>
    <w:lvl w:ilvl="0">
      <w:lvlJc w:val="left"/>
      <w:lvlText w:val="•"/>
      <w:numFmt w:val="bullet"/>
      <w:start w:val="1"/>
    </w:lvl>
  </w:abstractNum>
  <w:abstractNum w:abstractNumId="55">
    <w:nsid w:val="39EE015C"/>
    <w:multiLevelType w:val="hybridMultilevel"/>
    <w:lvl w:ilvl="0">
      <w:lvlJc w:val="left"/>
      <w:lvlText w:val="•"/>
      <w:numFmt w:val="bullet"/>
      <w:start w:val="1"/>
    </w:lvl>
  </w:abstractNum>
  <w:abstractNum w:abstractNumId="56">
    <w:nsid w:val="57FC4FBB"/>
    <w:multiLevelType w:val="hybridMultilevel"/>
    <w:lvl w:ilvl="0">
      <w:lvlJc w:val="left"/>
      <w:lvlText w:val="•"/>
      <w:numFmt w:val="bullet"/>
      <w:start w:val="1"/>
    </w:lvl>
  </w:abstractNum>
  <w:abstractNum w:abstractNumId="57">
    <w:nsid w:val="CC1016F"/>
    <w:multiLevelType w:val="hybridMultilevel"/>
    <w:lvl w:ilvl="0">
      <w:lvlJc w:val="left"/>
      <w:lvlText w:val="•"/>
      <w:numFmt w:val="bullet"/>
      <w:start w:val="1"/>
    </w:lvl>
  </w:abstractNum>
  <w:abstractNum w:abstractNumId="58">
    <w:nsid w:val="43F18422"/>
    <w:multiLevelType w:val="hybridMultilevel"/>
    <w:lvl w:ilvl="0">
      <w:lvlJc w:val="left"/>
      <w:lvlText w:val="•"/>
      <w:numFmt w:val="bullet"/>
      <w:start w:val="1"/>
    </w:lvl>
  </w:abstractNum>
  <w:abstractNum w:abstractNumId="59">
    <w:nsid w:val="60EF0119"/>
    <w:multiLevelType w:val="hybridMultilevel"/>
    <w:lvl w:ilvl="0">
      <w:lvlJc w:val="left"/>
      <w:lvlText w:val="•"/>
      <w:numFmt w:val="bullet"/>
      <w:start w:val="1"/>
    </w:lvl>
  </w:abstractNum>
  <w:abstractNum w:abstractNumId="60">
    <w:nsid w:val="26F324BA"/>
    <w:multiLevelType w:val="hybridMultilevel"/>
    <w:lvl w:ilvl="0">
      <w:lvlJc w:val="left"/>
      <w:lvlText w:val="•"/>
      <w:numFmt w:val="bullet"/>
      <w:start w:val="1"/>
    </w:lvl>
  </w:abstractNum>
  <w:abstractNum w:abstractNumId="61">
    <w:nsid w:val="7F01579B"/>
    <w:multiLevelType w:val="hybridMultilevel"/>
    <w:lvl w:ilvl="0">
      <w:lvlJc w:val="left"/>
      <w:lvlText w:val="(%1)"/>
      <w:numFmt w:val="decimal"/>
      <w:start w:val="1"/>
    </w:lvl>
  </w:abstractNum>
  <w:abstractNum w:abstractNumId="62">
    <w:nsid w:val="49DA307D"/>
    <w:multiLevelType w:val="hybridMultilevel"/>
    <w:lvl w:ilvl="0">
      <w:lvlJc w:val="left"/>
      <w:lvlText w:val="•"/>
      <w:numFmt w:val="bullet"/>
      <w:start w:val="1"/>
    </w:lvl>
  </w:abstractNum>
  <w:abstractNum w:abstractNumId="63">
    <w:nsid w:val="7055A5F5"/>
    <w:multiLevelType w:val="hybridMultilevel"/>
    <w:lvl w:ilvl="0">
      <w:lvlJc w:val="left"/>
      <w:lvlText w:val="(%1)"/>
      <w:numFmt w:val="decimal"/>
      <w:start w:val="1"/>
    </w:lvl>
  </w:abstractNum>
  <w:abstractNum w:abstractNumId="64">
    <w:nsid w:val="5FB8370B"/>
    <w:multiLevelType w:val="hybridMultilevel"/>
    <w:lvl w:ilvl="0">
      <w:lvlJc w:val="left"/>
      <w:lvlText w:val="(%1)"/>
      <w:numFmt w:val="decimal"/>
      <w:start w:val="1"/>
    </w:lvl>
  </w:abstractNum>
  <w:abstractNum w:abstractNumId="65">
    <w:nsid w:val="50801EE1"/>
    <w:multiLevelType w:val="hybridMultilevel"/>
    <w:lvl w:ilvl="0">
      <w:lvlJc w:val="left"/>
      <w:lvlText w:val="•"/>
      <w:numFmt w:val="bullet"/>
      <w:start w:val="1"/>
    </w:lvl>
    <w:lvl w:ilvl="1">
      <w:lvlJc w:val="left"/>
      <w:lvlText w:val="•"/>
      <w:numFmt w:val="bullet"/>
      <w:start w:val="1"/>
    </w:lvl>
  </w:abstractNum>
  <w:abstractNum w:abstractNumId="66">
    <w:nsid w:val="488AC1A"/>
    <w:multiLevelType w:val="hybridMultilevel"/>
    <w:lvl w:ilvl="0">
      <w:lvlJc w:val="left"/>
      <w:lvlText w:val="•"/>
      <w:numFmt w:val="bullet"/>
      <w:start w:val="1"/>
    </w:lvl>
    <w:lvl w:ilvl="1">
      <w:lvlJc w:val="left"/>
      <w:lvlText w:val="•"/>
      <w:numFmt w:val="bullet"/>
      <w:start w:val="1"/>
    </w:lvl>
  </w:abstractNum>
  <w:abstractNum w:abstractNumId="67">
    <w:nsid w:val="5FB8011C"/>
    <w:multiLevelType w:val="hybridMultilevel"/>
    <w:lvl w:ilvl="0">
      <w:lvlJc w:val="left"/>
      <w:lvlText w:val="(%1)"/>
      <w:numFmt w:val="lowerRoman"/>
      <w:start w:val="1"/>
    </w:lvl>
  </w:abstractNum>
  <w:abstractNum w:abstractNumId="68">
    <w:nsid w:val="6AA78F7F"/>
    <w:multiLevelType w:val="hybridMultilevel"/>
    <w:lvl w:ilvl="0">
      <w:lvlJc w:val="left"/>
      <w:lvlText w:val="•"/>
      <w:numFmt w:val="bullet"/>
      <w:start w:val="1"/>
    </w:lvl>
  </w:abstractNum>
  <w:abstractNum w:abstractNumId="69">
    <w:nsid w:val="7672BD23"/>
    <w:multiLevelType w:val="hybridMultilevel"/>
    <w:lvl w:ilvl="0">
      <w:lvlJc w:val="left"/>
      <w:lvlText w:val="•"/>
      <w:numFmt w:val="bullet"/>
      <w:start w:val="1"/>
    </w:lvl>
  </w:abstractNum>
  <w:abstractNum w:abstractNumId="70">
    <w:nsid w:val="6FC75AF8"/>
    <w:multiLevelType w:val="hybridMultilevel"/>
    <w:lvl w:ilvl="0">
      <w:lvlJc w:val="left"/>
      <w:lvlText w:val="*"/>
      <w:numFmt w:val="bullet"/>
      <w:start w:val="1"/>
    </w:lvl>
  </w:abstractNum>
  <w:abstractNum w:abstractNumId="71">
    <w:nsid w:val="6A5F7029"/>
    <w:multiLevelType w:val="hybridMultilevel"/>
    <w:lvl w:ilvl="0">
      <w:lvlJc w:val="left"/>
      <w:lvlText w:val="(%1)"/>
      <w:numFmt w:val="decimal"/>
      <w:start w:val="1"/>
    </w:lvl>
  </w:abstractNum>
  <w:abstractNum w:abstractNumId="72">
    <w:nsid w:val="7D5E18F8"/>
    <w:multiLevelType w:val="hybridMultilevel"/>
    <w:lvl w:ilvl="0">
      <w:lvlJc w:val="left"/>
      <w:lvlText w:val="(%1)"/>
      <w:numFmt w:val="decimal"/>
      <w:start w:val="2"/>
    </w:lvl>
  </w:abstractNum>
  <w:abstractNum w:abstractNumId="73">
    <w:nsid w:val="5F3534A4"/>
    <w:multiLevelType w:val="hybridMultilevel"/>
    <w:lvl w:ilvl="0">
      <w:lvlJc w:val="left"/>
      <w:lvlText w:val="(%1)"/>
      <w:numFmt w:val="decimal"/>
      <w:start w:val="7"/>
    </w:lvl>
  </w:abstractNum>
  <w:abstractNum w:abstractNumId="74">
    <w:nsid w:val="73A1821B"/>
    <w:multiLevelType w:val="hybridMultilevel"/>
    <w:lvl w:ilvl="0">
      <w:lvlJc w:val="left"/>
      <w:lvlText w:val="*"/>
      <w:numFmt w:val="bullet"/>
      <w:start w:val="1"/>
    </w:lvl>
  </w:abstractNum>
  <w:abstractNum w:abstractNumId="75">
    <w:nsid w:val="7DE67713"/>
    <w:multiLevelType w:val="hybridMultilevel"/>
    <w:lvl w:ilvl="0">
      <w:lvlJc w:val="left"/>
      <w:lvlText w:val="(%1)"/>
      <w:numFmt w:val="decimal"/>
      <w:start w:val="1"/>
    </w:lvl>
  </w:abstractNum>
  <w:abstractNum w:abstractNumId="76">
    <w:nsid w:val="555C55B5"/>
    <w:multiLevelType w:val="hybridMultilevel"/>
    <w:lvl w:ilvl="0">
      <w:lvlJc w:val="left"/>
      <w:lvlText w:val="(%1)"/>
      <w:numFmt w:val="decimal"/>
      <w:start w:val="2"/>
    </w:lvl>
  </w:abstractNum>
  <w:abstractNum w:abstractNumId="77">
    <w:nsid w:val="3FA62ACA"/>
    <w:multiLevelType w:val="hybridMultilevel"/>
    <w:lvl w:ilvl="0">
      <w:lvlJc w:val="left"/>
      <w:lvlText w:val="*"/>
      <w:numFmt w:val="bullet"/>
      <w:start w:val="1"/>
    </w:lvl>
  </w:abstractNum>
  <w:abstractNum w:abstractNumId="78">
    <w:nsid w:val="14FCE74E"/>
    <w:multiLevelType w:val="hybridMultilevel"/>
    <w:lvl w:ilvl="0">
      <w:lvlJc w:val="left"/>
      <w:lvlText w:val="(%1)"/>
      <w:numFmt w:val="decimal"/>
      <w:start w:val="1"/>
    </w:lvl>
  </w:abstractNum>
  <w:abstractNum w:abstractNumId="79">
    <w:nsid w:val="6A3DD3E8"/>
    <w:multiLevelType w:val="hybridMultilevel"/>
    <w:lvl w:ilvl="0">
      <w:lvlJc w:val="left"/>
      <w:lvlText w:val="(%1)"/>
      <w:numFmt w:val="decimal"/>
      <w:start w:val="2"/>
    </w:lvl>
  </w:abstractNum>
  <w:abstractNum w:abstractNumId="80">
    <w:nsid w:val="71C91298"/>
    <w:multiLevelType w:val="hybridMultilevel"/>
    <w:lvl w:ilvl="0">
      <w:lvlJc w:val="left"/>
      <w:lvlText w:val="•"/>
      <w:numFmt w:val="bullet"/>
      <w:start w:val="1"/>
    </w:lvl>
  </w:abstractNum>
  <w:abstractNum w:abstractNumId="81">
    <w:nsid w:val="9DAF632"/>
    <w:multiLevelType w:val="hybridMultilevel"/>
    <w:lvl w:ilvl="0">
      <w:lvlJc w:val="left"/>
      <w:lvlText w:val="•"/>
      <w:numFmt w:val="bullet"/>
      <w:start w:val="1"/>
    </w:lvl>
  </w:abstractNum>
  <w:abstractNum w:abstractNumId="82">
    <w:nsid w:val="53299938"/>
    <w:multiLevelType w:val="hybridMultilevel"/>
    <w:lvl w:ilvl="0">
      <w:lvlJc w:val="left"/>
      <w:lvlText w:val="(%1)"/>
      <w:numFmt w:val="upperLetter"/>
      <w:start w:val="3"/>
    </w:lvl>
  </w:abstractNum>
  <w:abstractNum w:abstractNumId="83">
    <w:nsid w:val="1FBFE8E0"/>
    <w:multiLevelType w:val="hybridMultilevel"/>
    <w:lvl w:ilvl="0">
      <w:lvlJc w:val="left"/>
      <w:lvlText w:val="•"/>
      <w:numFmt w:val="bullet"/>
      <w:start w:val="1"/>
    </w:lvl>
  </w:abstractNum>
  <w:abstractNum w:abstractNumId="84">
    <w:nsid w:val="5092CA79"/>
    <w:multiLevelType w:val="hybridMultilevel"/>
    <w:lvl w:ilvl="0">
      <w:lvlJc w:val="left"/>
      <w:lvlText w:val="(%1)"/>
      <w:numFmt w:val="lowerRoman"/>
      <w:start w:val="10"/>
    </w:lvl>
  </w:abstractNum>
  <w:abstractNum w:abstractNumId="85">
    <w:nsid w:val="1D545C4D"/>
    <w:multiLevelType w:val="hybridMultilevel"/>
    <w:lvl w:ilvl="0">
      <w:lvlJc w:val="left"/>
      <w:lvlText w:val="•"/>
      <w:numFmt w:val="bullet"/>
      <w:start w:val="1"/>
    </w:lvl>
  </w:abstractNum>
  <w:abstractNum w:abstractNumId="86">
    <w:nsid w:val="59ADEA3D"/>
    <w:multiLevelType w:val="hybridMultilevel"/>
    <w:lvl w:ilvl="0">
      <w:lvlJc w:val="left"/>
      <w:lvlText w:val="•"/>
      <w:numFmt w:val="bullet"/>
      <w:start w:val="1"/>
    </w:lvl>
  </w:abstractNum>
  <w:abstractNum w:abstractNumId="87">
    <w:nsid w:val="288F1A34"/>
    <w:multiLevelType w:val="hybridMultilevel"/>
    <w:lvl w:ilvl="0">
      <w:lvlJc w:val="left"/>
      <w:lvlText w:val="•"/>
      <w:numFmt w:val="bullet"/>
      <w:start w:val="1"/>
    </w:lvl>
  </w:abstractNum>
  <w:abstractNum w:abstractNumId="88">
    <w:nsid w:val="2A155DBC"/>
    <w:multiLevelType w:val="hybridMultilevel"/>
    <w:lvl w:ilvl="0">
      <w:lvlJc w:val="left"/>
      <w:lvlText w:val="(%1)"/>
      <w:numFmt w:val="lowerRoman"/>
      <w:start w:val="1"/>
    </w:lvl>
  </w:abstractNum>
  <w:abstractNum w:abstractNumId="89">
    <w:nsid w:val="1D9F6E5F"/>
    <w:multiLevelType w:val="hybridMultilevel"/>
    <w:lvl w:ilvl="0">
      <w:lvlJc w:val="left"/>
      <w:lvlText w:val="(%1)"/>
      <w:numFmt w:val="lowerRoman"/>
      <w:start w:val="3"/>
    </w:lvl>
  </w:abstractNum>
  <w:abstractNum w:abstractNumId="90">
    <w:nsid w:val="97E1B4E"/>
    <w:multiLevelType w:val="hybridMultilevel"/>
    <w:lvl w:ilvl="0">
      <w:lvlJc w:val="left"/>
      <w:lvlText w:val="•"/>
      <w:numFmt w:val="bullet"/>
      <w:start w:val="1"/>
    </w:lvl>
  </w:abstractNum>
  <w:abstractNum w:abstractNumId="91">
    <w:nsid w:val="51088277"/>
    <w:multiLevelType w:val="hybridMultilevel"/>
    <w:lvl w:ilvl="0">
      <w:lvlJc w:val="left"/>
      <w:lvlText w:val="•"/>
      <w:numFmt w:val="bullet"/>
      <w:start w:val="1"/>
    </w:lvl>
  </w:abstractNum>
  <w:abstractNum w:abstractNumId="92">
    <w:nsid w:val="1CA0C5FA"/>
    <w:multiLevelType w:val="hybridMultilevel"/>
    <w:lvl w:ilvl="0">
      <w:lvlJc w:val="left"/>
      <w:lvlText w:val="(%1)"/>
      <w:numFmt w:val="lowerLetter"/>
      <w:start w:val="1"/>
    </w:lvl>
  </w:abstractNum>
  <w:abstractNum w:abstractNumId="93">
    <w:nsid w:val="53584BCB"/>
    <w:multiLevelType w:val="hybridMultilevel"/>
    <w:lvl w:ilvl="0">
      <w:lvlJc w:val="left"/>
      <w:lvlText w:val="(%1)"/>
      <w:numFmt w:val="lowerLetter"/>
      <w:start w:val="1"/>
    </w:lvl>
  </w:abstractNum>
  <w:abstractNum w:abstractNumId="94">
    <w:nsid w:val="415E286C"/>
    <w:multiLevelType w:val="hybridMultilevel"/>
    <w:lvl w:ilvl="0">
      <w:lvlJc w:val="left"/>
      <w:lvlText w:val="•"/>
      <w:numFmt w:val="bullet"/>
      <w:start w:val="1"/>
    </w:lvl>
    <w:lvl w:ilvl="1">
      <w:lvlJc w:val="left"/>
      <w:lvlText w:val="(%2)"/>
      <w:numFmt w:val="decimal"/>
      <w:start w:val="30"/>
    </w:lvl>
  </w:abstractNum>
  <w:abstractNum w:abstractNumId="95">
    <w:nsid w:val="7C58FD05"/>
    <w:multiLevelType w:val="hybridMultilevel"/>
    <w:lvl w:ilvl="0">
      <w:lvlJc w:val="left"/>
      <w:lvlText w:val="•"/>
      <w:numFmt w:val="bullet"/>
      <w:start w:val="1"/>
    </w:lvl>
  </w:abstractNum>
  <w:abstractNum w:abstractNumId="96">
    <w:nsid w:val="23D86AAC"/>
    <w:multiLevelType w:val="hybridMultilevel"/>
    <w:lvl w:ilvl="0">
      <w:lvlJc w:val="left"/>
      <w:lvlText w:val="(%1)"/>
      <w:numFmt w:val="lowerRoman"/>
      <w:start w:val="2"/>
    </w:lvl>
  </w:abstractNum>
  <w:abstractNum w:abstractNumId="97">
    <w:nsid w:val="45E6D486"/>
    <w:multiLevelType w:val="hybridMultilevel"/>
    <w:lvl w:ilvl="0">
      <w:lvlJc w:val="left"/>
      <w:lvlText w:val="(%1)"/>
      <w:numFmt w:val="lowerRoman"/>
      <w:start w:val="2"/>
    </w:lvl>
  </w:abstractNum>
  <w:abstractNum w:abstractNumId="98">
    <w:nsid w:val="5C10FE21"/>
    <w:multiLevelType w:val="hybridMultilevel"/>
    <w:lvl w:ilvl="0">
      <w:lvlJc w:val="left"/>
      <w:lvlText w:val="•"/>
      <w:numFmt w:val="bullet"/>
      <w:start w:val="1"/>
    </w:lvl>
  </w:abstractNum>
  <w:abstractNum w:abstractNumId="99">
    <w:nsid w:val="E7FFA2B"/>
    <w:multiLevelType w:val="hybridMultilevel"/>
    <w:lvl w:ilvl="0">
      <w:lvlJc w:val="left"/>
      <w:lvlText w:val="•"/>
      <w:numFmt w:val="bullet"/>
      <w:start w:val="1"/>
    </w:lvl>
  </w:abstractNum>
  <w:abstractNum w:abstractNumId="100">
    <w:nsid w:val="3C5991AA"/>
    <w:multiLevelType w:val="hybridMultilevel"/>
    <w:lvl w:ilvl="0">
      <w:lvlJc w:val="left"/>
      <w:lvlText w:val="•"/>
      <w:numFmt w:val="bullet"/>
      <w:start w:val="1"/>
    </w:lvl>
    <w:lvl w:ilvl="1">
      <w:lvlJc w:val="left"/>
      <w:lvlText w:val="•"/>
      <w:numFmt w:val="bullet"/>
      <w:start w:val="1"/>
    </w:lvl>
  </w:abstractNum>
  <w:abstractNum w:abstractNumId="101">
    <w:nsid w:val="4BD8591A"/>
    <w:multiLevelType w:val="hybridMultilevel"/>
    <w:lvl w:ilvl="0">
      <w:lvlJc w:val="left"/>
      <w:lvlText w:val="•"/>
      <w:numFmt w:val="bullet"/>
      <w:start w:val="1"/>
    </w:lvl>
  </w:abstractNum>
  <w:abstractNum w:abstractNumId="102">
    <w:nsid w:val="78DF6A55"/>
    <w:multiLevelType w:val="hybridMultilevel"/>
    <w:lvl w:ilvl="0">
      <w:lvlJc w:val="left"/>
      <w:lvlText w:val="(%1)"/>
      <w:numFmt w:val="lowerRoman"/>
      <w:start w:val="1"/>
    </w:lvl>
    <w:lvl w:ilvl="1">
      <w:lvlJc w:val="left"/>
      <w:lvlText w:val="•"/>
      <w:numFmt w:val="bullet"/>
      <w:start w:val="1"/>
    </w:lvl>
  </w:abstractNum>
  <w:abstractNum w:abstractNumId="103">
    <w:nsid w:val="39B7AAA2"/>
    <w:multiLevelType w:val="hybridMultilevel"/>
    <w:lvl w:ilvl="0">
      <w:lvlJc w:val="left"/>
      <w:lvlText w:val="(%1)"/>
      <w:numFmt w:val="lowerLetter"/>
      <w:start w:val="1"/>
    </w:lvl>
  </w:abstractNum>
  <w:abstractNum w:abstractNumId="104">
    <w:nsid w:val="2B0D8DBE"/>
    <w:multiLevelType w:val="hybridMultilevel"/>
    <w:lvl w:ilvl="0">
      <w:lvlJc w:val="left"/>
      <w:lvlText w:val="(%1)"/>
      <w:numFmt w:val="lowerLetter"/>
      <w:start w:val="5"/>
    </w:lvl>
  </w:abstractNum>
  <w:abstractNum w:abstractNumId="105">
    <w:nsid w:val="6C80EC70"/>
    <w:multiLevelType w:val="hybridMultilevel"/>
    <w:lvl w:ilvl="0">
      <w:lvlJc w:val="left"/>
      <w:lvlText w:val="(%1)"/>
      <w:numFmt w:val="lowerLetter"/>
      <w:start w:val="1"/>
    </w:lvl>
  </w:abstractNum>
  <w:abstractNum w:abstractNumId="106">
    <w:nsid w:val="379E21B5"/>
    <w:multiLevelType w:val="hybridMultilevel"/>
    <w:lvl w:ilvl="0">
      <w:lvlJc w:val="left"/>
      <w:lvlText w:val="(%1)"/>
      <w:numFmt w:val="lowerRoman"/>
      <w:start w:val="1"/>
    </w:lvl>
  </w:abstractNum>
  <w:abstractNum w:abstractNumId="107">
    <w:nsid w:val="69E373"/>
    <w:multiLevelType w:val="hybridMultilevel"/>
    <w:lvl w:ilvl="0">
      <w:lvlJc w:val="left"/>
      <w:lvlText w:val="(%1)"/>
      <w:numFmt w:val="lowerRoman"/>
      <w:start w:val="3"/>
    </w:lvl>
  </w:abstractNum>
  <w:abstractNum w:abstractNumId="108">
    <w:nsid w:val="2C27173B"/>
    <w:multiLevelType w:val="hybridMultilevel"/>
    <w:lvl w:ilvl="0">
      <w:lvlJc w:val="left"/>
      <w:lvlText w:val="(%1)"/>
      <w:numFmt w:val="lowerLetter"/>
      <w:start w:val="1"/>
    </w:lvl>
  </w:abstractNum>
  <w:abstractNum w:abstractNumId="109">
    <w:nsid w:val="4C9B0904"/>
    <w:multiLevelType w:val="hybridMultilevel"/>
    <w:lvl w:ilvl="0">
      <w:lvlJc w:val="left"/>
      <w:lvlText w:val="*"/>
      <w:numFmt w:val="bullet"/>
      <w:start w:val="1"/>
    </w:lvl>
  </w:abstractNum>
  <w:abstractNum w:abstractNumId="110">
    <w:nsid w:val="6AA7B75C"/>
    <w:multiLevelType w:val="hybridMultilevel"/>
    <w:lvl w:ilvl="0">
      <w:lvlJc w:val="left"/>
      <w:lvlText w:val="*"/>
      <w:numFmt w:val="bullet"/>
      <w:start w:val="1"/>
    </w:lvl>
  </w:abstractNum>
  <w:abstractNum w:abstractNumId="111">
    <w:nsid w:val="1DF029D3"/>
    <w:multiLevelType w:val="hybridMultilevel"/>
    <w:lvl w:ilvl="0">
      <w:lvlJc w:val="left"/>
      <w:lvlText w:val="(%1)"/>
      <w:numFmt w:val="lowerLetter"/>
      <w:start w:val="1"/>
    </w:lvl>
  </w:abstractNum>
  <w:abstractNum w:abstractNumId="112">
    <w:nsid w:val="5675FF36"/>
    <w:multiLevelType w:val="hybridMultilevel"/>
    <w:lvl w:ilvl="0">
      <w:lvlJc w:val="left"/>
      <w:lvlText w:val="(%1)"/>
      <w:numFmt w:val="lowerLetter"/>
      <w:start w:val="2"/>
    </w:lvl>
  </w:abstractNum>
  <w:abstractNum w:abstractNumId="113">
    <w:nsid w:val="3DD15094"/>
    <w:multiLevelType w:val="hybridMultilevel"/>
    <w:lvl w:ilvl="0">
      <w:lvlJc w:val="left"/>
      <w:lvlText w:val="(%1)"/>
      <w:numFmt w:val="lowerLetter"/>
      <w:start w:val="1"/>
    </w:lvl>
  </w:abstractNum>
  <w:abstractNum w:abstractNumId="114">
    <w:nsid w:val="3DB012B3"/>
    <w:multiLevelType w:val="hybridMultilevel"/>
    <w:lvl w:ilvl="0">
      <w:lvlJc w:val="left"/>
      <w:lvlText w:val=" "/>
      <w:numFmt w:val="bullet"/>
      <w:start w:val="1"/>
    </w:lvl>
  </w:abstractNum>
  <w:abstractNum w:abstractNumId="115">
    <w:nsid w:val="2708C9AF"/>
    <w:multiLevelType w:val="hybridMultilevel"/>
    <w:lvl w:ilvl="0">
      <w:lvlJc w:val="left"/>
      <w:lvlText w:val=" "/>
      <w:numFmt w:val="bullet"/>
      <w:start w:val="1"/>
    </w:lvl>
  </w:abstractNum>
  <w:abstractNum w:abstractNumId="116">
    <w:nsid w:val="5B25ACE2"/>
    <w:multiLevelType w:val="hybridMultilevel"/>
    <w:lvl w:ilvl="0">
      <w:lvlJc w:val="left"/>
      <w:lvlText w:val=" "/>
      <w:numFmt w:val="bullet"/>
      <w:start w:val="1"/>
    </w:lvl>
  </w:abstractNum>
  <w:abstractNum w:abstractNumId="117">
    <w:nsid w:val="175DFCF0"/>
    <w:multiLevelType w:val="hybridMultilevel"/>
    <w:lvl w:ilvl="0">
      <w:lvlJc w:val="left"/>
      <w:lvlText w:val=" "/>
      <w:numFmt w:val="bullet"/>
      <w:start w:val="1"/>
    </w:lvl>
  </w:abstractNum>
  <w:abstractNum w:abstractNumId="118">
    <w:nsid w:val="4F97E3E4"/>
    <w:multiLevelType w:val="hybridMultilevel"/>
    <w:lvl w:ilvl="0">
      <w:lvlJc w:val="left"/>
      <w:lvlText w:val=" "/>
      <w:numFmt w:val="bullet"/>
      <w:start w:val="1"/>
    </w:lvl>
  </w:abstractNum>
  <w:abstractNum w:abstractNumId="119">
    <w:nsid w:val="53B0A9E"/>
    <w:multiLevelType w:val="hybridMultilevel"/>
    <w:lvl w:ilvl="0">
      <w:lvlJc w:val="left"/>
      <w:lvlText w:val=" "/>
      <w:numFmt w:val="bullet"/>
      <w:start w:val="1"/>
    </w:lvl>
  </w:abstractNum>
  <w:abstractNum w:abstractNumId="120">
    <w:nsid w:val="34FD6B4F"/>
    <w:multiLevelType w:val="hybridMultilevel"/>
    <w:lvl w:ilvl="0">
      <w:lvlJc w:val="left"/>
      <w:lvlText w:val=" "/>
      <w:numFmt w:val="bullet"/>
      <w:start w:val="1"/>
    </w:lvl>
  </w:abstractNum>
  <w:abstractNum w:abstractNumId="121">
    <w:nsid w:val="5915FF32"/>
    <w:multiLevelType w:val="hybridMultilevel"/>
    <w:lvl w:ilvl="0">
      <w:lvlJc w:val="left"/>
      <w:lvlText w:val="†"/>
      <w:numFmt w:val="bullet"/>
      <w:start w:val="1"/>
    </w:lvl>
  </w:abstractNum>
  <w:abstractNum w:abstractNumId="122">
    <w:nsid w:val="56438D15"/>
    <w:multiLevelType w:val="hybridMultilevel"/>
    <w:lvl w:ilvl="0">
      <w:lvlJc w:val="left"/>
      <w:lvlText w:val="*"/>
      <w:numFmt w:val="bullet"/>
      <w:start w:val="1"/>
    </w:lvl>
  </w:abstractNum>
  <w:abstractNum w:abstractNumId="123">
    <w:nsid w:val="519E3149"/>
    <w:multiLevelType w:val="hybridMultilevel"/>
    <w:lvl w:ilvl="0">
      <w:lvlJc w:val="left"/>
      <w:lvlText w:val="(%1)"/>
      <w:numFmt w:val="lowerLetter"/>
      <w:start w:val="2"/>
    </w:lvl>
  </w:abstractNum>
  <w:abstractNum w:abstractNumId="124">
    <w:nsid w:val="2C6E4AFD"/>
    <w:multiLevelType w:val="hybridMultilevel"/>
    <w:lvl w:ilvl="0">
      <w:lvlJc w:val="left"/>
      <w:lvlText w:val="(%1)"/>
      <w:numFmt w:val="decimal"/>
      <w:start w:val="1"/>
    </w:lvl>
  </w:abstractNum>
  <w:abstractNum w:abstractNumId="125">
    <w:nsid w:val="17A1B582"/>
    <w:multiLevelType w:val="hybridMultilevel"/>
    <w:lvl w:ilvl="0">
      <w:lvlJc w:val="left"/>
      <w:lvlText w:val="(%1)"/>
      <w:numFmt w:val="lowerRoman"/>
      <w:start w:val="3"/>
    </w:lvl>
    <w:lvl w:ilvl="1">
      <w:lvlJc w:val="left"/>
      <w:lvlText w:val="(%2)"/>
      <w:numFmt w:val="decimal"/>
      <w:start w:val="2"/>
    </w:lvl>
  </w:abstractNum>
  <w:abstractNum w:abstractNumId="126">
    <w:nsid w:val="4DF72E4E"/>
    <w:multiLevelType w:val="hybridMultilevel"/>
    <w:lvl w:ilvl="0">
      <w:lvlJc w:val="left"/>
      <w:lvlText w:val="(%1)"/>
      <w:numFmt w:val="decimal"/>
      <w:start w:val="5"/>
    </w:lvl>
    <w:lvl w:ilvl="1">
      <w:lvlJc w:val="left"/>
      <w:lvlText w:val="(%2)"/>
      <w:numFmt w:val="lowerLetter"/>
      <w:start w:val="1"/>
    </w:lvl>
  </w:abstractNum>
  <w:abstractNum w:abstractNumId="127">
    <w:nsid w:val="5046B5A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37" Type="http://schemas.openxmlformats.org/officeDocument/2006/relationships/image" Target="media/image322.png"/><Relationship Id="rId357" Type="http://schemas.openxmlformats.org/officeDocument/2006/relationships/image" Target="media/image323.png"/><Relationship Id="rId358" Type="http://schemas.openxmlformats.org/officeDocument/2006/relationships/image" Target="media/image324.png"/><Relationship Id="rId359" Type="http://schemas.openxmlformats.org/officeDocument/2006/relationships/image" Target="media/image325.png"/><Relationship Id="rId369" Type="http://schemas.openxmlformats.org/officeDocument/2006/relationships/image" Target="media/image326.png"/><Relationship Id="rId370" Type="http://schemas.openxmlformats.org/officeDocument/2006/relationships/image" Target="media/image327.png"/><Relationship Id="rId371" Type="http://schemas.openxmlformats.org/officeDocument/2006/relationships/image" Target="media/image328.png"/><Relationship Id="rId372" Type="http://schemas.openxmlformats.org/officeDocument/2006/relationships/image" Target="media/image329.png"/><Relationship Id="rId373" Type="http://schemas.openxmlformats.org/officeDocument/2006/relationships/image" Target="media/image330.jpeg"/><Relationship Id="rId374" Type="http://schemas.openxmlformats.org/officeDocument/2006/relationships/image" Target="media/image331.png"/><Relationship Id="rId375" Type="http://schemas.openxmlformats.org/officeDocument/2006/relationships/image" Target="media/image332.jpeg"/><Relationship Id="rId329" Type="http://schemas.openxmlformats.org/officeDocument/2006/relationships/hyperlink" Target="http://www.sec.gov/ix?doc=/Archives/edgar/data/1871638/000110465924080933/brkh-20240331xs4.htm" TargetMode="External"/><Relationship Id="rId330" Type="http://schemas.openxmlformats.org/officeDocument/2006/relationships/hyperlink" Target="http://www.sec.gov/Archives/edgar/data/1871638/000110465924112666/tm2418197-13_s4a.htm#tANNEXA3" TargetMode="External"/><Relationship Id="rId331" Type="http://schemas.openxmlformats.org/officeDocument/2006/relationships/hyperlink" Target="http://www.sec.gov/Archives/edgar/data/1871638/000110465924122026/tm2418197-20_s4a.htm#tANNEXA4" TargetMode="External"/><Relationship Id="rId332" Type="http://schemas.openxmlformats.org/officeDocument/2006/relationships/hyperlink" Target="http://www.sec.gov/Archives/edgar/data/1871638/000119312525008517/d903961dex31.htm" TargetMode="External"/><Relationship Id="rId333" Type="http://schemas.openxmlformats.org/officeDocument/2006/relationships/hyperlink" Target="http://www.sec.gov/Archives/edgar/data/1871638/000119312525008517/d903961dex32.htm" TargetMode="External"/><Relationship Id="rId334" Type="http://schemas.openxmlformats.org/officeDocument/2006/relationships/hyperlink" Target="http://www.sec.gov/Archives/edgar/data/1871638/000110465921141949/tm2124406d5_ex4-2.htm" TargetMode="External"/><Relationship Id="rId335" Type="http://schemas.openxmlformats.org/officeDocument/2006/relationships/hyperlink" Target="http://www.sec.gov/Archives/edgar/data/1871638/000110465921141949/tm2124406d5_ex4-3.htm" TargetMode="External"/><Relationship Id="rId336" Type="http://schemas.openxmlformats.org/officeDocument/2006/relationships/hyperlink" Target="http://www.sec.gov/Archives/edgar/data/1871638/000110465921150569/tm2135631d1_ex4-1.htm" TargetMode="External"/><Relationship Id="rId338" Type="http://schemas.openxmlformats.org/officeDocument/2006/relationships/hyperlink" Target="http://www.sec.gov/Archives/edgar/data/1871638/000119312525008517/d903961dex101.htm" TargetMode="External"/><Relationship Id="rId339" Type="http://schemas.openxmlformats.org/officeDocument/2006/relationships/hyperlink" Target="http://www.sec.gov/Archives/edgar/data/1871638/000110465921150569/tm2135631d1_ex10-2.htm" TargetMode="External"/><Relationship Id="rId340" Type="http://schemas.openxmlformats.org/officeDocument/2006/relationships/hyperlink" Target="http://www.sec.gov/Archives/edgar/data/1871638/000119312525008517/d903961dex103.htm" TargetMode="External"/><Relationship Id="rId341" Type="http://schemas.openxmlformats.org/officeDocument/2006/relationships/hyperlink" Target="http://www.sec.gov/Archives/edgar/data/1871638/000119312525008517/d903961dex104.htm" TargetMode="External"/><Relationship Id="rId342" Type="http://schemas.openxmlformats.org/officeDocument/2006/relationships/hyperlink" Target="http://www.sec.gov/Archives/edgar/data/1871638/000119312525008517/d903961dex105.htm" TargetMode="External"/><Relationship Id="rId343" Type="http://schemas.openxmlformats.org/officeDocument/2006/relationships/hyperlink" Target="http://www.sec.gov/Archives/edgar/data/1871638/000119312525008517/d903961dex106.htm" TargetMode="External"/><Relationship Id="rId344" Type="http://schemas.openxmlformats.org/officeDocument/2006/relationships/hyperlink" Target="http://www.sec.gov/Archives/edgar/data/1871638/000119312525008517/d903961dex107.htm" TargetMode="External"/><Relationship Id="rId345" Type="http://schemas.openxmlformats.org/officeDocument/2006/relationships/hyperlink" Target="http://www.sec.gov/Archives/edgar/data/1871638/000119312525008517/d903961dex108.htm" TargetMode="External"/><Relationship Id="rId346" Type="http://schemas.openxmlformats.org/officeDocument/2006/relationships/hyperlink" Target="http://www.sec.gov/Archives/edgar/data/1871638/000110465924132802/tm2431152d1_ex10-1.htm" TargetMode="External"/><Relationship Id="rId347" Type="http://schemas.openxmlformats.org/officeDocument/2006/relationships/hyperlink" Target="http://www.sec.gov/Archives/edgar/data/1871638/000110465925001763/tm252173d1_ex10-1.htm" TargetMode="External"/><Relationship Id="rId348" Type="http://schemas.openxmlformats.org/officeDocument/2006/relationships/hyperlink" Target="http://www.sec.gov/Archives/edgar/data/1871638/000119312525008517/d903961dex1011.htm" TargetMode="External"/><Relationship Id="rId349" Type="http://schemas.openxmlformats.org/officeDocument/2006/relationships/hyperlink" Target="http://www.sec.gov/Archives/edgar/data/1871638/000119312525008517/d903961dex1012.htm" TargetMode="External"/><Relationship Id="rId350" Type="http://schemas.openxmlformats.org/officeDocument/2006/relationships/hyperlink" Target="http://www.sec.gov/Archives/edgar/data/1871638/000119312525008517/d903961dex1013.htm" TargetMode="External"/><Relationship Id="rId351" Type="http://schemas.openxmlformats.org/officeDocument/2006/relationships/hyperlink" Target="http://www.sec.gov/Archives/edgar/data/1871638/000119312525008517/d903961dex1014.htm" TargetMode="External"/><Relationship Id="rId352" Type="http://schemas.openxmlformats.org/officeDocument/2006/relationships/hyperlink" Target="http://www.sec.gov/Archives/edgar/data/1871638/000119312525008517/d903961dex1015.htm" TargetMode="External"/><Relationship Id="rId353" Type="http://schemas.openxmlformats.org/officeDocument/2006/relationships/hyperlink" Target="http://www.sec.gov/Archives/edgar/data/1871638/000119312525008517/d903961dex1016.htm" TargetMode="External"/><Relationship Id="rId354" Type="http://schemas.openxmlformats.org/officeDocument/2006/relationships/hyperlink" Target="http://www.sec.gov/Archives/edgar/data/1871638/000119312525008517/d903961dex1017.htm" TargetMode="External"/><Relationship Id="rId355" Type="http://schemas.openxmlformats.org/officeDocument/2006/relationships/hyperlink" Target="http://www.sec.gov/Archives/edgar/data/1871638/000119312525008517/d903961dex1018.htm" TargetMode="External"/><Relationship Id="rId356" Type="http://schemas.openxmlformats.org/officeDocument/2006/relationships/hyperlink" Target="http://www.sec.gov/Archives/edgar/data/1871638/000119312525008517/d903961dex1019.htm" TargetMode="External"/><Relationship Id="rId360" Type="http://schemas.openxmlformats.org/officeDocument/2006/relationships/hyperlink" Target="http://www.sec.gov/Archives/edgar/data/1871638/000119312525008517/d903961dex1020.htm" TargetMode="External"/><Relationship Id="rId361" Type="http://schemas.openxmlformats.org/officeDocument/2006/relationships/hyperlink" Target="http://www.sec.gov/Archives/edgar/data/1871638/000119312525008517/d903961dex1021.htm" TargetMode="External"/><Relationship Id="rId362" Type="http://schemas.openxmlformats.org/officeDocument/2006/relationships/hyperlink" Target="http://www.sec.gov/Archives/edgar/data/1871638/000119312525008517/d903961dex1022.htm" TargetMode="External"/><Relationship Id="rId363" Type="http://schemas.openxmlformats.org/officeDocument/2006/relationships/hyperlink" Target="http://www.sec.gov/Archives/edgar/data/1871638/000119312525158997/d13627dex102.htm" TargetMode="External"/><Relationship Id="rId364" Type="http://schemas.openxmlformats.org/officeDocument/2006/relationships/hyperlink" Target="http://www.sec.gov/Archives/edgar/data/1871638/000119312525158997/d13627dex101.htm" TargetMode="External"/><Relationship Id="rId365" Type="http://schemas.openxmlformats.org/officeDocument/2006/relationships/hyperlink" Target="http://www.sec.gov/Archives/edgar/data/1871638/000119312525152119/d868639dex101.htm" TargetMode="External"/><Relationship Id="rId366" Type="http://schemas.openxmlformats.org/officeDocument/2006/relationships/hyperlink" Target="http://www.sec.gov/Archives/edgar/data/1871638/000119312525008517/d903961dex211.htm" TargetMode="External"/><Relationship Id="rId367" Type="http://schemas.openxmlformats.org/officeDocument/2006/relationships/hyperlink" Target="http://www.sec.gov/Archives/edgar/data/1871638/000119312525160671/d944597ds1.htm#sig" TargetMode="External"/><Relationship Id="rId368" Type="http://schemas.openxmlformats.org/officeDocument/2006/relationships/hyperlink" Target="http://www.sec.gov/Archives/edgar/data/1871638/000119312525160671/d944597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2025-08-01T15:41:28Z</dcterms:created>
  <dcterms:modified xsi:type="dcterms:W3CDTF">2025-08-01T15:41:28Z</dcterms:modified>
</cp:coreProperties>
</file>