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50367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3670" cy="317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394335</wp:posOffset>
            </wp:positionV>
            <wp:extent cx="6503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3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36" w:lineRule="exact"/>
        <w:rPr>
          <w:sz w:val="24"/>
          <w:szCs w:val="24"/>
          <w:color w:val="auto"/>
        </w:rPr>
      </w:pPr>
    </w:p>
    <w:p>
      <w:pPr>
        <w:ind w:left="4720"/>
        <w:spacing w:after="0"/>
        <w:rPr>
          <w:sz w:val="20"/>
          <w:szCs w:val="20"/>
          <w:color w:val="auto"/>
        </w:rPr>
      </w:pPr>
      <w:r>
        <w:rPr>
          <w:rFonts w:ascii="Arial" w:cs="Arial" w:eastAsia="Arial" w:hAnsi="Arial"/>
          <w:sz w:val="15"/>
          <w:szCs w:val="15"/>
          <w:b w:val="1"/>
          <w:bCs w:val="1"/>
          <w:color w:val="auto"/>
        </w:rPr>
        <w:t>FORM 10-Q</w:t>
      </w:r>
    </w:p>
    <w:p>
      <w:pPr>
        <w:spacing w:after="0" w:line="154" w:lineRule="exact"/>
        <w:rPr>
          <w:sz w:val="24"/>
          <w:szCs w:val="24"/>
          <w:color w:val="auto"/>
        </w:rPr>
      </w:pPr>
    </w:p>
    <w:p>
      <w:pPr>
        <w:ind w:left="4740"/>
        <w:spacing w:after="0"/>
        <w:rPr>
          <w:sz w:val="20"/>
          <w:szCs w:val="20"/>
          <w:color w:val="auto"/>
        </w:rPr>
      </w:pPr>
      <w:r>
        <w:rPr>
          <w:rFonts w:ascii="Arial" w:cs="Arial" w:eastAsia="Arial" w:hAnsi="Arial"/>
          <w:sz w:val="15"/>
          <w:szCs w:val="15"/>
          <w:b w:val="1"/>
          <w:bCs w:val="1"/>
          <w:color w:val="auto"/>
        </w:rPr>
        <w:t>(Mark One)</w:t>
      </w:r>
    </w:p>
    <w:p>
      <w:pPr>
        <w:spacing w:after="0" w:line="104" w:lineRule="exact"/>
        <w:rPr>
          <w:sz w:val="24"/>
          <w:szCs w:val="24"/>
          <w:color w:val="auto"/>
        </w:rPr>
      </w:pPr>
    </w:p>
    <w:p>
      <w:pPr>
        <w:ind w:left="3660" w:right="2940" w:hanging="3657"/>
        <w:spacing w:after="0" w:line="454" w:lineRule="auto"/>
        <w:tabs>
          <w:tab w:leader="none" w:pos="173"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UNDER SECTION 13 OR 15(d) OF THE SECURITIES EXCHANGE ACT OF 1934 For the quarterly period ended June 30, 2022</w:t>
      </w:r>
    </w:p>
    <w:p>
      <w:pPr>
        <w:spacing w:after="0" w:line="26" w:lineRule="exact"/>
        <w:rPr>
          <w:sz w:val="24"/>
          <w:szCs w:val="24"/>
          <w:color w:val="auto"/>
        </w:rPr>
      </w:pPr>
    </w:p>
    <w:p>
      <w:pPr>
        <w:ind w:left="180" w:hanging="177"/>
        <w:spacing w:after="0"/>
        <w:tabs>
          <w:tab w:leader="none" w:pos="1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157" w:lineRule="exact"/>
        <w:rPr>
          <w:sz w:val="24"/>
          <w:szCs w:val="24"/>
          <w:color w:val="auto"/>
        </w:rPr>
      </w:pPr>
    </w:p>
    <w:tbl>
      <w:tblPr>
        <w:tblLayout w:type="fixed"/>
        <w:tblInd w:w="3420" w:type="dxa"/>
        <w:tblCellMar>
          <w:top w:w="0" w:type="dxa"/>
          <w:left w:w="0" w:type="dxa"/>
          <w:bottom w:w="0" w:type="dxa"/>
          <w:right w:w="0" w:type="dxa"/>
        </w:tblCellMar>
      </w:tblPr>
      <w:tr>
        <w:trPr>
          <w:trHeight w:val="172"/>
        </w:trPr>
        <w:tc>
          <w:tcPr>
            <w:tcW w:w="1960" w:type="dxa"/>
            <w:vAlign w:val="bottom"/>
          </w:tcPr>
          <w:p>
            <w:pPr>
              <w:spacing w:after="0"/>
              <w:rPr>
                <w:sz w:val="20"/>
                <w:szCs w:val="20"/>
                <w:color w:val="auto"/>
              </w:rPr>
            </w:pPr>
            <w:r>
              <w:rPr>
                <w:rFonts w:ascii="Arial" w:cs="Arial" w:eastAsia="Arial" w:hAnsi="Arial"/>
                <w:sz w:val="15"/>
                <w:szCs w:val="15"/>
                <w:b w:val="1"/>
                <w:bCs w:val="1"/>
                <w:color w:val="auto"/>
                <w:w w:val="91"/>
              </w:rPr>
              <w:t>For the transition period from</w:t>
            </w:r>
          </w:p>
        </w:tc>
        <w:tc>
          <w:tcPr>
            <w:tcW w:w="6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5"/>
                <w:szCs w:val="15"/>
                <w:b w:val="1"/>
                <w:bCs w:val="1"/>
                <w:color w:val="auto"/>
              </w:rPr>
              <w:t>to</w:t>
            </w:r>
          </w:p>
        </w:tc>
      </w:tr>
      <w:tr>
        <w:trPr>
          <w:trHeight w:val="20"/>
        </w:trPr>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351"/>
        </w:trPr>
        <w:tc>
          <w:tcPr>
            <w:tcW w:w="3400" w:type="dxa"/>
            <w:vAlign w:val="bottom"/>
            <w:gridSpan w:val="4"/>
          </w:tcPr>
          <w:p>
            <w:pPr>
              <w:ind w:left="540"/>
              <w:spacing w:after="0"/>
              <w:rPr>
                <w:sz w:val="20"/>
                <w:szCs w:val="20"/>
                <w:color w:val="auto"/>
              </w:rPr>
            </w:pPr>
            <w:r>
              <w:rPr>
                <w:rFonts w:ascii="Arial" w:cs="Arial" w:eastAsia="Arial" w:hAnsi="Arial"/>
                <w:sz w:val="15"/>
                <w:szCs w:val="15"/>
                <w:b w:val="1"/>
                <w:bCs w:val="1"/>
                <w:color w:val="auto"/>
              </w:rPr>
              <w:t>Commission File Number 001-41139</w:t>
            </w:r>
          </w:p>
        </w:tc>
      </w:tr>
    </w:tbl>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480" w:type="dxa"/>
            <w:vAlign w:val="bottom"/>
          </w:tcPr>
          <w:p>
            <w:pPr>
              <w:spacing w:after="0"/>
              <w:rPr>
                <w:sz w:val="22"/>
                <w:szCs w:val="22"/>
                <w:color w:val="auto"/>
              </w:rPr>
            </w:pPr>
          </w:p>
        </w:tc>
        <w:tc>
          <w:tcPr>
            <w:tcW w:w="6760" w:type="dxa"/>
            <w:vAlign w:val="bottom"/>
            <w:gridSpan w:val="3"/>
          </w:tcPr>
          <w:p>
            <w:pPr>
              <w:ind w:left="120"/>
              <w:spacing w:after="0"/>
              <w:rPr>
                <w:sz w:val="20"/>
                <w:szCs w:val="20"/>
                <w:color w:val="auto"/>
              </w:rPr>
            </w:pPr>
            <w:r>
              <w:rPr>
                <w:rFonts w:ascii="Arial" w:cs="Arial" w:eastAsia="Arial" w:hAnsi="Arial"/>
                <w:sz w:val="20"/>
                <w:szCs w:val="20"/>
                <w:b w:val="1"/>
                <w:bCs w:val="1"/>
                <w:color w:val="auto"/>
              </w:rPr>
              <w:t>BURTECH ACQUISITION CORP.</w:t>
            </w:r>
          </w:p>
        </w:tc>
      </w:tr>
      <w:tr>
        <w:trPr>
          <w:trHeight w:val="273"/>
        </w:trPr>
        <w:tc>
          <w:tcPr>
            <w:tcW w:w="3480" w:type="dxa"/>
            <w:vAlign w:val="bottom"/>
          </w:tcPr>
          <w:p>
            <w:pPr>
              <w:spacing w:after="0"/>
              <w:rPr>
                <w:sz w:val="23"/>
                <w:szCs w:val="23"/>
                <w:color w:val="auto"/>
              </w:rPr>
            </w:pPr>
          </w:p>
        </w:tc>
        <w:tc>
          <w:tcPr>
            <w:tcW w:w="6760" w:type="dxa"/>
            <w:vAlign w:val="bottom"/>
            <w:gridSpan w:val="3"/>
          </w:tcPr>
          <w:p>
            <w:pPr>
              <w:ind w:left="80"/>
              <w:spacing w:after="0"/>
              <w:rPr>
                <w:sz w:val="20"/>
                <w:szCs w:val="20"/>
                <w:color w:val="auto"/>
              </w:rPr>
            </w:pPr>
            <w:r>
              <w:rPr>
                <w:rFonts w:ascii="Arial" w:cs="Arial" w:eastAsia="Arial" w:hAnsi="Arial"/>
                <w:sz w:val="15"/>
                <w:szCs w:val="15"/>
                <w:color w:val="auto"/>
              </w:rPr>
              <w:t>(Exact name of registrant as specified in its charter)</w:t>
            </w:r>
          </w:p>
        </w:tc>
      </w:tr>
      <w:tr>
        <w:trPr>
          <w:trHeight w:val="330"/>
        </w:trPr>
        <w:tc>
          <w:tcPr>
            <w:tcW w:w="3480" w:type="dxa"/>
            <w:vAlign w:val="bottom"/>
          </w:tcPr>
          <w:p>
            <w:pPr>
              <w:jc w:val="center"/>
              <w:ind w:left="1445"/>
              <w:spacing w:after="0"/>
              <w:rPr>
                <w:sz w:val="20"/>
                <w:szCs w:val="20"/>
                <w:color w:val="auto"/>
              </w:rPr>
            </w:pPr>
            <w:r>
              <w:rPr>
                <w:rFonts w:ascii="Arial" w:cs="Arial" w:eastAsia="Arial" w:hAnsi="Arial"/>
                <w:sz w:val="15"/>
                <w:szCs w:val="15"/>
                <w:b w:val="1"/>
                <w:bCs w:val="1"/>
                <w:color w:val="auto"/>
                <w:w w:val="91"/>
              </w:rPr>
              <w:t>Delaware</w:t>
            </w:r>
          </w:p>
        </w:tc>
        <w:tc>
          <w:tcPr>
            <w:tcW w:w="6760" w:type="dxa"/>
            <w:vAlign w:val="bottom"/>
            <w:gridSpan w:val="3"/>
          </w:tcPr>
          <w:p>
            <w:pPr>
              <w:jc w:val="center"/>
              <w:ind w:left="1656"/>
              <w:spacing w:after="0"/>
              <w:rPr>
                <w:sz w:val="20"/>
                <w:szCs w:val="20"/>
                <w:color w:val="auto"/>
              </w:rPr>
            </w:pPr>
            <w:r>
              <w:rPr>
                <w:rFonts w:ascii="Arial" w:cs="Arial" w:eastAsia="Arial" w:hAnsi="Arial"/>
                <w:sz w:val="15"/>
                <w:szCs w:val="15"/>
                <w:b w:val="1"/>
                <w:bCs w:val="1"/>
                <w:color w:val="auto"/>
                <w:w w:val="92"/>
              </w:rPr>
              <w:t>85-2708752</w:t>
            </w:r>
          </w:p>
        </w:tc>
      </w:tr>
      <w:tr>
        <w:trPr>
          <w:trHeight w:val="176"/>
        </w:trPr>
        <w:tc>
          <w:tcPr>
            <w:tcW w:w="3480" w:type="dxa"/>
            <w:vAlign w:val="bottom"/>
            <w:tcBorders>
              <w:top w:val="single" w:sz="8" w:color="auto"/>
            </w:tcBorders>
          </w:tcPr>
          <w:p>
            <w:pPr>
              <w:jc w:val="center"/>
              <w:ind w:left="1445"/>
              <w:spacing w:after="0"/>
              <w:rPr>
                <w:sz w:val="20"/>
                <w:szCs w:val="20"/>
                <w:color w:val="auto"/>
              </w:rPr>
            </w:pPr>
            <w:r>
              <w:rPr>
                <w:rFonts w:ascii="Arial" w:cs="Arial" w:eastAsia="Arial" w:hAnsi="Arial"/>
                <w:sz w:val="15"/>
                <w:szCs w:val="15"/>
                <w:color w:val="auto"/>
                <w:w w:val="93"/>
              </w:rPr>
              <w:t>(State or other jurisdiction of</w:t>
            </w:r>
          </w:p>
        </w:tc>
        <w:tc>
          <w:tcPr>
            <w:tcW w:w="1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(IRS Employer</w:t>
            </w:r>
          </w:p>
        </w:tc>
      </w:tr>
      <w:tr>
        <w:trPr>
          <w:trHeight w:val="190"/>
        </w:trPr>
        <w:tc>
          <w:tcPr>
            <w:tcW w:w="3480" w:type="dxa"/>
            <w:vAlign w:val="bottom"/>
          </w:tcPr>
          <w:p>
            <w:pPr>
              <w:jc w:val="center"/>
              <w:ind w:left="1465"/>
              <w:spacing w:after="0"/>
              <w:rPr>
                <w:sz w:val="20"/>
                <w:szCs w:val="20"/>
                <w:color w:val="auto"/>
              </w:rPr>
            </w:pPr>
            <w:r>
              <w:rPr>
                <w:rFonts w:ascii="Arial" w:cs="Arial" w:eastAsia="Arial" w:hAnsi="Arial"/>
                <w:sz w:val="15"/>
                <w:szCs w:val="15"/>
                <w:color w:val="auto"/>
                <w:w w:val="93"/>
              </w:rPr>
              <w:t>incorporation or organization)</w:t>
            </w: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20" w:type="dxa"/>
            <w:vAlign w:val="bottom"/>
          </w:tcPr>
          <w:p>
            <w:pPr>
              <w:jc w:val="center"/>
              <w:spacing w:after="0"/>
              <w:rPr>
                <w:sz w:val="20"/>
                <w:szCs w:val="20"/>
                <w:color w:val="auto"/>
              </w:rPr>
            </w:pPr>
            <w:r>
              <w:rPr>
                <w:rFonts w:ascii="Arial" w:cs="Arial" w:eastAsia="Arial" w:hAnsi="Arial"/>
                <w:sz w:val="15"/>
                <w:szCs w:val="15"/>
                <w:color w:val="auto"/>
                <w:w w:val="95"/>
              </w:rPr>
              <w:t>Identification No.)</w:t>
            </w:r>
          </w:p>
        </w:tc>
      </w:tr>
    </w:tbl>
    <w:p>
      <w:pPr>
        <w:spacing w:after="0" w:line="132"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1300 Pennsylvania Ave NW, Suite 700</w:t>
      </w:r>
    </w:p>
    <w:p>
      <w:pPr>
        <w:spacing w:after="0" w:line="22" w:lineRule="exact"/>
        <w:rPr>
          <w:sz w:val="24"/>
          <w:szCs w:val="24"/>
          <w:color w:val="auto"/>
        </w:rPr>
      </w:pPr>
    </w:p>
    <w:p>
      <w:pPr>
        <w:ind w:left="4340"/>
        <w:spacing w:after="0"/>
        <w:rPr>
          <w:sz w:val="20"/>
          <w:szCs w:val="20"/>
          <w:color w:val="auto"/>
        </w:rPr>
      </w:pPr>
      <w:r>
        <w:rPr>
          <w:rFonts w:ascii="Arial" w:cs="Arial" w:eastAsia="Arial" w:hAnsi="Arial"/>
          <w:sz w:val="15"/>
          <w:szCs w:val="15"/>
          <w:b w:val="1"/>
          <w:bCs w:val="1"/>
          <w:color w:val="auto"/>
        </w:rPr>
        <w:t xml:space="preserve">Washington, DC </w:t>
      </w:r>
      <w:r>
        <w:rPr>
          <w:rFonts w:ascii="Arial" w:cs="Arial" w:eastAsia="Arial" w:hAnsi="Arial"/>
          <w:sz w:val="18"/>
          <w:szCs w:val="18"/>
          <w:b w:val="1"/>
          <w:bCs w:val="1"/>
          <w:color w:val="auto"/>
        </w:rPr>
        <w:t>20004</w:t>
      </w:r>
    </w:p>
    <w:p>
      <w:pPr>
        <w:spacing w:after="0" w:line="17" w:lineRule="exact"/>
        <w:rPr>
          <w:sz w:val="24"/>
          <w:szCs w:val="24"/>
          <w:color w:val="auto"/>
        </w:rPr>
      </w:pPr>
    </w:p>
    <w:p>
      <w:pPr>
        <w:ind w:left="3520"/>
        <w:spacing w:after="0"/>
        <w:rPr>
          <w:sz w:val="20"/>
          <w:szCs w:val="20"/>
          <w:color w:val="auto"/>
        </w:rPr>
      </w:pPr>
      <w:r>
        <w:rPr>
          <w:rFonts w:ascii="Arial" w:cs="Arial" w:eastAsia="Arial" w:hAnsi="Arial"/>
          <w:sz w:val="15"/>
          <w:szCs w:val="15"/>
          <w:color w:val="auto"/>
        </w:rPr>
        <w:t>(Address of principal executive offices and zip code)</w:t>
      </w:r>
    </w:p>
    <w:p>
      <w:pPr>
        <w:spacing w:after="0" w:line="138" w:lineRule="exact"/>
        <w:rPr>
          <w:sz w:val="24"/>
          <w:szCs w:val="24"/>
          <w:color w:val="auto"/>
        </w:rPr>
      </w:pPr>
    </w:p>
    <w:p>
      <w:pPr>
        <w:ind w:left="4660"/>
        <w:spacing w:after="0"/>
        <w:rPr>
          <w:sz w:val="20"/>
          <w:szCs w:val="20"/>
          <w:color w:val="auto"/>
        </w:rPr>
      </w:pPr>
      <w:r>
        <w:rPr>
          <w:rFonts w:ascii="Arial" w:cs="Arial" w:eastAsia="Arial" w:hAnsi="Arial"/>
          <w:sz w:val="15"/>
          <w:szCs w:val="15"/>
          <w:b w:val="1"/>
          <w:bCs w:val="1"/>
          <w:color w:val="auto"/>
        </w:rPr>
        <w:t>(202) 600-5757</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w:t>
      </w:r>
    </w:p>
    <w:p>
      <w:pPr>
        <w:spacing w:after="0" w:line="22" w:lineRule="exact"/>
        <w:rPr>
          <w:sz w:val="24"/>
          <w:szCs w:val="24"/>
          <w:color w:val="auto"/>
        </w:rPr>
      </w:pPr>
    </w:p>
    <w:p>
      <w:pPr>
        <w:ind w:left="2660"/>
        <w:spacing w:after="0"/>
        <w:rPr>
          <w:sz w:val="20"/>
          <w:szCs w:val="20"/>
          <w:color w:val="auto"/>
        </w:rPr>
      </w:pPr>
      <w:r>
        <w:rPr>
          <w:rFonts w:ascii="Arial" w:cs="Arial" w:eastAsia="Arial" w:hAnsi="Arial"/>
          <w:sz w:val="15"/>
          <w:szCs w:val="15"/>
          <w:color w:val="auto"/>
        </w:rPr>
        <w:t>(Former name, former address and former fiscal year, if changed since last report)</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60" w:type="dxa"/>
            <w:vAlign w:val="bottom"/>
            <w:gridSpan w:val="2"/>
          </w:tcPr>
          <w:p>
            <w:pPr>
              <w:ind w:left="1520"/>
              <w:spacing w:after="0"/>
              <w:rPr>
                <w:sz w:val="20"/>
                <w:szCs w:val="20"/>
                <w:color w:val="auto"/>
              </w:rPr>
            </w:pPr>
            <w:r>
              <w:rPr>
                <w:rFonts w:ascii="Arial" w:cs="Arial" w:eastAsia="Arial" w:hAnsi="Arial"/>
                <w:sz w:val="15"/>
                <w:szCs w:val="15"/>
                <w:b w:val="1"/>
                <w:bCs w:val="1"/>
                <w:color w:val="auto"/>
              </w:rPr>
              <w:t>Title of each class</w:t>
            </w:r>
          </w:p>
        </w:tc>
        <w:tc>
          <w:tcPr>
            <w:tcW w:w="21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5"/>
                <w:szCs w:val="15"/>
                <w:b w:val="1"/>
                <w:bCs w:val="1"/>
                <w:color w:val="auto"/>
                <w:w w:val="88"/>
              </w:rPr>
              <w:t>Name of each exchange on which registered</w:t>
            </w:r>
          </w:p>
        </w:tc>
      </w:tr>
      <w:tr>
        <w:trPr>
          <w:trHeight w:val="176"/>
        </w:trPr>
        <w:tc>
          <w:tcPr>
            <w:tcW w:w="41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4"/>
              </w:rPr>
              <w:t>Units, each consisting of one share of Class A Common Stock and</w:t>
            </w:r>
          </w:p>
        </w:tc>
        <w:tc>
          <w:tcPr>
            <w:tcW w:w="280" w:type="dxa"/>
            <w:vAlign w:val="bottom"/>
          </w:tcPr>
          <w:p>
            <w:pPr>
              <w:spacing w:after="0"/>
              <w:rPr>
                <w:sz w:val="15"/>
                <w:szCs w:val="15"/>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rPr>
              <w:t>BRKHU</w:t>
            </w:r>
          </w:p>
        </w:tc>
        <w:tc>
          <w:tcPr>
            <w:tcW w:w="28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The Nasdaq Stock Market LLC</w:t>
            </w: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w w:val="96"/>
              </w:rPr>
              <w:t>one Redeemable Warrant to purchase one share of Class A common</w:t>
            </w: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stock for $11.50 per share</w:t>
            </w: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rPr>
              <w:t>Class A Common Stock, par value $0.0001 per share</w:t>
            </w:r>
          </w:p>
        </w:tc>
        <w:tc>
          <w:tcPr>
            <w:tcW w:w="2180" w:type="dxa"/>
            <w:vAlign w:val="bottom"/>
            <w:gridSpan w:val="2"/>
          </w:tcPr>
          <w:p>
            <w:pPr>
              <w:jc w:val="center"/>
              <w:ind w:right="280"/>
              <w:spacing w:after="0"/>
              <w:rPr>
                <w:sz w:val="20"/>
                <w:szCs w:val="20"/>
                <w:color w:val="auto"/>
              </w:rPr>
            </w:pPr>
            <w:r>
              <w:rPr>
                <w:rFonts w:ascii="Arial" w:cs="Arial" w:eastAsia="Arial" w:hAnsi="Arial"/>
                <w:sz w:val="15"/>
                <w:szCs w:val="15"/>
                <w:color w:val="auto"/>
              </w:rPr>
              <w:t>BRKH</w:t>
            </w:r>
          </w:p>
        </w:tc>
        <w:tc>
          <w:tcPr>
            <w:tcW w:w="3600" w:type="dxa"/>
            <w:vAlign w:val="bottom"/>
          </w:tcPr>
          <w:p>
            <w:pPr>
              <w:jc w:val="center"/>
              <w:spacing w:after="0"/>
              <w:rPr>
                <w:sz w:val="20"/>
                <w:szCs w:val="20"/>
                <w:color w:val="auto"/>
              </w:rPr>
            </w:pPr>
            <w:r>
              <w:rPr>
                <w:rFonts w:ascii="Arial" w:cs="Arial" w:eastAsia="Arial" w:hAnsi="Arial"/>
                <w:sz w:val="15"/>
                <w:szCs w:val="15"/>
                <w:color w:val="auto"/>
                <w:w w:val="92"/>
              </w:rPr>
              <w:t>The Nasdaq Stock Market LLC</w:t>
            </w:r>
          </w:p>
        </w:tc>
      </w:tr>
      <w:tr>
        <w:trPr>
          <w:trHeight w:val="188"/>
        </w:trPr>
        <w:tc>
          <w:tcPr>
            <w:tcW w:w="4460" w:type="dxa"/>
            <w:vAlign w:val="bottom"/>
            <w:gridSpan w:val="2"/>
          </w:tcPr>
          <w:p>
            <w:pPr>
              <w:spacing w:after="0"/>
              <w:rPr>
                <w:sz w:val="20"/>
                <w:szCs w:val="20"/>
                <w:color w:val="auto"/>
              </w:rPr>
            </w:pPr>
            <w:r>
              <w:rPr>
                <w:rFonts w:ascii="Arial" w:cs="Arial" w:eastAsia="Arial" w:hAnsi="Arial"/>
                <w:sz w:val="15"/>
                <w:szCs w:val="15"/>
                <w:color w:val="auto"/>
                <w:w w:val="97"/>
              </w:rPr>
              <w:t>Warrants, each exercisable for one share of Class A Common Stock</w:t>
            </w:r>
          </w:p>
        </w:tc>
        <w:tc>
          <w:tcPr>
            <w:tcW w:w="2180" w:type="dxa"/>
            <w:vAlign w:val="bottom"/>
            <w:gridSpan w:val="2"/>
          </w:tcPr>
          <w:p>
            <w:pPr>
              <w:jc w:val="center"/>
              <w:ind w:right="260"/>
              <w:spacing w:after="0"/>
              <w:rPr>
                <w:sz w:val="20"/>
                <w:szCs w:val="20"/>
                <w:color w:val="auto"/>
              </w:rPr>
            </w:pPr>
            <w:r>
              <w:rPr>
                <w:rFonts w:ascii="Arial" w:cs="Arial" w:eastAsia="Arial" w:hAnsi="Arial"/>
                <w:sz w:val="15"/>
                <w:szCs w:val="15"/>
                <w:color w:val="auto"/>
              </w:rPr>
              <w:t>BRKHW</w:t>
            </w:r>
          </w:p>
        </w:tc>
        <w:tc>
          <w:tcPr>
            <w:tcW w:w="3600" w:type="dxa"/>
            <w:vAlign w:val="bottom"/>
          </w:tcPr>
          <w:p>
            <w:pPr>
              <w:jc w:val="center"/>
              <w:spacing w:after="0"/>
              <w:rPr>
                <w:sz w:val="20"/>
                <w:szCs w:val="20"/>
                <w:color w:val="auto"/>
              </w:rPr>
            </w:pPr>
            <w:r>
              <w:rPr>
                <w:rFonts w:ascii="Arial" w:cs="Arial" w:eastAsia="Arial" w:hAnsi="Arial"/>
                <w:sz w:val="15"/>
                <w:szCs w:val="15"/>
                <w:color w:val="auto"/>
                <w:w w:val="92"/>
              </w:rPr>
              <w:t>The Nasdaq Stock Market LLC</w:t>
            </w:r>
          </w:p>
        </w:tc>
      </w:tr>
      <w:tr>
        <w:trPr>
          <w:trHeight w:val="190"/>
        </w:trPr>
        <w:tc>
          <w:tcPr>
            <w:tcW w:w="4460" w:type="dxa"/>
            <w:vAlign w:val="bottom"/>
            <w:gridSpan w:val="2"/>
          </w:tcPr>
          <w:p>
            <w:pPr>
              <w:spacing w:after="0"/>
              <w:rPr>
                <w:sz w:val="20"/>
                <w:szCs w:val="20"/>
                <w:color w:val="auto"/>
              </w:rPr>
            </w:pPr>
            <w:r>
              <w:rPr>
                <w:rFonts w:ascii="Arial" w:cs="Arial" w:eastAsia="Arial" w:hAnsi="Arial"/>
                <w:sz w:val="15"/>
                <w:szCs w:val="15"/>
                <w:color w:val="auto"/>
              </w:rPr>
              <w:t>for $11.50 per share</w:t>
            </w: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tcPr>
          <w:p>
            <w:pPr>
              <w:spacing w:after="0"/>
              <w:rPr>
                <w:sz w:val="16"/>
                <w:szCs w:val="16"/>
                <w:color w:val="auto"/>
              </w:rPr>
            </w:pPr>
          </w:p>
        </w:tc>
      </w:tr>
    </w:tbl>
    <w:p>
      <w:pPr>
        <w:spacing w:after="0" w:line="86" w:lineRule="exact"/>
        <w:rPr>
          <w:sz w:val="24"/>
          <w:szCs w:val="24"/>
          <w:color w:val="auto"/>
        </w:rPr>
      </w:pPr>
    </w:p>
    <w:p>
      <w:pPr>
        <w:jc w:val="both"/>
        <w:spacing w:after="0" w:line="195"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9" w:lineRule="exact"/>
        <w:rPr>
          <w:sz w:val="24"/>
          <w:szCs w:val="24"/>
          <w:color w:val="auto"/>
        </w:rPr>
      </w:pPr>
    </w:p>
    <w:p>
      <w:pPr>
        <w:jc w:val="both"/>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jc w:val="both"/>
        <w:spacing w:after="0" w:line="27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30" w:right="839" w:bottom="1440" w:gutter="0" w:footer="0" w:header="0"/>
        </w:sectPr>
      </w:pPr>
    </w:p>
    <w:p>
      <w:pPr>
        <w:spacing w:after="0" w:line="3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8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15" w:lineRule="exact"/>
        <w:rPr>
          <w:sz w:val="24"/>
          <w:szCs w:val="24"/>
          <w:color w:val="auto"/>
        </w:rPr>
      </w:pPr>
    </w:p>
    <w:p>
      <w:pPr>
        <w:sectPr>
          <w:pgSz w:w="11900" w:h="16838" w:orient="portrait"/>
          <w:cols w:equalWidth="0" w:num="2">
            <w:col w:w="3920" w:space="720"/>
            <w:col w:w="5600"/>
          </w:cols>
          <w:pgMar w:left="820" w:top="630" w:right="839" w:bottom="1440" w:gutter="0" w:footer="0" w:header="0"/>
          <w:type w:val="continuous"/>
        </w:sectPr>
      </w:pPr>
    </w:p>
    <w:p>
      <w:pPr>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4" w:lineRule="exact"/>
        <w:rPr>
          <w:sz w:val="24"/>
          <w:szCs w:val="24"/>
          <w:color w:val="auto"/>
        </w:rPr>
      </w:pPr>
    </w:p>
    <w:p>
      <w:pPr>
        <w:ind w:firstLine="302"/>
        <w:spacing w:after="0" w:line="287" w:lineRule="auto"/>
        <w:rPr>
          <w:sz w:val="20"/>
          <w:szCs w:val="20"/>
          <w:color w:val="auto"/>
        </w:rPr>
      </w:pPr>
      <w:r>
        <w:rPr>
          <w:rFonts w:ascii="Arial" w:cs="Arial" w:eastAsia="Arial" w:hAnsi="Arial"/>
          <w:sz w:val="15"/>
          <w:szCs w:val="15"/>
          <w:color w:val="auto"/>
        </w:rPr>
        <w:t>As of August 15, 2022, there were 28,750,000 shares of Class A common stock, par value $0.0001 per share, and 9,487,500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429260</wp:posOffset>
            </wp:positionV>
            <wp:extent cx="650367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3670" cy="158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30480</wp:posOffset>
            </wp:positionV>
            <wp:extent cx="650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3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70485</wp:posOffset>
            </wp:positionV>
            <wp:extent cx="650367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3670" cy="31750"/>
                    </a:xfrm>
                    <a:prstGeom prst="rect">
                      <a:avLst/>
                    </a:prstGeom>
                    <a:noFill/>
                  </pic:spPr>
                </pic:pic>
              </a:graphicData>
            </a:graphic>
          </wp:anchor>
        </w:drawing>
      </w:r>
    </w:p>
    <w:p>
      <w:pPr>
        <w:sectPr>
          <w:pgSz w:w="11900" w:h="16838" w:orient="portrait"/>
          <w:cols w:equalWidth="0" w:num="1">
            <w:col w:w="10240"/>
          </w:cols>
          <w:pgMar w:left="820" w:top="630"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94"/>
        </w:trPr>
        <w:tc>
          <w:tcPr>
            <w:tcW w:w="8960" w:type="dxa"/>
            <w:vAlign w:val="bottom"/>
            <w:gridSpan w:val="25"/>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PART 1 – FINANCIAL INFORMATION</w:t>
            </w: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1.</w:t>
            </w:r>
          </w:p>
        </w:tc>
        <w:tc>
          <w:tcPr>
            <w:tcW w:w="8000" w:type="dxa"/>
            <w:vAlign w:val="bottom"/>
            <w:gridSpan w:val="22"/>
            <w:shd w:val="clear" w:color="auto" w:fill="CCEEFF"/>
          </w:tcPr>
          <w:p>
            <w:pPr>
              <w:spacing w:after="0"/>
              <w:rPr>
                <w:sz w:val="20"/>
                <w:szCs w:val="20"/>
                <w:color w:val="auto"/>
              </w:rPr>
            </w:pPr>
            <w:r>
              <w:rPr>
                <w:rFonts w:ascii="Arial" w:cs="Arial" w:eastAsia="Arial" w:hAnsi="Arial"/>
                <w:sz w:val="17"/>
                <w:szCs w:val="17"/>
                <w:color w:val="auto"/>
              </w:rPr>
              <w:t>FINANCIAL STATEMENTS</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Condensed Balance Sheets as of June 30, 2022 (unaudited) and December 31, 2021</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01"/>
        </w:trPr>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w w:val="91"/>
              </w:rPr>
              <w:t xml:space="preserve">Condensed </w:t>
            </w:r>
            <w:r>
              <w:rPr>
                <w:rFonts w:ascii="Arial" w:cs="Arial" w:eastAsia="Arial" w:hAnsi="Arial"/>
                <w:sz w:val="15"/>
                <w:szCs w:val="15"/>
                <w:color w:val="0000EE"/>
                <w:w w:val="91"/>
              </w:rPr>
              <w:t>Statements of Operations for the three and six months ended June 30, 2022 and for the three months ended June 30,</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186"/>
        </w:trPr>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EE"/>
            </w:tcBorders>
            <w:shd w:val="clear" w:color="auto" w:fill="CCEEFF"/>
          </w:tcPr>
          <w:p>
            <w:pPr>
              <w:spacing w:after="0"/>
              <w:rPr>
                <w:sz w:val="16"/>
                <w:szCs w:val="16"/>
                <w:color w:val="auto"/>
              </w:rPr>
            </w:pPr>
          </w:p>
        </w:tc>
        <w:tc>
          <w:tcPr>
            <w:tcW w:w="120" w:type="dxa"/>
            <w:vAlign w:val="bottom"/>
            <w:tcBorders>
              <w:top w:val="single" w:sz="8" w:color="0000EE"/>
            </w:tcBorders>
            <w:shd w:val="clear" w:color="auto" w:fill="CCEEFF"/>
          </w:tcPr>
          <w:p>
            <w:pPr>
              <w:spacing w:after="0"/>
              <w:rPr>
                <w:sz w:val="16"/>
                <w:szCs w:val="16"/>
                <w:color w:val="auto"/>
              </w:rPr>
            </w:pPr>
          </w:p>
        </w:tc>
        <w:tc>
          <w:tcPr>
            <w:tcW w:w="7520" w:type="dxa"/>
            <w:vAlign w:val="bottom"/>
            <w:tcBorders>
              <w:top w:val="single" w:sz="8" w:color="0000EE"/>
            </w:tcBorders>
            <w:gridSpan w:val="17"/>
            <w:shd w:val="clear" w:color="auto" w:fill="CCEEFF"/>
          </w:tcPr>
          <w:p>
            <w:pPr>
              <w:spacing w:after="0" w:line="169" w:lineRule="exact"/>
              <w:rPr>
                <w:sz w:val="20"/>
                <w:szCs w:val="20"/>
                <w:color w:val="auto"/>
              </w:rPr>
            </w:pPr>
            <w:r>
              <w:rPr>
                <w:rFonts w:ascii="Arial" w:cs="Arial" w:eastAsia="Arial" w:hAnsi="Arial"/>
                <w:sz w:val="15"/>
                <w:szCs w:val="15"/>
                <w:color w:val="0000EE"/>
              </w:rPr>
              <w:t>2021 and for the period from March 2, 2021 (inception) through June 30, 2021 (Unaudited)</w:t>
            </w:r>
          </w:p>
        </w:tc>
        <w:tc>
          <w:tcPr>
            <w:tcW w:w="240" w:type="dxa"/>
            <w:vAlign w:val="bottom"/>
            <w:tcBorders>
              <w:top w:val="single" w:sz="8" w:color="CCEEFF"/>
            </w:tcBorders>
            <w:gridSpan w:val="3"/>
            <w:shd w:val="clear" w:color="auto" w:fill="CCEEFF"/>
          </w:tcPr>
          <w:p>
            <w:pPr>
              <w:spacing w:after="0"/>
              <w:rPr>
                <w:sz w:val="16"/>
                <w:szCs w:val="16"/>
                <w:color w:val="auto"/>
              </w:rPr>
            </w:pPr>
          </w:p>
        </w:tc>
        <w:tc>
          <w:tcPr>
            <w:tcW w:w="960" w:type="dxa"/>
            <w:vAlign w:val="bottom"/>
            <w:tcBorders>
              <w:top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900" w:type="dxa"/>
            <w:vAlign w:val="bottom"/>
            <w:tcBorders>
              <w:bottom w:val="single" w:sz="8" w:color="0000EE"/>
            </w:tcBorders>
            <w:gridSpan w:val="21"/>
            <w:shd w:val="clear" w:color="auto" w:fill="CCEEFF"/>
          </w:tcPr>
          <w:p>
            <w:pPr>
              <w:spacing w:after="0" w:line="163" w:lineRule="exact"/>
              <w:rPr>
                <w:sz w:val="20"/>
                <w:szCs w:val="20"/>
                <w:color w:val="auto"/>
              </w:rPr>
            </w:pPr>
            <w:r>
              <w:rPr>
                <w:rFonts w:ascii="Arial" w:cs="Arial" w:eastAsia="Arial" w:hAnsi="Arial"/>
                <w:sz w:val="17"/>
                <w:szCs w:val="17"/>
                <w:color w:val="0000EE"/>
                <w:w w:val="90"/>
              </w:rPr>
              <w:t xml:space="preserve">Condensed </w:t>
            </w:r>
            <w:r>
              <w:rPr>
                <w:rFonts w:ascii="Arial" w:cs="Arial" w:eastAsia="Arial" w:hAnsi="Arial"/>
                <w:sz w:val="15"/>
                <w:szCs w:val="15"/>
                <w:color w:val="0000EE"/>
                <w:w w:val="90"/>
              </w:rPr>
              <w:t>Statements of Changes in Stockholders’ (Deficit) Equity for the three and six months ended June 30, 2022 and for the</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60" w:type="dxa"/>
            <w:vAlign w:val="bottom"/>
            <w:gridSpan w:val="20"/>
            <w:shd w:val="clear" w:color="auto" w:fill="CCEEFF"/>
          </w:tcPr>
          <w:p>
            <w:pPr>
              <w:spacing w:after="0" w:line="181" w:lineRule="exact"/>
              <w:rPr>
                <w:sz w:val="20"/>
                <w:szCs w:val="20"/>
                <w:color w:val="auto"/>
              </w:rPr>
            </w:pPr>
            <w:r>
              <w:rPr>
                <w:rFonts w:ascii="Arial" w:cs="Arial" w:eastAsia="Arial" w:hAnsi="Arial"/>
                <w:sz w:val="15"/>
                <w:szCs w:val="15"/>
                <w:color w:val="0000EE"/>
                <w:w w:val="96"/>
              </w:rPr>
              <w:t xml:space="preserve">three months ended June 30, 2021 and for the period from March 2, 2021 (inception) through June 30, 2021 </w:t>
            </w:r>
            <w:r>
              <w:rPr>
                <w:rFonts w:ascii="Arial" w:cs="Arial" w:eastAsia="Arial" w:hAnsi="Arial"/>
                <w:sz w:val="16"/>
                <w:szCs w:val="16"/>
                <w:color w:val="0000EE"/>
                <w:w w:val="96"/>
              </w:rPr>
              <w:t>(Unaudited)</w:t>
            </w:r>
          </w:p>
        </w:tc>
        <w:tc>
          <w:tcPr>
            <w:tcW w:w="960" w:type="dxa"/>
            <w:vAlign w:val="bottom"/>
            <w:shd w:val="clear" w:color="auto" w:fill="CCEEFF"/>
          </w:tcPr>
          <w:p>
            <w:pPr>
              <w:jc w:val="center"/>
              <w:spacing w:after="0" w:line="181" w:lineRule="exact"/>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201"/>
        </w:trPr>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840" w:type="dxa"/>
            <w:vAlign w:val="bottom"/>
            <w:tcBorders>
              <w:bottom w:val="single" w:sz="8" w:color="0000EE"/>
            </w:tcBorders>
            <w:gridSpan w:val="20"/>
            <w:shd w:val="clear" w:color="auto" w:fill="CCEEFF"/>
          </w:tcPr>
          <w:p>
            <w:pPr>
              <w:spacing w:after="0" w:line="163" w:lineRule="exact"/>
              <w:rPr>
                <w:sz w:val="20"/>
                <w:szCs w:val="20"/>
                <w:color w:val="auto"/>
              </w:rPr>
            </w:pPr>
            <w:r>
              <w:rPr>
                <w:rFonts w:ascii="Arial" w:cs="Arial" w:eastAsia="Arial" w:hAnsi="Arial"/>
                <w:sz w:val="17"/>
                <w:szCs w:val="17"/>
                <w:color w:val="0000EE"/>
                <w:w w:val="90"/>
              </w:rPr>
              <w:t xml:space="preserve">Condensed </w:t>
            </w:r>
            <w:r>
              <w:rPr>
                <w:rFonts w:ascii="Arial" w:cs="Arial" w:eastAsia="Arial" w:hAnsi="Arial"/>
                <w:sz w:val="15"/>
                <w:szCs w:val="15"/>
                <w:color w:val="0000EE"/>
                <w:w w:val="90"/>
              </w:rPr>
              <w:t>Statements of Cash Flows for the six months ended June 30, 2022 and for the period from March 2, 2021 (inception)</w:t>
            </w: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760" w:type="dxa"/>
            <w:vAlign w:val="bottom"/>
            <w:gridSpan w:val="20"/>
            <w:shd w:val="clear" w:color="auto" w:fill="CCEEFF"/>
          </w:tcPr>
          <w:p>
            <w:pPr>
              <w:spacing w:after="0" w:line="181" w:lineRule="exact"/>
              <w:rPr>
                <w:sz w:val="20"/>
                <w:szCs w:val="20"/>
                <w:color w:val="auto"/>
              </w:rPr>
            </w:pPr>
            <w:r>
              <w:rPr>
                <w:rFonts w:ascii="Arial" w:cs="Arial" w:eastAsia="Arial" w:hAnsi="Arial"/>
                <w:sz w:val="15"/>
                <w:szCs w:val="15"/>
                <w:color w:val="0000EE"/>
              </w:rPr>
              <w:t xml:space="preserve">through June 30, 2021 </w:t>
            </w:r>
            <w:r>
              <w:rPr>
                <w:rFonts w:ascii="Arial" w:cs="Arial" w:eastAsia="Arial" w:hAnsi="Arial"/>
                <w:sz w:val="16"/>
                <w:szCs w:val="16"/>
                <w:color w:val="0000EE"/>
              </w:rPr>
              <w:t>(Unaudited)</w:t>
            </w:r>
          </w:p>
        </w:tc>
        <w:tc>
          <w:tcPr>
            <w:tcW w:w="960" w:type="dxa"/>
            <w:vAlign w:val="bottom"/>
            <w:shd w:val="clear" w:color="auto" w:fill="CCEEFF"/>
          </w:tcPr>
          <w:p>
            <w:pPr>
              <w:jc w:val="center"/>
              <w:spacing w:after="0" w:line="181"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01"/>
        </w:trPr>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Notes to Condensed Financial Statements (unaudited)</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01"/>
        </w:trPr>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2.</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MANAGEMENT’S DISCUSSION AND ANALYSIS OF FINANCIAL CONDITION AND RESULTS OF</w:t>
            </w: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17"/>
            <w:shd w:val="clear" w:color="auto" w:fill="CCEEFF"/>
          </w:tcPr>
          <w:p>
            <w:pPr>
              <w:spacing w:after="0" w:line="181" w:lineRule="exact"/>
              <w:rPr>
                <w:sz w:val="20"/>
                <w:szCs w:val="20"/>
                <w:color w:val="auto"/>
              </w:rPr>
            </w:pPr>
            <w:r>
              <w:rPr>
                <w:rFonts w:ascii="Arial" w:cs="Arial" w:eastAsia="Arial" w:hAnsi="Arial"/>
                <w:sz w:val="17"/>
                <w:szCs w:val="17"/>
                <w:color w:val="0000EE"/>
              </w:rPr>
              <w:t>OPERATIONS</w:t>
            </w:r>
          </w:p>
        </w:tc>
        <w:tc>
          <w:tcPr>
            <w:tcW w:w="760" w:type="dxa"/>
            <w:vAlign w:val="bottom"/>
            <w:tcBorders>
              <w:top w:val="single" w:sz="8" w:color="CCEEFF"/>
            </w:tcBorders>
            <w:gridSpan w:val="5"/>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jc w:val="center"/>
              <w:spacing w:after="0" w:line="181" w:lineRule="exact"/>
              <w:rPr>
                <w:sz w:val="20"/>
                <w:szCs w:val="20"/>
                <w:color w:val="auto"/>
              </w:rPr>
            </w:pPr>
            <w:r>
              <w:rPr>
                <w:rFonts w:ascii="Arial" w:cs="Arial" w:eastAsia="Arial" w:hAnsi="Arial"/>
                <w:sz w:val="17"/>
                <w:szCs w:val="17"/>
                <w:color w:val="auto"/>
                <w:w w:val="84"/>
              </w:rPr>
              <w:t>19</w:t>
            </w:r>
          </w:p>
        </w:tc>
        <w:tc>
          <w:tcPr>
            <w:tcW w:w="0" w:type="dxa"/>
            <w:vAlign w:val="bottom"/>
          </w:tcPr>
          <w:p>
            <w:pPr>
              <w:spacing w:after="0"/>
              <w:rPr>
                <w:sz w:val="1"/>
                <w:szCs w:val="1"/>
                <w:color w:val="auto"/>
              </w:rPr>
            </w:pPr>
          </w:p>
        </w:tc>
      </w:tr>
      <w:tr>
        <w:trPr>
          <w:trHeight w:val="201"/>
        </w:trPr>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3.</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QUANTITATIVE AND QUALITATIVE DISCLOSURES ABOUT MARKET RISK</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22</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4.</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CONTROLS AND PROCEDURES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22</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960" w:type="dxa"/>
            <w:vAlign w:val="bottom"/>
            <w:gridSpan w:val="25"/>
            <w:shd w:val="clear" w:color="auto" w:fill="CCEEFF"/>
          </w:tcPr>
          <w:p>
            <w:pPr>
              <w:spacing w:after="0" w:line="163" w:lineRule="exact"/>
              <w:rPr>
                <w:sz w:val="20"/>
                <w:szCs w:val="20"/>
                <w:color w:val="auto"/>
              </w:rPr>
            </w:pPr>
            <w:r>
              <w:rPr>
                <w:rFonts w:ascii="Arial" w:cs="Arial" w:eastAsia="Arial" w:hAnsi="Arial"/>
                <w:sz w:val="17"/>
                <w:szCs w:val="17"/>
                <w:b w:val="1"/>
                <w:bCs w:val="1"/>
                <w:color w:val="0000EE"/>
              </w:rPr>
              <w:t>PART II – OTHER INFORMATION</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1.</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LEGAL PROCEEDINGS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1A.</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RISK FACTORS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2.</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UNREGISTERED SALES OF EQUITY SECURITIES AND USE OF PROCEEDS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3.</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DEFAULTS UPON SENIOR SECURITIES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4.</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MINE SAFETY DISCLOSURES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5.</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OTHER INFORMATION</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60" w:type="dxa"/>
            <w:vAlign w:val="bottom"/>
            <w:gridSpan w:val="3"/>
            <w:shd w:val="clear" w:color="auto" w:fill="CCEEFF"/>
          </w:tcPr>
          <w:p>
            <w:pPr>
              <w:spacing w:after="0" w:line="163" w:lineRule="exact"/>
              <w:rPr>
                <w:sz w:val="20"/>
                <w:szCs w:val="20"/>
                <w:color w:val="auto"/>
              </w:rPr>
            </w:pPr>
            <w:r>
              <w:rPr>
                <w:rFonts w:ascii="Arial" w:cs="Arial" w:eastAsia="Arial" w:hAnsi="Arial"/>
                <w:sz w:val="17"/>
                <w:szCs w:val="17"/>
                <w:color w:val="0000EE"/>
              </w:rPr>
              <w:t>Item 6.</w:t>
            </w:r>
          </w:p>
        </w:tc>
        <w:tc>
          <w:tcPr>
            <w:tcW w:w="8000" w:type="dxa"/>
            <w:vAlign w:val="bottom"/>
            <w:gridSpan w:val="22"/>
            <w:shd w:val="clear" w:color="auto" w:fill="CCEEFF"/>
          </w:tcPr>
          <w:p>
            <w:pPr>
              <w:spacing w:after="0" w:line="163" w:lineRule="exact"/>
              <w:rPr>
                <w:sz w:val="20"/>
                <w:szCs w:val="20"/>
                <w:color w:val="auto"/>
              </w:rPr>
            </w:pPr>
            <w:r>
              <w:rPr>
                <w:rFonts w:ascii="Arial" w:cs="Arial" w:eastAsia="Arial" w:hAnsi="Arial"/>
                <w:sz w:val="17"/>
                <w:szCs w:val="17"/>
                <w:color w:val="0000EE"/>
              </w:rPr>
              <w:t>EXHIBITS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24</w:t>
            </w:r>
          </w:p>
        </w:tc>
        <w:tc>
          <w:tcPr>
            <w:tcW w:w="0" w:type="dxa"/>
            <w:vAlign w:val="bottom"/>
          </w:tcPr>
          <w:p>
            <w:pPr>
              <w:spacing w:after="0"/>
              <w:rPr>
                <w:sz w:val="1"/>
                <w:szCs w:val="1"/>
                <w:color w:val="auto"/>
              </w:rPr>
            </w:pPr>
          </w:p>
        </w:tc>
      </w:tr>
      <w:tr>
        <w:trPr>
          <w:trHeight w:val="201"/>
        </w:trPr>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960" w:type="dxa"/>
            <w:vAlign w:val="bottom"/>
            <w:gridSpan w:val="25"/>
            <w:shd w:val="clear" w:color="auto" w:fill="CCEEFF"/>
          </w:tcPr>
          <w:p>
            <w:pPr>
              <w:spacing w:after="0" w:line="163" w:lineRule="exact"/>
              <w:rPr>
                <w:sz w:val="20"/>
                <w:szCs w:val="20"/>
                <w:color w:val="auto"/>
              </w:rPr>
            </w:pPr>
            <w:r>
              <w:rPr>
                <w:rFonts w:ascii="Arial" w:cs="Arial" w:eastAsia="Arial" w:hAnsi="Arial"/>
                <w:sz w:val="17"/>
                <w:szCs w:val="17"/>
                <w:b w:val="1"/>
                <w:bCs w:val="1"/>
                <w:color w:val="0000EE"/>
              </w:rPr>
              <w:t>SIGNATURES</w:t>
            </w:r>
          </w:p>
        </w:tc>
        <w:tc>
          <w:tcPr>
            <w:tcW w:w="960" w:type="dxa"/>
            <w:vAlign w:val="bottom"/>
            <w:shd w:val="clear" w:color="auto" w:fill="CCEEFF"/>
          </w:tcPr>
          <w:p>
            <w:pPr>
              <w:jc w:val="center"/>
              <w:spacing w:after="0" w:line="163" w:lineRule="exact"/>
              <w:rPr>
                <w:sz w:val="20"/>
                <w:szCs w:val="20"/>
                <w:color w:val="auto"/>
              </w:rPr>
            </w:pPr>
            <w:r>
              <w:rPr>
                <w:rFonts w:ascii="Arial" w:cs="Arial" w:eastAsia="Arial" w:hAnsi="Arial"/>
                <w:sz w:val="17"/>
                <w:szCs w:val="17"/>
                <w:color w:val="auto"/>
                <w:w w:val="84"/>
              </w:rPr>
              <w:t>25</w:t>
            </w:r>
          </w:p>
        </w:tc>
        <w:tc>
          <w:tcPr>
            <w:tcW w:w="0" w:type="dxa"/>
            <w:vAlign w:val="bottom"/>
          </w:tcPr>
          <w:p>
            <w:pPr>
              <w:spacing w:after="0"/>
              <w:rPr>
                <w:sz w:val="1"/>
                <w:szCs w:val="1"/>
                <w:color w:val="auto"/>
              </w:rPr>
            </w:pPr>
          </w:p>
        </w:tc>
      </w:tr>
      <w:tr>
        <w:trPr>
          <w:trHeight w:val="38"/>
        </w:trPr>
        <w:tc>
          <w:tcPr>
            <w:tcW w:w="4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1 - FINANCIAL INFORMATION</w:t>
      </w:r>
    </w:p>
    <w:p>
      <w:pPr>
        <w:spacing w:after="0" w:line="207"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CONDENSED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w w:val="96"/>
              </w:rPr>
              <w:t>June 30, 2022</w:t>
            </w:r>
          </w:p>
        </w:tc>
        <w:tc>
          <w:tcPr>
            <w:tcW w:w="2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December 31, 2021</w:t>
            </w:r>
          </w:p>
        </w:tc>
      </w:tr>
      <w:tr>
        <w:trPr>
          <w:trHeight w:val="131"/>
        </w:trPr>
        <w:tc>
          <w:tcPr>
            <w:tcW w:w="7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78"/>
              <w:spacing w:after="0" w:line="131" w:lineRule="exact"/>
              <w:rPr>
                <w:sz w:val="20"/>
                <w:szCs w:val="20"/>
                <w:color w:val="auto"/>
              </w:rPr>
            </w:pPr>
            <w:r>
              <w:rPr>
                <w:rFonts w:ascii="Arial" w:cs="Arial" w:eastAsia="Arial" w:hAnsi="Arial"/>
                <w:sz w:val="13"/>
                <w:szCs w:val="13"/>
                <w:b w:val="1"/>
                <w:bCs w:val="1"/>
                <w:color w:val="auto"/>
              </w:rPr>
              <w:t>(unaudited)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57"/>
              <w:spacing w:after="0" w:line="131" w:lineRule="exact"/>
              <w:rPr>
                <w:sz w:val="20"/>
                <w:szCs w:val="20"/>
                <w:color w:val="auto"/>
              </w:rPr>
            </w:pPr>
            <w:r>
              <w:rPr>
                <w:rFonts w:ascii="Arial" w:cs="Arial" w:eastAsia="Arial" w:hAnsi="Arial"/>
                <w:sz w:val="13"/>
                <w:szCs w:val="13"/>
                <w:b w:val="1"/>
                <w:bCs w:val="1"/>
                <w:color w:val="auto"/>
              </w:rPr>
              <w:t>(audited)</w:t>
            </w: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3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621,578</w:t>
            </w:r>
          </w:p>
        </w:tc>
        <w:tc>
          <w:tcPr>
            <w:tcW w:w="40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1,539,548</w:t>
            </w:r>
          </w:p>
        </w:tc>
      </w:tr>
      <w:tr>
        <w:trPr>
          <w:trHeight w:val="201"/>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303,990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326,478</w:t>
            </w:r>
          </w:p>
        </w:tc>
      </w:tr>
      <w:tr>
        <w:trPr>
          <w:trHeight w:val="194"/>
        </w:trPr>
        <w:tc>
          <w:tcPr>
            <w:tcW w:w="7340" w:type="dxa"/>
            <w:vAlign w:val="bottom"/>
            <w:shd w:val="clear" w:color="auto" w:fill="CCEEFF"/>
          </w:tcPr>
          <w:p>
            <w:pPr>
              <w:ind w:left="100"/>
              <w:spacing w:after="0" w:line="194" w:lineRule="exact"/>
              <w:rPr>
                <w:sz w:val="20"/>
                <w:szCs w:val="20"/>
                <w:color w:val="auto"/>
              </w:rPr>
            </w:pPr>
            <w:r>
              <w:rPr>
                <w:rFonts w:ascii="Arial" w:cs="Arial" w:eastAsia="Arial" w:hAnsi="Arial"/>
                <w:sz w:val="17"/>
                <w:szCs w:val="17"/>
                <w:b w:val="1"/>
                <w:bCs w:val="1"/>
                <w:color w:val="auto"/>
              </w:rPr>
              <w:t>Total current assets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925,568</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1,866,026</w:t>
            </w:r>
          </w:p>
        </w:tc>
      </w:tr>
      <w:tr>
        <w:trPr>
          <w:trHeight w:val="201"/>
        </w:trPr>
        <w:tc>
          <w:tcPr>
            <w:tcW w:w="7340" w:type="dxa"/>
            <w:vAlign w:val="bottom"/>
          </w:tcPr>
          <w:p>
            <w:pPr>
              <w:spacing w:after="0"/>
              <w:rPr>
                <w:sz w:val="20"/>
                <w:szCs w:val="20"/>
                <w:color w:val="auto"/>
              </w:rPr>
            </w:pPr>
            <w:r>
              <w:rPr>
                <w:rFonts w:ascii="Arial" w:cs="Arial" w:eastAsia="Arial" w:hAnsi="Arial"/>
                <w:sz w:val="17"/>
                <w:szCs w:val="17"/>
                <w:color w:val="auto"/>
              </w:rPr>
              <w:t>Other Assets, non-current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84,787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61,718</w:t>
            </w: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Investments held in Trust Account</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292,236,831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291,813,399</w:t>
            </w:r>
          </w:p>
        </w:tc>
      </w:tr>
      <w:tr>
        <w:trPr>
          <w:trHeight w:val="234"/>
        </w:trPr>
        <w:tc>
          <w:tcPr>
            <w:tcW w:w="73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293,247,186</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22"/>
              <w:spacing w:after="0" w:line="194" w:lineRule="exact"/>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9"/>
              </w:rPr>
              <w:t>293,741,143</w:t>
            </w:r>
          </w:p>
        </w:tc>
      </w:tr>
      <w:tr>
        <w:trPr>
          <w:trHeight w:val="179"/>
        </w:trPr>
        <w:tc>
          <w:tcPr>
            <w:tcW w:w="7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340" w:type="dxa"/>
            <w:vAlign w:val="bottom"/>
          </w:tcPr>
          <w:p>
            <w:pPr>
              <w:spacing w:after="0"/>
              <w:rPr>
                <w:sz w:val="20"/>
                <w:szCs w:val="20"/>
                <w:color w:val="auto"/>
              </w:rPr>
            </w:pPr>
            <w:r>
              <w:rPr>
                <w:rFonts w:ascii="Arial" w:cs="Arial" w:eastAsia="Arial" w:hAnsi="Arial"/>
                <w:sz w:val="17"/>
                <w:szCs w:val="17"/>
                <w:b w:val="1"/>
                <w:bCs w:val="1"/>
                <w:color w:val="auto"/>
              </w:rPr>
              <w:t>Liabilities and Stockholders’ Deficit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340" w:type="dxa"/>
            <w:vAlign w:val="bottom"/>
          </w:tcPr>
          <w:p>
            <w:pPr>
              <w:spacing w:after="0"/>
              <w:rPr>
                <w:sz w:val="20"/>
                <w:szCs w:val="20"/>
                <w:color w:val="auto"/>
              </w:rPr>
            </w:pPr>
            <w:r>
              <w:rPr>
                <w:rFonts w:ascii="Arial" w:cs="Arial" w:eastAsia="Arial" w:hAnsi="Arial"/>
                <w:sz w:val="17"/>
                <w:szCs w:val="17"/>
                <w:color w:val="auto"/>
              </w:rPr>
              <w:t>Accrued offering costs and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128,969</w:t>
            </w:r>
          </w:p>
        </w:tc>
        <w:tc>
          <w:tcPr>
            <w:tcW w:w="400" w:type="dxa"/>
            <w:vAlign w:val="bottom"/>
            <w:gridSpan w:val="2"/>
          </w:tcPr>
          <w:p>
            <w:pPr>
              <w:jc w:val="right"/>
              <w:ind w:right="22"/>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548,159</w:t>
            </w: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Promissory Note - Related Party</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144,746</w:t>
            </w:r>
          </w:p>
        </w:tc>
      </w:tr>
      <w:tr>
        <w:trPr>
          <w:trHeight w:val="201"/>
        </w:trPr>
        <w:tc>
          <w:tcPr>
            <w:tcW w:w="7340" w:type="dxa"/>
            <w:vAlign w:val="bottom"/>
          </w:tcPr>
          <w:p>
            <w:pPr>
              <w:spacing w:after="0"/>
              <w:rPr>
                <w:sz w:val="20"/>
                <w:szCs w:val="20"/>
                <w:color w:val="auto"/>
              </w:rPr>
            </w:pPr>
            <w:r>
              <w:rPr>
                <w:rFonts w:ascii="Arial" w:cs="Arial" w:eastAsia="Arial" w:hAnsi="Arial"/>
                <w:sz w:val="17"/>
                <w:szCs w:val="17"/>
                <w:color w:val="auto"/>
              </w:rPr>
              <w:t>Income Tax Payable</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80,676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Due to related party</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7,097</w:t>
            </w:r>
          </w:p>
        </w:tc>
      </w:tr>
      <w:tr>
        <w:trPr>
          <w:trHeight w:val="194"/>
        </w:trPr>
        <w:tc>
          <w:tcPr>
            <w:tcW w:w="7340" w:type="dxa"/>
            <w:vAlign w:val="bottom"/>
          </w:tcPr>
          <w:p>
            <w:pPr>
              <w:ind w:left="100"/>
              <w:spacing w:after="0" w:line="194" w:lineRule="exact"/>
              <w:rPr>
                <w:sz w:val="20"/>
                <w:szCs w:val="20"/>
                <w:color w:val="auto"/>
              </w:rPr>
            </w:pPr>
            <w:r>
              <w:rPr>
                <w:rFonts w:ascii="Arial" w:cs="Arial" w:eastAsia="Arial" w:hAnsi="Arial"/>
                <w:sz w:val="17"/>
                <w:szCs w:val="17"/>
                <w:b w:val="1"/>
                <w:bCs w:val="1"/>
                <w:color w:val="auto"/>
              </w:rPr>
              <w:t>Total current liabilities</w:t>
            </w:r>
          </w:p>
        </w:tc>
        <w:tc>
          <w:tcPr>
            <w:tcW w:w="14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209,645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7"/>
                <w:szCs w:val="17"/>
                <w:color w:val="auto"/>
              </w:rPr>
              <w:t>700,002</w:t>
            </w: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Deferred underwriting commissions</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10,062,500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10,062,500</w:t>
            </w:r>
          </w:p>
        </w:tc>
      </w:tr>
      <w:tr>
        <w:trPr>
          <w:trHeight w:val="194"/>
        </w:trPr>
        <w:tc>
          <w:tcPr>
            <w:tcW w:w="73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b w:val="1"/>
                <w:bCs w:val="1"/>
                <w:color w:val="auto"/>
              </w:rPr>
              <w:t>Total liabilities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10,272,145</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10,762,502</w:t>
            </w:r>
          </w:p>
        </w:tc>
      </w:tr>
      <w:tr>
        <w:trPr>
          <w:trHeight w:val="194"/>
        </w:trPr>
        <w:tc>
          <w:tcPr>
            <w:tcW w:w="7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1"/>
        </w:trPr>
        <w:tc>
          <w:tcPr>
            <w:tcW w:w="7340" w:type="dxa"/>
            <w:vAlign w:val="bottom"/>
          </w:tcPr>
          <w:p>
            <w:pPr>
              <w:spacing w:after="0"/>
              <w:rPr>
                <w:sz w:val="20"/>
                <w:szCs w:val="20"/>
                <w:color w:val="auto"/>
              </w:rPr>
            </w:pPr>
            <w:r>
              <w:rPr>
                <w:rFonts w:ascii="Arial" w:cs="Arial" w:eastAsia="Arial" w:hAnsi="Arial"/>
                <w:sz w:val="17"/>
                <w:szCs w:val="17"/>
                <w:b w:val="1"/>
                <w:bCs w:val="1"/>
                <w:color w:val="auto"/>
              </w:rPr>
              <w:t>Commitments and Contingencies (Note 6)</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9"/>
        </w:trPr>
        <w:tc>
          <w:tcPr>
            <w:tcW w:w="7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2"/>
              </w:rPr>
              <w:t>Class A common stock subject to possible redemption, 28,750,000 shares at redemption value of $10.16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4"/>
        </w:trPr>
        <w:tc>
          <w:tcPr>
            <w:tcW w:w="7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and $10.15 as of June 30, 2022 and December 31, 2021, respectively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292,114,102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291,812,500</w:t>
            </w:r>
          </w:p>
        </w:tc>
      </w:tr>
      <w:tr>
        <w:trPr>
          <w:trHeight w:val="201"/>
        </w:trPr>
        <w:tc>
          <w:tcPr>
            <w:tcW w:w="7340" w:type="dxa"/>
            <w:vAlign w:val="bottom"/>
          </w:tcPr>
          <w:p>
            <w:pPr>
              <w:spacing w:after="0"/>
              <w:rPr>
                <w:sz w:val="20"/>
                <w:szCs w:val="20"/>
                <w:color w:val="auto"/>
              </w:rPr>
            </w:pPr>
            <w:r>
              <w:rPr>
                <w:rFonts w:ascii="Arial" w:cs="Arial" w:eastAsia="Arial" w:hAnsi="Arial"/>
                <w:sz w:val="17"/>
                <w:szCs w:val="17"/>
                <w:b w:val="1"/>
                <w:bCs w:val="1"/>
                <w:color w:val="auto"/>
              </w:rPr>
              <w:t>Stockholders’ Deficit: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$0.0001 par value; 1,000,000 shares authorized; none issued and outstanding</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r>
      <w:tr>
        <w:trPr>
          <w:trHeight w:val="189"/>
        </w:trPr>
        <w:tc>
          <w:tcPr>
            <w:tcW w:w="7340" w:type="dxa"/>
            <w:vAlign w:val="bottom"/>
          </w:tcPr>
          <w:p>
            <w:pPr>
              <w:spacing w:after="0" w:line="189" w:lineRule="exact"/>
              <w:rPr>
                <w:sz w:val="20"/>
                <w:szCs w:val="20"/>
                <w:color w:val="auto"/>
              </w:rPr>
            </w:pPr>
            <w:r>
              <w:rPr>
                <w:rFonts w:ascii="Arial" w:cs="Arial" w:eastAsia="Arial" w:hAnsi="Arial"/>
                <w:sz w:val="17"/>
                <w:szCs w:val="17"/>
                <w:color w:val="auto"/>
                <w:w w:val="92"/>
              </w:rPr>
              <w:t>Class A common stock, $0.0001 par value; 280,000,000 shares authorized; 1,329,500 shares issued and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7340" w:type="dxa"/>
            <w:vAlign w:val="bottom"/>
          </w:tcPr>
          <w:p>
            <w:pPr>
              <w:ind w:left="120"/>
              <w:spacing w:after="0"/>
              <w:rPr>
                <w:sz w:val="20"/>
                <w:szCs w:val="20"/>
                <w:color w:val="auto"/>
              </w:rPr>
            </w:pPr>
            <w:r>
              <w:rPr>
                <w:rFonts w:ascii="Arial" w:cs="Arial" w:eastAsia="Arial" w:hAnsi="Arial"/>
                <w:sz w:val="17"/>
                <w:szCs w:val="17"/>
                <w:color w:val="auto"/>
                <w:w w:val="96"/>
              </w:rPr>
              <w:t>outstanding (excluding 28,750,000 shares subject to possible redemption) as of June 30, 2022 and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3"/>
        </w:trPr>
        <w:tc>
          <w:tcPr>
            <w:tcW w:w="7340" w:type="dxa"/>
            <w:vAlign w:val="bottom"/>
          </w:tcPr>
          <w:p>
            <w:pPr>
              <w:ind w:left="120"/>
              <w:spacing w:after="0"/>
              <w:rPr>
                <w:sz w:val="20"/>
                <w:szCs w:val="20"/>
                <w:color w:val="auto"/>
              </w:rPr>
            </w:pPr>
            <w:r>
              <w:rPr>
                <w:rFonts w:ascii="Arial" w:cs="Arial" w:eastAsia="Arial" w:hAnsi="Arial"/>
                <w:sz w:val="17"/>
                <w:szCs w:val="17"/>
                <w:color w:val="auto"/>
              </w:rPr>
              <w:t>December 31, 2021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189"/>
        </w:trPr>
        <w:tc>
          <w:tcPr>
            <w:tcW w:w="7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3"/>
              </w:rPr>
              <w:t>Class B common stock, $0.0001 par value; 20,000,000 shares authorized; 9,487,500 shares issued and</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4"/>
        </w:trPr>
        <w:tc>
          <w:tcPr>
            <w:tcW w:w="7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outstanding as of June 30, 2022 and December 31, 2021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r>
      <w:tr>
        <w:trPr>
          <w:trHeight w:val="201"/>
        </w:trPr>
        <w:tc>
          <w:tcPr>
            <w:tcW w:w="734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(9,140,143)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(8,834,941)</w:t>
            </w:r>
          </w:p>
        </w:tc>
      </w:tr>
      <w:tr>
        <w:trPr>
          <w:trHeight w:val="194"/>
        </w:trPr>
        <w:tc>
          <w:tcPr>
            <w:tcW w:w="73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b w:val="1"/>
                <w:bCs w:val="1"/>
                <w:color w:val="auto"/>
              </w:rPr>
              <w:t>Total stockholders’ deficit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(9,139,061)</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(8,833,859)</w:t>
            </w:r>
          </w:p>
        </w:tc>
      </w:tr>
      <w:tr>
        <w:trPr>
          <w:trHeight w:val="194"/>
        </w:trPr>
        <w:tc>
          <w:tcPr>
            <w:tcW w:w="73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293,247,186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2"/>
              <w:spacing w:after="0" w:line="194" w:lineRule="exact"/>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9"/>
              </w:rPr>
              <w:t>293,741,143</w:t>
            </w: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CONDENSED STATEMENTS OF OPERATIONS</w:t>
      </w:r>
    </w:p>
    <w:p>
      <w:pPr>
        <w:spacing w:after="0" w:line="6"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For The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8"/>
              </w:rPr>
              <w:t>March 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Three Months Ended</w:t>
            </w:r>
          </w:p>
        </w:tc>
        <w:tc>
          <w:tcPr>
            <w:tcW w:w="134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Six Months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(Inception)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Through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right"/>
              <w:ind w:right="618"/>
              <w:spacing w:after="0" w:line="138"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100"/>
              <w:spacing w:after="0" w:line="138" w:lineRule="exact"/>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Formation and operating costs</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220,049</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346,356</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tcPr>
          <w:p>
            <w:pPr>
              <w:spacing w:after="0" w:line="194" w:lineRule="exact"/>
              <w:rPr>
                <w:sz w:val="20"/>
                <w:szCs w:val="20"/>
                <w:color w:val="auto"/>
              </w:rPr>
            </w:pPr>
            <w:r>
              <w:rPr>
                <w:rFonts w:ascii="Arial" w:cs="Arial" w:eastAsia="Arial" w:hAnsi="Arial"/>
                <w:sz w:val="17"/>
                <w:szCs w:val="17"/>
                <w:b w:val="1"/>
                <w:bCs w:val="1"/>
                <w:color w:val="auto"/>
              </w:rPr>
              <w:t>Loss from operations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(220,049)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(500)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(346,356)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(500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Other income: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earned on Trust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394,047</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423,432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provision for income taxes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(80,676)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(80,676)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income (loss)</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93,322</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(500)</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(3,600)</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0"/>
              </w:rPr>
              <w:t>Weighted average shares outstanding of Class A common stock subject to redemption, basic and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6"/>
              </w:rPr>
              <w:t>28,750,000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28,750,000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diluted</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7"/>
                <w:szCs w:val="17"/>
                <w:color w:val="auto"/>
              </w:rPr>
              <w:t>Basic and diluted net income(loss) per common stock, Class A subject to redemption</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6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1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line="179"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4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w w:val="88"/>
              </w:rPr>
              <w:t>Weighted average shares outstanding of non-redeemable Class A common stock, basic and diluted</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7"/>
              </w:rPr>
              <w:t>1,329,500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1,329,500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7"/>
                <w:szCs w:val="17"/>
                <w:color w:val="auto"/>
              </w:rPr>
              <w:t>Basic and diluted net income (loss) per common stock, non-redeemable Class A</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6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1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line="179"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4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Weighted average shares outstanding of Class B common stock, basic and diluted</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7"/>
              </w:rPr>
              <w:t>9,487,500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87"/>
              </w:rPr>
              <w:t>3,791,209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9,487,500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87"/>
              </w:rPr>
              <w:t>2,946,875</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7"/>
                <w:szCs w:val="17"/>
                <w:color w:val="auto"/>
              </w:rPr>
              <w:t>Basic and diluted net income (loss) per common stock, Class B</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6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line="179" w:lineRule="exact"/>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14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10680"/>
          </w:cols>
          <w:pgMar w:left="980" w:top="579"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CHANGES IN STOCKHOLDERS’ (DEFICIT)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AND SIX MONTHS ENDED JUNE 30,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gridSpan w:val="6"/>
          </w:tcPr>
          <w:p>
            <w:pPr>
              <w:jc w:val="center"/>
              <w:ind w:right="107"/>
              <w:spacing w:after="0"/>
              <w:rPr>
                <w:sz w:val="20"/>
                <w:szCs w:val="20"/>
                <w:color w:val="auto"/>
              </w:rPr>
            </w:pPr>
            <w:r>
              <w:rPr>
                <w:rFonts w:ascii="Arial" w:cs="Arial" w:eastAsia="Arial" w:hAnsi="Arial"/>
                <w:sz w:val="13"/>
                <w:szCs w:val="13"/>
                <w:b w:val="1"/>
                <w:bCs w:val="1"/>
                <w:color w:val="auto"/>
                <w:w w:val="92"/>
              </w:rPr>
              <w:t>Class A</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jc w:val="center"/>
              <w:ind w:left="365"/>
              <w:spacing w:after="0"/>
              <w:rPr>
                <w:sz w:val="20"/>
                <w:szCs w:val="20"/>
                <w:color w:val="auto"/>
              </w:rPr>
            </w:pPr>
            <w:r>
              <w:rPr>
                <w:rFonts w:ascii="Arial" w:cs="Arial" w:eastAsia="Arial" w:hAnsi="Arial"/>
                <w:sz w:val="13"/>
                <w:szCs w:val="13"/>
                <w:b w:val="1"/>
                <w:bCs w:val="1"/>
                <w:color w:val="auto"/>
                <w:w w:val="92"/>
              </w:rPr>
              <w:t>Class B</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104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11"/>
          </w:tcPr>
          <w:p>
            <w:pPr>
              <w:jc w:val="center"/>
              <w:ind w:right="160"/>
              <w:spacing w:after="0"/>
              <w:rPr>
                <w:sz w:val="20"/>
                <w:szCs w:val="20"/>
                <w:color w:val="auto"/>
              </w:rPr>
            </w:pPr>
            <w:r>
              <w:rPr>
                <w:rFonts w:ascii="Arial" w:cs="Arial" w:eastAsia="Arial" w:hAnsi="Arial"/>
                <w:sz w:val="13"/>
                <w:szCs w:val="13"/>
                <w:b w:val="1"/>
                <w:bCs w:val="1"/>
                <w:color w:val="auto"/>
                <w:w w:val="92"/>
              </w:rPr>
              <w:t>Common Stock</w:t>
            </w:r>
          </w:p>
        </w:tc>
        <w:tc>
          <w:tcPr>
            <w:tcW w:w="1580" w:type="dxa"/>
            <w:vAlign w:val="bottom"/>
            <w:gridSpan w:val="7"/>
          </w:tcPr>
          <w:p>
            <w:pPr>
              <w:jc w:val="center"/>
              <w:ind w:right="140"/>
              <w:spacing w:after="0"/>
              <w:rPr>
                <w:sz w:val="20"/>
                <w:szCs w:val="20"/>
                <w:color w:val="auto"/>
              </w:rPr>
            </w:pPr>
            <w:r>
              <w:rPr>
                <w:rFonts w:ascii="Arial" w:cs="Arial" w:eastAsia="Arial" w:hAnsi="Arial"/>
                <w:sz w:val="13"/>
                <w:szCs w:val="13"/>
                <w:b w:val="1"/>
                <w:bCs w:val="1"/>
                <w:color w:val="auto"/>
                <w:w w:val="92"/>
              </w:rPr>
              <w:t>Common Stock</w:t>
            </w:r>
          </w:p>
        </w:tc>
        <w:tc>
          <w:tcPr>
            <w:tcW w:w="1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3"/>
                <w:szCs w:val="13"/>
                <w:color w:val="auto"/>
              </w:rPr>
            </w:pPr>
          </w:p>
        </w:tc>
        <w:tc>
          <w:tcPr>
            <w:tcW w:w="104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gridSpan w:val="5"/>
          </w:tcPr>
          <w:p>
            <w:pPr>
              <w:ind w:left="180"/>
              <w:spacing w:after="0" w:line="131"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right"/>
              <w:ind w:right="40"/>
              <w:spacing w:after="0" w:line="131"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gridSpan w:val="2"/>
          </w:tcPr>
          <w:p>
            <w:pPr>
              <w:ind w:left="180"/>
              <w:spacing w:after="0" w:line="131"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ind w:left="20"/>
              <w:spacing w:after="0" w:line="131"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40"/>
              <w:spacing w:after="0" w:line="131" w:lineRule="exact"/>
              <w:rPr>
                <w:sz w:val="20"/>
                <w:szCs w:val="20"/>
                <w:color w:val="auto"/>
              </w:rPr>
            </w:pPr>
            <w:r>
              <w:rPr>
                <w:rFonts w:ascii="Arial" w:cs="Arial" w:eastAsia="Arial" w:hAnsi="Arial"/>
                <w:sz w:val="13"/>
                <w:szCs w:val="13"/>
                <w:b w:val="1"/>
                <w:bCs w:val="1"/>
                <w:color w:val="auto"/>
                <w:w w:val="95"/>
              </w:rPr>
              <w:t>Deficit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181"/>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2021</w:t>
            </w:r>
          </w:p>
        </w:tc>
        <w:tc>
          <w:tcPr>
            <w:tcW w:w="76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5"/>
                <w:szCs w:val="15"/>
                <w:b w:val="1"/>
                <w:bCs w:val="1"/>
                <w:color w:val="auto"/>
                <w:w w:val="92"/>
              </w:rPr>
              <w:t>1,329,500</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133</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9,487,500</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(8,834,941)</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(8,833,859)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tcPr>
          <w:p>
            <w:pPr>
              <w:jc w:val="center"/>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4"/>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(96,922)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(96,922)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March 31, 2022</w:t>
            </w:r>
          </w:p>
        </w:tc>
        <w:tc>
          <w:tcPr>
            <w:tcW w:w="76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5"/>
                <w:szCs w:val="15"/>
                <w:b w:val="1"/>
                <w:bCs w:val="1"/>
                <w:color w:val="auto"/>
                <w:w w:val="92"/>
              </w:rPr>
              <w:t>1,329,500</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133</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9,487,500</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949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8"/>
              </w:rPr>
              <w:t>(8,931,863)</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(8,930,781)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gridSpan w:val="2"/>
          </w:tcPr>
          <w:p>
            <w:pPr>
              <w:spacing w:after="0"/>
              <w:rPr>
                <w:sz w:val="20"/>
                <w:szCs w:val="20"/>
                <w:color w:val="auto"/>
              </w:rPr>
            </w:pPr>
            <w:r>
              <w:rPr>
                <w:rFonts w:ascii="Arial" w:cs="Arial" w:eastAsia="Arial" w:hAnsi="Arial"/>
                <w:sz w:val="15"/>
                <w:szCs w:val="15"/>
                <w:color w:val="auto"/>
              </w:rPr>
              <w:t>Accretion for common stock subject to redemption amount</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tcPr>
          <w:p>
            <w:pPr>
              <w:jc w:val="center"/>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4"/>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(301,602)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(301,602)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gridSpan w:val="4"/>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93,322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20" w:type="dxa"/>
            <w:vAlign w:val="bottom"/>
            <w:gridSpan w:val="2"/>
          </w:tcPr>
          <w:p>
            <w:pPr>
              <w:spacing w:after="0"/>
              <w:rPr>
                <w:sz w:val="20"/>
                <w:szCs w:val="20"/>
                <w:color w:val="auto"/>
              </w:rPr>
            </w:pPr>
            <w:r>
              <w:rPr>
                <w:rFonts w:ascii="Arial" w:cs="Arial" w:eastAsia="Arial" w:hAnsi="Arial"/>
                <w:sz w:val="15"/>
                <w:szCs w:val="15"/>
                <w:b w:val="1"/>
                <w:bCs w:val="1"/>
                <w:color w:val="auto"/>
              </w:rPr>
              <w:t>Balance as of June 30, 2022</w:t>
            </w:r>
          </w:p>
        </w:tc>
        <w:tc>
          <w:tcPr>
            <w:tcW w:w="7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2"/>
              </w:rPr>
              <w:t>1,329,500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133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9,487,500</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949</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88"/>
              </w:rPr>
              <w:t>(9,140,143)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(9,139,061)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100" w:type="dxa"/>
            <w:vAlign w:val="bottom"/>
            <w:gridSpan w:val="20"/>
          </w:tcPr>
          <w:p>
            <w:pPr>
              <w:jc w:val="center"/>
              <w:ind w:left="2743"/>
              <w:spacing w:after="0"/>
              <w:rPr>
                <w:sz w:val="20"/>
                <w:szCs w:val="20"/>
                <w:color w:val="auto"/>
              </w:rPr>
            </w:pPr>
            <w:r>
              <w:rPr>
                <w:rFonts w:ascii="Arial" w:cs="Arial" w:eastAsia="Arial" w:hAnsi="Arial"/>
                <w:sz w:val="15"/>
                <w:szCs w:val="15"/>
                <w:b w:val="1"/>
                <w:bCs w:val="1"/>
                <w:color w:val="auto"/>
                <w:w w:val="99"/>
              </w:rPr>
              <w:t>FOR THE THREE MONTHS ENDED JUNE 30, 2021 AND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940" w:type="dxa"/>
            <w:vAlign w:val="bottom"/>
            <w:gridSpan w:val="24"/>
          </w:tcPr>
          <w:p>
            <w:pPr>
              <w:jc w:val="center"/>
              <w:ind w:left="1903"/>
              <w:spacing w:after="0"/>
              <w:rPr>
                <w:sz w:val="20"/>
                <w:szCs w:val="20"/>
                <w:color w:val="auto"/>
              </w:rPr>
            </w:pPr>
            <w:r>
              <w:rPr>
                <w:rFonts w:ascii="Arial" w:cs="Arial" w:eastAsia="Arial" w:hAnsi="Arial"/>
                <w:sz w:val="15"/>
                <w:szCs w:val="15"/>
                <w:b w:val="1"/>
                <w:bCs w:val="1"/>
                <w:color w:val="auto"/>
                <w:w w:val="99"/>
              </w:rPr>
              <w:t>FOR THE PERIOD FROM MARCH 2, 2021 (INCEPTION) THROUGH JUNE 30, 2021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9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7"/>
          </w:tcPr>
          <w:p>
            <w:pPr>
              <w:jc w:val="center"/>
              <w:ind w:left="104"/>
              <w:spacing w:after="0"/>
              <w:rPr>
                <w:sz w:val="20"/>
                <w:szCs w:val="20"/>
                <w:color w:val="auto"/>
              </w:rPr>
            </w:pPr>
            <w:r>
              <w:rPr>
                <w:rFonts w:ascii="Arial" w:cs="Arial" w:eastAsia="Arial" w:hAnsi="Arial"/>
                <w:sz w:val="13"/>
                <w:szCs w:val="13"/>
                <w:b w:val="1"/>
                <w:bCs w:val="1"/>
                <w:color w:val="auto"/>
                <w:w w:val="87"/>
              </w:rPr>
              <w:t>Class 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jc w:val="center"/>
              <w:ind w:left="385"/>
              <w:spacing w:after="0"/>
              <w:rPr>
                <w:sz w:val="20"/>
                <w:szCs w:val="20"/>
                <w:color w:val="auto"/>
              </w:rPr>
            </w:pPr>
            <w:r>
              <w:rPr>
                <w:rFonts w:ascii="Arial" w:cs="Arial" w:eastAsia="Arial" w:hAnsi="Arial"/>
                <w:sz w:val="13"/>
                <w:szCs w:val="13"/>
                <w:b w:val="1"/>
                <w:bCs w:val="1"/>
                <w:color w:val="auto"/>
                <w:w w:val="87"/>
              </w:rPr>
              <w:t>Class B</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ind w:left="4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ind w:left="38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8"/>
        </w:trPr>
        <w:tc>
          <w:tcPr>
            <w:tcW w:w="39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7"/>
          </w:tcPr>
          <w:p>
            <w:pPr>
              <w:jc w:val="center"/>
              <w:ind w:left="124"/>
              <w:spacing w:after="0"/>
              <w:rPr>
                <w:sz w:val="20"/>
                <w:szCs w:val="20"/>
                <w:color w:val="auto"/>
              </w:rPr>
            </w:pPr>
            <w:r>
              <w:rPr>
                <w:rFonts w:ascii="Arial" w:cs="Arial" w:eastAsia="Arial" w:hAnsi="Arial"/>
                <w:sz w:val="13"/>
                <w:szCs w:val="13"/>
                <w:b w:val="1"/>
                <w:bCs w:val="1"/>
                <w:color w:val="auto"/>
                <w:w w:val="92"/>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92"/>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31"/>
        </w:trPr>
        <w:tc>
          <w:tcPr>
            <w:tcW w:w="3880" w:type="dxa"/>
            <w:vAlign w:val="bottom"/>
          </w:tcPr>
          <w:p>
            <w:pPr>
              <w:spacing w:after="0" w:line="131" w:lineRule="exact"/>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b w:val="1"/>
                <w:bCs w:val="1"/>
                <w:color w:val="auto"/>
                <w:w w:val="96"/>
              </w:rPr>
              <w:t>Shares</w:t>
            </w: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gridSpan w:val="2"/>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80"/>
              <w:spacing w:after="0" w:line="131"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40"/>
              <w:spacing w:after="0" w:line="131"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95"/>
              </w:rPr>
              <w:t>Deficit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4"/>
        </w:trPr>
        <w:tc>
          <w:tcPr>
            <w:tcW w:w="3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as of March 2, 2021 (inception)</w:t>
            </w:r>
          </w:p>
        </w:tc>
        <w:tc>
          <w:tcPr>
            <w:tcW w:w="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center"/>
              <w:ind w:left="244"/>
              <w:spacing w:after="0" w:line="194"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center"/>
              <w:ind w:right="40"/>
              <w:spacing w:after="0" w:line="194" w:lineRule="exact"/>
              <w:rPr>
                <w:sz w:val="20"/>
                <w:szCs w:val="20"/>
                <w:color w:val="auto"/>
              </w:rPr>
            </w:pPr>
            <w:r>
              <w:rPr>
                <w:rFonts w:ascii="Arial" w:cs="Arial" w:eastAsia="Arial" w:hAnsi="Arial"/>
                <w:sz w:val="17"/>
                <w:szCs w:val="17"/>
                <w:b w:val="1"/>
                <w:bCs w:val="1"/>
                <w:color w:val="auto"/>
                <w:w w:val="84"/>
              </w:rPr>
              <w:t>$</w:t>
            </w: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500" w:type="dxa"/>
            <w:vAlign w:val="bottom"/>
          </w:tcPr>
          <w:p>
            <w:pPr>
              <w:jc w:val="center"/>
              <w:ind w:left="24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4"/>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as of March 31, 2021</w:t>
            </w:r>
          </w:p>
        </w:tc>
        <w:tc>
          <w:tcPr>
            <w:tcW w:w="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center"/>
              <w:ind w:left="244"/>
              <w:spacing w:after="0" w:line="194"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Issuance of Class B Common Stock</w:t>
            </w:r>
          </w:p>
        </w:tc>
        <w:tc>
          <w:tcPr>
            <w:tcW w:w="500" w:type="dxa"/>
            <w:vAlign w:val="bottom"/>
          </w:tcPr>
          <w:p>
            <w:pPr>
              <w:jc w:val="center"/>
              <w:ind w:left="24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4"/>
          </w:tcPr>
          <w:p>
            <w:pPr>
              <w:ind w:lef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87"/>
              </w:rPr>
              <w:t>8,625,000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949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24,051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500" w:type="dxa"/>
            <w:vAlign w:val="bottom"/>
            <w:shd w:val="clear" w:color="auto" w:fill="CCEEFF"/>
          </w:tcPr>
          <w:p>
            <w:pPr>
              <w:jc w:val="center"/>
              <w:ind w:left="244"/>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as of June 30, 2021</w:t>
            </w:r>
          </w:p>
        </w:tc>
        <w:tc>
          <w:tcPr>
            <w:tcW w:w="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center"/>
              <w:ind w:left="244"/>
              <w:spacing w:after="0" w:line="194" w:lineRule="exact"/>
              <w:rPr>
                <w:sz w:val="20"/>
                <w:szCs w:val="20"/>
                <w:color w:val="auto"/>
              </w:rPr>
            </w:pPr>
            <w:r>
              <w:rPr>
                <w:rFonts w:ascii="Arial" w:cs="Arial" w:eastAsia="Arial" w:hAnsi="Arial"/>
                <w:sz w:val="17"/>
                <w:szCs w:val="17"/>
                <w:color w:val="auto"/>
              </w:rPr>
              <w:t>—</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gridSpan w:val="2"/>
          </w:tcPr>
          <w:p>
            <w:pPr>
              <w:jc w:val="center"/>
              <w:ind w:right="40"/>
              <w:spacing w:after="0" w:line="194" w:lineRule="exact"/>
              <w:rPr>
                <w:sz w:val="20"/>
                <w:szCs w:val="20"/>
                <w:color w:val="auto"/>
              </w:rPr>
            </w:pPr>
            <w:r>
              <w:rPr>
                <w:rFonts w:ascii="Arial" w:cs="Arial" w:eastAsia="Arial" w:hAnsi="Arial"/>
                <w:sz w:val="17"/>
                <w:szCs w:val="17"/>
                <w:b w:val="1"/>
                <w:bCs w:val="1"/>
                <w:color w:val="auto"/>
                <w:w w:val="84"/>
              </w:rPr>
              <w: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7"/>
                <w:szCs w:val="17"/>
                <w:color w:val="auto"/>
              </w:rPr>
              <w:t>—</w:t>
            </w:r>
          </w:p>
        </w:tc>
        <w:tc>
          <w:tcPr>
            <w:tcW w:w="240" w:type="dxa"/>
            <w:vAlign w:val="bottom"/>
            <w:gridSpan w:val="3"/>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87"/>
              </w:rPr>
              <w:t>8,625,000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gridSpan w:val="2"/>
          </w:tcPr>
          <w:p>
            <w:pPr>
              <w:jc w:val="right"/>
              <w:ind w:right="60"/>
              <w:spacing w:after="0" w:line="194" w:lineRule="exact"/>
              <w:rPr>
                <w:sz w:val="20"/>
                <w:szCs w:val="20"/>
                <w:color w:val="auto"/>
              </w:rPr>
            </w:pPr>
            <w:r>
              <w:rPr>
                <w:rFonts w:ascii="Arial" w:cs="Arial" w:eastAsia="Arial" w:hAnsi="Arial"/>
                <w:sz w:val="17"/>
                <w:szCs w:val="17"/>
                <w:b w:val="1"/>
                <w:bCs w:val="1"/>
                <w:color w:val="auto"/>
              </w:rPr>
              <w:t>949</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gridSpan w:val="2"/>
          </w:tcPr>
          <w:p>
            <w:pPr>
              <w:jc w:val="right"/>
              <w:ind w:right="60"/>
              <w:spacing w:after="0" w:line="194" w:lineRule="exact"/>
              <w:rPr>
                <w:sz w:val="20"/>
                <w:szCs w:val="20"/>
                <w:color w:val="auto"/>
              </w:rPr>
            </w:pPr>
            <w:r>
              <w:rPr>
                <w:rFonts w:ascii="Arial" w:cs="Arial" w:eastAsia="Arial" w:hAnsi="Arial"/>
                <w:sz w:val="17"/>
                <w:szCs w:val="17"/>
                <w:b w:val="1"/>
                <w:bCs w:val="1"/>
                <w:color w:val="auto"/>
                <w:w w:val="99"/>
              </w:rPr>
              <w:t>24,051</w:t>
            </w:r>
          </w:p>
        </w:tc>
        <w:tc>
          <w:tcPr>
            <w:tcW w:w="140" w:type="dxa"/>
            <w:vAlign w:val="bottom"/>
            <w:gridSpan w:val="2"/>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gridSpan w:val="2"/>
          </w:tcPr>
          <w:p>
            <w:pPr>
              <w:jc w:val="right"/>
              <w:spacing w:after="0" w:line="194" w:lineRule="exact"/>
              <w:rPr>
                <w:sz w:val="20"/>
                <w:szCs w:val="20"/>
                <w:color w:val="auto"/>
              </w:rPr>
            </w:pPr>
            <w:r>
              <w:rPr>
                <w:rFonts w:ascii="Arial" w:cs="Arial" w:eastAsia="Arial" w:hAnsi="Arial"/>
                <w:sz w:val="17"/>
                <w:szCs w:val="17"/>
                <w:b w:val="1"/>
                <w:bCs w:val="1"/>
                <w:color w:val="auto"/>
              </w:rPr>
              <w:t>(500)</w:t>
            </w:r>
          </w:p>
        </w:tc>
        <w:tc>
          <w:tcPr>
            <w:tcW w:w="8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24,500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For The Period from</w:t>
            </w:r>
          </w:p>
        </w:tc>
        <w:tc>
          <w:tcPr>
            <w:tcW w:w="0" w:type="dxa"/>
            <w:vAlign w:val="bottom"/>
          </w:tcPr>
          <w:p>
            <w:pPr>
              <w:spacing w:after="0"/>
              <w:rPr>
                <w:sz w:val="1"/>
                <w:szCs w:val="1"/>
                <w:color w:val="auto"/>
              </w:rPr>
            </w:pPr>
          </w:p>
        </w:tc>
      </w:tr>
      <w:tr>
        <w:trPr>
          <w:trHeight w:val="138"/>
        </w:trPr>
        <w:tc>
          <w:tcPr>
            <w:tcW w:w="6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w w:val="94"/>
              </w:rPr>
              <w:t>Six Months Ended</w:t>
            </w:r>
          </w:p>
        </w:tc>
        <w:tc>
          <w:tcPr>
            <w:tcW w:w="80" w:type="dxa"/>
            <w:vAlign w:val="bottom"/>
          </w:tcPr>
          <w:p>
            <w:pPr>
              <w:spacing w:after="0"/>
              <w:rPr>
                <w:sz w:val="12"/>
                <w:szCs w:val="12"/>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March 2, 2021</w:t>
            </w:r>
          </w:p>
        </w:tc>
        <w:tc>
          <w:tcPr>
            <w:tcW w:w="0" w:type="dxa"/>
            <w:vAlign w:val="bottom"/>
          </w:tcPr>
          <w:p>
            <w:pPr>
              <w:spacing w:after="0"/>
              <w:rPr>
                <w:sz w:val="1"/>
                <w:szCs w:val="1"/>
                <w:color w:val="auto"/>
              </w:rPr>
            </w:pPr>
          </w:p>
        </w:tc>
      </w:tr>
      <w:tr>
        <w:trPr>
          <w:trHeight w:val="138"/>
        </w:trPr>
        <w:tc>
          <w:tcPr>
            <w:tcW w:w="6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(Inception)Through</w:t>
            </w: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June 30, 2022</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June 30, 2021</w:t>
            </w:r>
          </w:p>
        </w:tc>
        <w:tc>
          <w:tcPr>
            <w:tcW w:w="0" w:type="dxa"/>
            <w:vAlign w:val="bottom"/>
          </w:tcPr>
          <w:p>
            <w:pPr>
              <w:spacing w:after="0"/>
              <w:rPr>
                <w:sz w:val="1"/>
                <w:szCs w:val="1"/>
                <w:color w:val="auto"/>
              </w:rPr>
            </w:pPr>
          </w:p>
        </w:tc>
      </w:tr>
      <w:tr>
        <w:trPr>
          <w:trHeight w:val="194"/>
        </w:trPr>
        <w:tc>
          <w:tcPr>
            <w:tcW w:w="61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tcPr>
          <w:p>
            <w:pPr>
              <w:spacing w:after="0"/>
              <w:rPr>
                <w:sz w:val="20"/>
                <w:szCs w:val="20"/>
                <w:color w:val="auto"/>
              </w:rPr>
            </w:pPr>
            <w:r>
              <w:rPr>
                <w:rFonts w:ascii="Arial" w:cs="Arial" w:eastAsia="Arial" w:hAnsi="Arial"/>
                <w:sz w:val="17"/>
                <w:szCs w:val="17"/>
                <w:color w:val="auto"/>
              </w:rPr>
              <w:t>Net loss</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(3,600)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00" w:type="dxa"/>
            <w:vAlign w:val="bottom"/>
          </w:tcPr>
          <w:p>
            <w:pPr>
              <w:ind w:left="100"/>
              <w:spacing w:after="0"/>
              <w:rPr>
                <w:sz w:val="20"/>
                <w:szCs w:val="20"/>
                <w:color w:val="auto"/>
              </w:rPr>
            </w:pPr>
            <w:r>
              <w:rPr>
                <w:rFonts w:ascii="Arial" w:cs="Arial" w:eastAsia="Arial" w:hAnsi="Arial"/>
                <w:sz w:val="17"/>
                <w:szCs w:val="17"/>
                <w:color w:val="auto"/>
              </w:rPr>
              <w:t>Interest earned on cash and marketable securities held in Trust Account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(423,432)</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Changes in current assets and liabilities: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00" w:type="dxa"/>
            <w:vAlign w:val="bottom"/>
          </w:tcPr>
          <w:p>
            <w:pPr>
              <w:ind w:left="100"/>
              <w:spacing w:after="0"/>
              <w:rPr>
                <w:sz w:val="20"/>
                <w:szCs w:val="20"/>
                <w:color w:val="auto"/>
              </w:rPr>
            </w:pPr>
            <w:r>
              <w:rPr>
                <w:rFonts w:ascii="Arial" w:cs="Arial" w:eastAsia="Arial" w:hAnsi="Arial"/>
                <w:sz w:val="17"/>
                <w:szCs w:val="17"/>
                <w:color w:val="auto"/>
              </w:rPr>
              <w:t>Other Assets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(581)</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Deferred Offering Costs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(24,500)</w:t>
            </w:r>
          </w:p>
        </w:tc>
        <w:tc>
          <w:tcPr>
            <w:tcW w:w="0" w:type="dxa"/>
            <w:vAlign w:val="bottom"/>
          </w:tcPr>
          <w:p>
            <w:pPr>
              <w:spacing w:after="0"/>
              <w:rPr>
                <w:sz w:val="1"/>
                <w:szCs w:val="1"/>
                <w:color w:val="auto"/>
              </w:rPr>
            </w:pPr>
          </w:p>
        </w:tc>
      </w:tr>
      <w:tr>
        <w:trPr>
          <w:trHeight w:val="201"/>
        </w:trPr>
        <w:tc>
          <w:tcPr>
            <w:tcW w:w="6100" w:type="dxa"/>
            <w:vAlign w:val="bottom"/>
          </w:tcPr>
          <w:p>
            <w:pPr>
              <w:ind w:left="100"/>
              <w:spacing w:after="0"/>
              <w:rPr>
                <w:sz w:val="20"/>
                <w:szCs w:val="20"/>
                <w:color w:val="auto"/>
              </w:rPr>
            </w:pPr>
            <w:r>
              <w:rPr>
                <w:rFonts w:ascii="Arial" w:cs="Arial" w:eastAsia="Arial" w:hAnsi="Arial"/>
                <w:sz w:val="17"/>
                <w:szCs w:val="17"/>
                <w:color w:val="auto"/>
              </w:rPr>
              <w:t>Due to related party</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(7,097)</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25,100</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Income Tax Payable</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80,676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100" w:type="dxa"/>
            <w:vAlign w:val="bottom"/>
          </w:tcPr>
          <w:p>
            <w:pPr>
              <w:ind w:left="100"/>
              <w:spacing w:after="0"/>
              <w:rPr>
                <w:sz w:val="20"/>
                <w:szCs w:val="20"/>
                <w:color w:val="auto"/>
              </w:rPr>
            </w:pPr>
            <w:r>
              <w:rPr>
                <w:rFonts w:ascii="Arial" w:cs="Arial" w:eastAsia="Arial" w:hAnsi="Arial"/>
                <w:sz w:val="17"/>
                <w:szCs w:val="17"/>
                <w:color w:val="auto"/>
              </w:rPr>
              <w:t>Accrued offering costs and expenses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(419,190)</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100" w:type="dxa"/>
            <w:vAlign w:val="bottom"/>
            <w:tcBorders>
              <w:top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b w:val="1"/>
                <w:bCs w:val="1"/>
                <w:color w:val="auto"/>
              </w:rPr>
              <w:t>Net cash (used in) provided by operating activities</w:t>
            </w: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(773,224)</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100</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00" w:type="dxa"/>
            <w:vAlign w:val="bottom"/>
          </w:tcPr>
          <w:p>
            <w:pPr>
              <w:spacing w:after="0"/>
              <w:rPr>
                <w:sz w:val="20"/>
                <w:szCs w:val="20"/>
                <w:color w:val="auto"/>
              </w:rPr>
            </w:pPr>
            <w:r>
              <w:rPr>
                <w:rFonts w:ascii="Arial" w:cs="Arial" w:eastAsia="Arial" w:hAnsi="Arial"/>
                <w:sz w:val="17"/>
                <w:szCs w:val="17"/>
                <w:color w:val="auto"/>
              </w:rPr>
              <w:t>Proceeds from issuance of founder shares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24,051</w:t>
            </w:r>
          </w:p>
        </w:tc>
        <w:tc>
          <w:tcPr>
            <w:tcW w:w="0" w:type="dxa"/>
            <w:vAlign w:val="bottom"/>
          </w:tcPr>
          <w:p>
            <w:pPr>
              <w:spacing w:after="0"/>
              <w:rPr>
                <w:sz w:val="1"/>
                <w:szCs w:val="1"/>
                <w:color w:val="auto"/>
              </w:rPr>
            </w:pPr>
          </w:p>
        </w:tc>
      </w:tr>
      <w:tr>
        <w:trPr>
          <w:trHeight w:val="201"/>
        </w:trPr>
        <w:tc>
          <w:tcPr>
            <w:tcW w:w="6100" w:type="dxa"/>
            <w:vAlign w:val="bottom"/>
          </w:tcPr>
          <w:p>
            <w:pPr>
              <w:spacing w:after="0"/>
              <w:rPr>
                <w:sz w:val="20"/>
                <w:szCs w:val="20"/>
                <w:color w:val="auto"/>
              </w:rPr>
            </w:pPr>
            <w:r>
              <w:rPr>
                <w:rFonts w:ascii="Arial" w:cs="Arial" w:eastAsia="Arial" w:hAnsi="Arial"/>
                <w:sz w:val="17"/>
                <w:szCs w:val="17"/>
                <w:color w:val="auto"/>
              </w:rPr>
              <w:t>Payment of promissory note- related party</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(144,746)</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100" w:type="dxa"/>
            <w:vAlign w:val="bottom"/>
            <w:tcBorders>
              <w:top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b w:val="1"/>
                <w:bCs w:val="1"/>
                <w:color w:val="auto"/>
              </w:rPr>
              <w:t>Net cash (used in) provided by financing activities</w:t>
            </w: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(144,746)</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25,000</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Change in Cash</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(917,970)</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25,100</w:t>
            </w:r>
          </w:p>
        </w:tc>
        <w:tc>
          <w:tcPr>
            <w:tcW w:w="0" w:type="dxa"/>
            <w:vAlign w:val="bottom"/>
          </w:tcPr>
          <w:p>
            <w:pPr>
              <w:spacing w:after="0"/>
              <w:rPr>
                <w:sz w:val="1"/>
                <w:szCs w:val="1"/>
                <w:color w:val="auto"/>
              </w:rPr>
            </w:pPr>
          </w:p>
        </w:tc>
      </w:tr>
      <w:tr>
        <w:trPr>
          <w:trHeight w:val="201"/>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Cash, beginning of the period</w:t>
            </w: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1,539,548</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610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b w:val="1"/>
                <w:bCs w:val="1"/>
                <w:color w:val="auto"/>
              </w:rPr>
              <w:t>Cash — Ending</w:t>
            </w: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621,578</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25,100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Non-cash investing and financing transactions: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00" w:type="dxa"/>
            <w:vAlign w:val="bottom"/>
          </w:tcPr>
          <w:p>
            <w:pPr>
              <w:ind w:left="100"/>
              <w:spacing w:after="0"/>
              <w:rPr>
                <w:sz w:val="20"/>
                <w:szCs w:val="20"/>
                <w:color w:val="auto"/>
              </w:rPr>
            </w:pPr>
            <w:r>
              <w:rPr>
                <w:rFonts w:ascii="Arial" w:cs="Arial" w:eastAsia="Arial" w:hAnsi="Arial"/>
                <w:sz w:val="17"/>
                <w:szCs w:val="17"/>
                <w:color w:val="auto"/>
              </w:rPr>
              <w:t>Accretion of interest income to Class A shares subject to redemption</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301,602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 Business Operation, Liquidity and Capital Resources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2022, the Company had not commenced any operations. All activity for the period from March 2, 2021 (inception) through June 30, 2022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Company’s sponsor is BurTech LP LLC, (the “Sponsor”).</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w:t>
      </w:r>
    </w:p>
    <w:p>
      <w:pPr>
        <w:spacing w:after="0" w:line="1" w:lineRule="exact"/>
        <w:rPr>
          <w:sz w:val="20"/>
          <w:szCs w:val="20"/>
          <w:color w:val="auto"/>
        </w:rPr>
      </w:pPr>
    </w:p>
    <w:p>
      <w:pPr>
        <w:jc w:val="both"/>
        <w:ind w:firstLine="2"/>
        <w:spacing w:after="0" w:line="265" w:lineRule="auto"/>
        <w:tabs>
          <w:tab w:leader="none" w:pos="262"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amended and restated certificate of incorporation (A) to modify the substance or timing of the Company’s obligation to allow redemption in connection with the initial Business Combination or certain amendments to the Company’s charter prior thereto or to redeem 100% of the public</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Going Concern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June 30, 2022, the Company had $621,578 in its operating bank accounts, $292,236,831 in investments held in the Trust Account to be used for a Business Combination or to repurchase or redeem its Public Shares in connection therewith and working capital of $715,923. As of June 30, 2022, $423,432 of the amount on deposit in the Trust Account represented interest income.</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liquidity needs up to June 30, 2022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June 30, 2022, there were no amounts outstanding under any Working Capital Loans.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2-Summary of Significant Accounting Policies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accompanying unaudited condensed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financial statements reflect all adjustments, which include only normal recurring adjustments necessary for the fair statement of the balances and results for the periods presented. The interim results for the three and six months ended June 30, 2022 are not necessarily indicative of the results to be expected for the year ending December 31, 2022 or for any future interim periods.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accompanying unaudited condensed financial statements should be read in conjunction with the audited financial statements and notes thereto included in the Company’s Annual Report on Form 10-K as of and for the year ended December 31, 2021.</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preparation of this financial statement in conformity with U.S. GAAP requires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these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representative shares. Such estimates may be subject to change as more current information becomes available and, accordingly, the actual results could differ significantly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As of June 30, 2022 and December 31, 2021, the Company had $621,578 and $1,539,548 in cash, respectively, and no cash equivalents.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Held in Trust Account</w:t>
      </w:r>
    </w:p>
    <w:p>
      <w:pPr>
        <w:spacing w:after="0" w:line="211"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At June 30, 2022 and December 31, 2021, the Company had $292,236,831 and $291,813,399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211"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72" w:lineRule="exact"/>
        <w:rPr>
          <w:sz w:val="20"/>
          <w:szCs w:val="20"/>
          <w:color w:val="auto"/>
        </w:rPr>
      </w:pPr>
    </w:p>
    <w:p>
      <w:pPr>
        <w:ind w:firstLine="2"/>
        <w:spacing w:after="0" w:line="268" w:lineRule="auto"/>
        <w:tabs>
          <w:tab w:leader="none" w:pos="302"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ind w:firstLine="2"/>
        <w:spacing w:after="0" w:line="336" w:lineRule="auto"/>
        <w:tabs>
          <w:tab w:leader="none" w:pos="302" w:val="left"/>
        </w:tabs>
        <w:numPr>
          <w:ilvl w:val="0"/>
          <w:numId w:val="5"/>
        </w:numPr>
        <w:rPr>
          <w:rFonts w:ascii="Arial" w:cs="Arial" w:eastAsia="Arial" w:hAnsi="Arial"/>
          <w:sz w:val="15"/>
          <w:szCs w:val="15"/>
          <w:color w:val="auto"/>
        </w:rPr>
      </w:pPr>
      <w:r>
        <w:rPr>
          <w:rFonts w:ascii="Arial" w:cs="Arial" w:eastAsia="Arial" w:hAnsi="Arial"/>
          <w:sz w:val="15"/>
          <w:szCs w:val="15"/>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20" w:lineRule="exact"/>
        <w:rPr>
          <w:rFonts w:ascii="Arial" w:cs="Arial" w:eastAsia="Arial" w:hAnsi="Arial"/>
          <w:sz w:val="15"/>
          <w:szCs w:val="15"/>
          <w:color w:val="auto"/>
        </w:rPr>
      </w:pPr>
    </w:p>
    <w:p>
      <w:pPr>
        <w:ind w:firstLine="2"/>
        <w:spacing w:after="0" w:line="268" w:lineRule="auto"/>
        <w:tabs>
          <w:tab w:leader="none" w:pos="302"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3—Inputs to the fair value measurement are unobservable inputs, such as estimates, assumptions, and valuation techniques when little or no market data exists for the assets or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Subject to Possible Redemption</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June 30, 2022 and December 31, 2021, 28,750,000 Class A common stock subject to possible redemption are presented at redemption value as temporary equity, outside of the stockholders’ deficit section of the Company’s balance sheets.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Costs associated with the Initial Public Offering</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Common Stock</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six months ended June 30, 2022 and 2021 because the warrants are contingently exercisable, and the contingencies have not yet been met and its inclusion would be anti- dilutive. As a result, diluted net loss per common stock is the same as basic net loss per common stock for the periods. The table below presents a reconciliation of the numerator and denominator used to compute basic and diluted net loss per share for each class of common stock: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gridSpan w:val="12"/>
          </w:tcPr>
          <w:p>
            <w:pPr>
              <w:jc w:val="center"/>
              <w:ind w:right="120"/>
              <w:spacing w:after="0"/>
              <w:rPr>
                <w:sz w:val="20"/>
                <w:szCs w:val="20"/>
                <w:color w:val="auto"/>
              </w:rPr>
            </w:pPr>
            <w:r>
              <w:rPr>
                <w:rFonts w:ascii="Arial" w:cs="Arial" w:eastAsia="Arial" w:hAnsi="Arial"/>
                <w:sz w:val="13"/>
                <w:szCs w:val="13"/>
                <w:b w:val="1"/>
                <w:bCs w:val="1"/>
                <w:color w:val="auto"/>
                <w:w w:val="92"/>
              </w:rPr>
              <w:t>For the three-month period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12"/>
          </w:tcPr>
          <w:p>
            <w:pPr>
              <w:ind w:left="560"/>
              <w:spacing w:after="0"/>
              <w:rPr>
                <w:sz w:val="20"/>
                <w:szCs w:val="20"/>
                <w:color w:val="auto"/>
              </w:rPr>
            </w:pPr>
            <w:r>
              <w:rPr>
                <w:rFonts w:ascii="Arial" w:cs="Arial" w:eastAsia="Arial" w:hAnsi="Arial"/>
                <w:sz w:val="13"/>
                <w:szCs w:val="13"/>
                <w:b w:val="1"/>
                <w:bCs w:val="1"/>
                <w:color w:val="auto"/>
              </w:rPr>
              <w:t>For the three-month period ended</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June 30, 2022</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June 30, 2021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7"/>
          </w:tcPr>
          <w:p>
            <w:pPr>
              <w:ind w:left="780"/>
              <w:spacing w:after="0" w:line="131" w:lineRule="exact"/>
              <w:rPr>
                <w:sz w:val="20"/>
                <w:szCs w:val="20"/>
                <w:color w:val="auto"/>
              </w:rPr>
            </w:pPr>
            <w:r>
              <w:rPr>
                <w:rFonts w:ascii="Arial" w:cs="Arial" w:eastAsia="Arial" w:hAnsi="Arial"/>
                <w:sz w:val="13"/>
                <w:szCs w:val="13"/>
                <w:b w:val="1"/>
                <w:bCs w:val="1"/>
                <w:color w:val="auto"/>
              </w:rPr>
              <w:t>Class A</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92"/>
              </w:rPr>
              <w:t>Class B</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8"/>
          </w:tcPr>
          <w:p>
            <w:pPr>
              <w:jc w:val="center"/>
              <w:ind w:right="200"/>
              <w:spacing w:after="0" w:line="131" w:lineRule="exact"/>
              <w:rPr>
                <w:sz w:val="20"/>
                <w:szCs w:val="20"/>
                <w:color w:val="auto"/>
              </w:rPr>
            </w:pPr>
            <w:r>
              <w:rPr>
                <w:rFonts w:ascii="Arial" w:cs="Arial" w:eastAsia="Arial" w:hAnsi="Arial"/>
                <w:sz w:val="13"/>
                <w:szCs w:val="13"/>
                <w:b w:val="1"/>
                <w:bCs w:val="1"/>
                <w:color w:val="auto"/>
                <w:w w:val="92"/>
              </w:rPr>
              <w:t>Class A</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83"/>
              <w:spacing w:after="0" w:line="131" w:lineRule="exact"/>
              <w:rPr>
                <w:sz w:val="20"/>
                <w:szCs w:val="20"/>
                <w:color w:val="auto"/>
              </w:rPr>
            </w:pPr>
            <w:r>
              <w:rPr>
                <w:rFonts w:ascii="Arial" w:cs="Arial" w:eastAsia="Arial" w:hAnsi="Arial"/>
                <w:sz w:val="13"/>
                <w:szCs w:val="13"/>
                <w:b w:val="1"/>
                <w:bCs w:val="1"/>
                <w:color w:val="auto"/>
                <w:w w:val="87"/>
              </w:rPr>
              <w:t>Class 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right"/>
              <w:ind w:right="140"/>
              <w:spacing w:after="0" w:line="111" w:lineRule="exact"/>
              <w:rPr>
                <w:sz w:val="20"/>
                <w:szCs w:val="20"/>
                <w:color w:val="auto"/>
              </w:rPr>
            </w:pPr>
            <w:r>
              <w:rPr>
                <w:rFonts w:ascii="Arial" w:cs="Arial" w:eastAsia="Arial" w:hAnsi="Arial"/>
                <w:sz w:val="12"/>
                <w:szCs w:val="12"/>
                <w:b w:val="1"/>
                <w:bCs w:val="1"/>
                <w:color w:val="auto"/>
              </w:rPr>
              <w:t>Redeemable</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jc w:val="center"/>
              <w:spacing w:after="0" w:line="111" w:lineRule="exact"/>
              <w:rPr>
                <w:sz w:val="20"/>
                <w:szCs w:val="20"/>
                <w:color w:val="auto"/>
              </w:rPr>
            </w:pPr>
            <w:r>
              <w:rPr>
                <w:rFonts w:ascii="Arial" w:cs="Arial" w:eastAsia="Arial" w:hAnsi="Arial"/>
                <w:sz w:val="12"/>
                <w:szCs w:val="12"/>
                <w:b w:val="1"/>
                <w:bCs w:val="1"/>
                <w:color w:val="auto"/>
                <w:w w:val="99"/>
              </w:rPr>
              <w:t>Non-redeemable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ind w:right="40"/>
              <w:spacing w:after="0" w:line="111" w:lineRule="exact"/>
              <w:rPr>
                <w:sz w:val="20"/>
                <w:szCs w:val="20"/>
                <w:color w:val="auto"/>
              </w:rPr>
            </w:pPr>
            <w:r>
              <w:rPr>
                <w:rFonts w:ascii="Arial" w:cs="Arial" w:eastAsia="Arial" w:hAnsi="Arial"/>
                <w:sz w:val="12"/>
                <w:szCs w:val="12"/>
                <w:b w:val="1"/>
                <w:bCs w:val="1"/>
                <w:color w:val="auto"/>
              </w:rPr>
              <w:t>Non-redeemable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ind w:right="100"/>
              <w:spacing w:after="0" w:line="111" w:lineRule="exact"/>
              <w:rPr>
                <w:sz w:val="20"/>
                <w:szCs w:val="20"/>
                <w:color w:val="auto"/>
              </w:rPr>
            </w:pPr>
            <w:r>
              <w:rPr>
                <w:rFonts w:ascii="Arial" w:cs="Arial" w:eastAsia="Arial" w:hAnsi="Arial"/>
                <w:sz w:val="12"/>
                <w:szCs w:val="12"/>
                <w:b w:val="1"/>
                <w:bCs w:val="1"/>
                <w:color w:val="auto"/>
              </w:rPr>
              <w:t>Redeemable</w:t>
            </w: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3"/>
          </w:tcPr>
          <w:p>
            <w:pPr>
              <w:jc w:val="right"/>
              <w:spacing w:after="0" w:line="111" w:lineRule="exact"/>
              <w:rPr>
                <w:sz w:val="20"/>
                <w:szCs w:val="20"/>
                <w:color w:val="auto"/>
              </w:rPr>
            </w:pPr>
            <w:r>
              <w:rPr>
                <w:rFonts w:ascii="Arial" w:cs="Arial" w:eastAsia="Arial" w:hAnsi="Arial"/>
                <w:sz w:val="12"/>
                <w:szCs w:val="12"/>
                <w:b w:val="1"/>
                <w:bCs w:val="1"/>
                <w:color w:val="auto"/>
              </w:rPr>
              <w:t>Non-redeemable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center"/>
              <w:spacing w:after="0" w:line="111" w:lineRule="exact"/>
              <w:rPr>
                <w:sz w:val="20"/>
                <w:szCs w:val="20"/>
                <w:color w:val="auto"/>
              </w:rPr>
            </w:pPr>
            <w:r>
              <w:rPr>
                <w:rFonts w:ascii="Arial" w:cs="Arial" w:eastAsia="Arial" w:hAnsi="Arial"/>
                <w:sz w:val="12"/>
                <w:szCs w:val="12"/>
                <w:b w:val="1"/>
                <w:bCs w:val="1"/>
                <w:color w:val="auto"/>
                <w:w w:val="99"/>
              </w:rPr>
              <w:t>Non-redeemable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common stock</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common stock</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1"/>
              </w:rPr>
              <w:t>common 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w w:val="91"/>
              </w:rPr>
              <w:t>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common stock</w:t>
            </w:r>
          </w:p>
        </w:tc>
        <w:tc>
          <w:tcPr>
            <w:tcW w:w="0" w:type="dxa"/>
            <w:vAlign w:val="bottom"/>
          </w:tcPr>
          <w:p>
            <w:pPr>
              <w:spacing w:after="0"/>
              <w:rPr>
                <w:sz w:val="1"/>
                <w:szCs w:val="1"/>
                <w:color w:val="auto"/>
              </w:rPr>
            </w:pPr>
          </w:p>
        </w:tc>
      </w:tr>
      <w:tr>
        <w:trPr>
          <w:trHeight w:val="165"/>
        </w:trPr>
        <w:tc>
          <w:tcPr>
            <w:tcW w:w="306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7"/>
                <w:szCs w:val="17"/>
                <w:b w:val="1"/>
                <w:bCs w:val="1"/>
                <w:color w:val="auto"/>
                <w:w w:val="96"/>
              </w:rPr>
              <w:t>Basic and diluted net income (loss) per</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20"/>
                <w:szCs w:val="20"/>
                <w:color w:val="auto"/>
              </w:rPr>
            </w:pPr>
            <w:r>
              <w:rPr>
                <w:rFonts w:ascii="Arial" w:cs="Arial" w:eastAsia="Arial" w:hAnsi="Arial"/>
                <w:sz w:val="17"/>
                <w:szCs w:val="17"/>
                <w:b w:val="1"/>
                <w:bCs w:val="1"/>
                <w:color w:val="auto"/>
              </w:rPr>
              <w:t>Numerator: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Allocation of 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67,809</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22,377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Denominator: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tcPr>
          <w:p>
            <w:pPr>
              <w:ind w:left="100"/>
              <w:spacing w:after="0" w:line="189" w:lineRule="exact"/>
              <w:rPr>
                <w:sz w:val="20"/>
                <w:szCs w:val="20"/>
                <w:color w:val="auto"/>
              </w:rPr>
            </w:pPr>
            <w:r>
              <w:rPr>
                <w:rFonts w:ascii="Arial" w:cs="Arial" w:eastAsia="Arial" w:hAnsi="Arial"/>
                <w:sz w:val="17"/>
                <w:szCs w:val="17"/>
                <w:color w:val="auto"/>
              </w:rPr>
              <w:t>Weighted-average shares outstanding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Pr>
          <w:p>
            <w:pPr>
              <w:ind w:left="220"/>
              <w:spacing w:after="0"/>
              <w:rPr>
                <w:sz w:val="20"/>
                <w:szCs w:val="20"/>
                <w:color w:val="auto"/>
              </w:rPr>
            </w:pPr>
            <w:r>
              <w:rPr>
                <w:rFonts w:ascii="Arial" w:cs="Arial" w:eastAsia="Arial" w:hAnsi="Arial"/>
                <w:sz w:val="17"/>
                <w:szCs w:val="17"/>
                <w:color w:val="auto"/>
              </w:rPr>
              <w:t>including common stock subject to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20"/>
              <w:spacing w:after="0"/>
              <w:rPr>
                <w:sz w:val="20"/>
                <w:szCs w:val="20"/>
                <w:color w:val="auto"/>
              </w:rPr>
            </w:pPr>
            <w:r>
              <w:rPr>
                <w:rFonts w:ascii="Arial" w:cs="Arial" w:eastAsia="Arial" w:hAnsi="Arial"/>
                <w:sz w:val="17"/>
                <w:szCs w:val="17"/>
                <w:color w:val="auto"/>
              </w:rPr>
              <w:t>redemption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28,750,000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1,329,500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9,487,500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3,791,209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Basic and diluted net income (loss) per</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12"/>
            <w:vMerge w:val="restart"/>
          </w:tcPr>
          <w:p>
            <w:pPr>
              <w:jc w:val="center"/>
              <w:ind w:right="220"/>
              <w:spacing w:after="0"/>
              <w:rPr>
                <w:sz w:val="20"/>
                <w:szCs w:val="20"/>
                <w:color w:val="auto"/>
              </w:rPr>
            </w:pPr>
            <w:r>
              <w:rPr>
                <w:rFonts w:ascii="Arial" w:cs="Arial" w:eastAsia="Arial" w:hAnsi="Arial"/>
                <w:sz w:val="13"/>
                <w:szCs w:val="13"/>
                <w:b w:val="1"/>
                <w:bCs w:val="1"/>
                <w:color w:val="auto"/>
                <w:w w:val="92"/>
              </w:rPr>
              <w:t>For the six-month period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jc w:val="center"/>
              <w:spacing w:after="0"/>
              <w:rPr>
                <w:sz w:val="20"/>
                <w:szCs w:val="20"/>
                <w:color w:val="auto"/>
              </w:rPr>
            </w:pPr>
            <w:r>
              <w:rPr>
                <w:rFonts w:ascii="Arial" w:cs="Arial" w:eastAsia="Arial" w:hAnsi="Arial"/>
                <w:sz w:val="13"/>
                <w:szCs w:val="13"/>
                <w:b w:val="1"/>
                <w:bCs w:val="1"/>
                <w:color w:val="auto"/>
                <w:w w:val="94"/>
              </w:rPr>
              <w:t>For The Period from</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gridSpan w:val="1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12"/>
          </w:tcPr>
          <w:p>
            <w:pPr>
              <w:jc w:val="center"/>
              <w:ind w:right="180"/>
              <w:spacing w:after="0" w:line="138" w:lineRule="exact"/>
              <w:rPr>
                <w:sz w:val="20"/>
                <w:szCs w:val="20"/>
                <w:color w:val="auto"/>
              </w:rPr>
            </w:pPr>
            <w:r>
              <w:rPr>
                <w:rFonts w:ascii="Arial" w:cs="Arial" w:eastAsia="Arial" w:hAnsi="Arial"/>
                <w:sz w:val="13"/>
                <w:szCs w:val="13"/>
                <w:b w:val="1"/>
                <w:bCs w:val="1"/>
                <w:color w:val="auto"/>
                <w:w w:val="95"/>
              </w:rPr>
              <w:t>March 2, 2021 (Inception) Through</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June 30, 2022</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2"/>
              </w:rPr>
              <w:t>June 30, 2021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7"/>
          </w:tcPr>
          <w:p>
            <w:pPr>
              <w:ind w:left="740"/>
              <w:spacing w:after="0" w:line="131" w:lineRule="exact"/>
              <w:rPr>
                <w:sz w:val="20"/>
                <w:szCs w:val="20"/>
                <w:color w:val="auto"/>
              </w:rPr>
            </w:pPr>
            <w:r>
              <w:rPr>
                <w:rFonts w:ascii="Arial" w:cs="Arial" w:eastAsia="Arial" w:hAnsi="Arial"/>
                <w:sz w:val="13"/>
                <w:szCs w:val="13"/>
                <w:b w:val="1"/>
                <w:bCs w:val="1"/>
                <w:color w:val="auto"/>
              </w:rPr>
              <w:t>Class A</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4"/>
              <w:spacing w:after="0" w:line="131" w:lineRule="exact"/>
              <w:rPr>
                <w:sz w:val="20"/>
                <w:szCs w:val="20"/>
                <w:color w:val="auto"/>
              </w:rPr>
            </w:pPr>
            <w:r>
              <w:rPr>
                <w:rFonts w:ascii="Arial" w:cs="Arial" w:eastAsia="Arial" w:hAnsi="Arial"/>
                <w:sz w:val="13"/>
                <w:szCs w:val="13"/>
                <w:b w:val="1"/>
                <w:bCs w:val="1"/>
                <w:color w:val="auto"/>
                <w:w w:val="87"/>
              </w:rPr>
              <w:t>Class B</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8"/>
          </w:tcPr>
          <w:p>
            <w:pPr>
              <w:ind w:left="700"/>
              <w:spacing w:after="0" w:line="131" w:lineRule="exact"/>
              <w:rPr>
                <w:sz w:val="20"/>
                <w:szCs w:val="20"/>
                <w:color w:val="auto"/>
              </w:rPr>
            </w:pPr>
            <w:r>
              <w:rPr>
                <w:rFonts w:ascii="Arial" w:cs="Arial" w:eastAsia="Arial" w:hAnsi="Arial"/>
                <w:sz w:val="13"/>
                <w:szCs w:val="13"/>
                <w:b w:val="1"/>
                <w:bCs w:val="1"/>
                <w:color w:val="auto"/>
              </w:rPr>
              <w:t>Class A</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43"/>
              <w:spacing w:after="0" w:line="131" w:lineRule="exact"/>
              <w:rPr>
                <w:sz w:val="20"/>
                <w:szCs w:val="20"/>
                <w:color w:val="auto"/>
              </w:rPr>
            </w:pPr>
            <w:r>
              <w:rPr>
                <w:rFonts w:ascii="Arial" w:cs="Arial" w:eastAsia="Arial" w:hAnsi="Arial"/>
                <w:sz w:val="13"/>
                <w:szCs w:val="13"/>
                <w:b w:val="1"/>
                <w:bCs w:val="1"/>
                <w:color w:val="auto"/>
                <w:w w:val="87"/>
              </w:rPr>
              <w:t>Class 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0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ind w:left="20"/>
              <w:spacing w:after="0" w:line="111" w:lineRule="exact"/>
              <w:rPr>
                <w:sz w:val="20"/>
                <w:szCs w:val="20"/>
                <w:color w:val="auto"/>
              </w:rPr>
            </w:pPr>
            <w:r>
              <w:rPr>
                <w:rFonts w:ascii="Arial" w:cs="Arial" w:eastAsia="Arial" w:hAnsi="Arial"/>
                <w:sz w:val="12"/>
                <w:szCs w:val="12"/>
                <w:b w:val="1"/>
                <w:bCs w:val="1"/>
                <w:color w:val="auto"/>
              </w:rPr>
              <w:t>Redeemable</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center"/>
              <w:spacing w:after="0" w:line="111" w:lineRule="exact"/>
              <w:rPr>
                <w:sz w:val="20"/>
                <w:szCs w:val="20"/>
                <w:color w:val="auto"/>
              </w:rPr>
            </w:pPr>
            <w:r>
              <w:rPr>
                <w:rFonts w:ascii="Arial" w:cs="Arial" w:eastAsia="Arial" w:hAnsi="Arial"/>
                <w:sz w:val="12"/>
                <w:szCs w:val="12"/>
                <w:b w:val="1"/>
                <w:bCs w:val="1"/>
                <w:color w:val="auto"/>
                <w:w w:val="99"/>
              </w:rPr>
              <w:t>Non-redeemable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jc w:val="center"/>
              <w:spacing w:after="0" w:line="111" w:lineRule="exact"/>
              <w:rPr>
                <w:sz w:val="20"/>
                <w:szCs w:val="20"/>
                <w:color w:val="auto"/>
              </w:rPr>
            </w:pPr>
            <w:r>
              <w:rPr>
                <w:rFonts w:ascii="Arial" w:cs="Arial" w:eastAsia="Arial" w:hAnsi="Arial"/>
                <w:sz w:val="12"/>
                <w:szCs w:val="12"/>
                <w:b w:val="1"/>
                <w:bCs w:val="1"/>
                <w:color w:val="auto"/>
                <w:w w:val="99"/>
              </w:rPr>
              <w:t>Non-redeemable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tcPr>
          <w:p>
            <w:pPr>
              <w:ind w:left="40"/>
              <w:spacing w:after="0" w:line="111" w:lineRule="exact"/>
              <w:rPr>
                <w:sz w:val="20"/>
                <w:szCs w:val="20"/>
                <w:color w:val="auto"/>
              </w:rPr>
            </w:pPr>
            <w:r>
              <w:rPr>
                <w:rFonts w:ascii="Arial" w:cs="Arial" w:eastAsia="Arial" w:hAnsi="Arial"/>
                <w:sz w:val="12"/>
                <w:szCs w:val="12"/>
                <w:b w:val="1"/>
                <w:bCs w:val="1"/>
                <w:color w:val="auto"/>
              </w:rPr>
              <w:t>Redeemable</w:t>
            </w: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4"/>
          </w:tcPr>
          <w:p>
            <w:pPr>
              <w:jc w:val="right"/>
              <w:ind w:right="60"/>
              <w:spacing w:after="0" w:line="111" w:lineRule="exact"/>
              <w:rPr>
                <w:sz w:val="20"/>
                <w:szCs w:val="20"/>
                <w:color w:val="auto"/>
              </w:rPr>
            </w:pPr>
            <w:r>
              <w:rPr>
                <w:rFonts w:ascii="Arial" w:cs="Arial" w:eastAsia="Arial" w:hAnsi="Arial"/>
                <w:sz w:val="12"/>
                <w:szCs w:val="12"/>
                <w:b w:val="1"/>
                <w:bCs w:val="1"/>
                <w:color w:val="auto"/>
              </w:rPr>
              <w:t>​Non-redeemable</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Borders>
              <w:top w:val="single" w:sz="8" w:color="auto"/>
            </w:tcBorders>
            <w:gridSpan w:val="2"/>
          </w:tcPr>
          <w:p>
            <w:pPr>
              <w:jc w:val="center"/>
              <w:spacing w:after="0" w:line="111" w:lineRule="exact"/>
              <w:rPr>
                <w:sz w:val="20"/>
                <w:szCs w:val="20"/>
                <w:color w:val="auto"/>
              </w:rPr>
            </w:pPr>
            <w:r>
              <w:rPr>
                <w:rFonts w:ascii="Arial" w:cs="Arial" w:eastAsia="Arial" w:hAnsi="Arial"/>
                <w:sz w:val="12"/>
                <w:szCs w:val="12"/>
                <w:b w:val="1"/>
                <w:bCs w:val="1"/>
                <w:color w:val="auto"/>
                <w:w w:val="99"/>
              </w:rPr>
              <w:t>Non-redeemable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3"/>
              </w:rPr>
              <w:t>common stock</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common stock</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common stock</w:t>
            </w:r>
          </w:p>
        </w:tc>
        <w:tc>
          <w:tcPr>
            <w:tcW w:w="60" w:type="dxa"/>
            <w:vAlign w:val="bottom"/>
          </w:tcPr>
          <w:p>
            <w:pPr>
              <w:spacing w:after="0"/>
              <w:rPr>
                <w:sz w:val="13"/>
                <w:szCs w:val="13"/>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3"/>
              </w:rPr>
              <w:t>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3"/>
              </w:rPr>
              <w:t>common 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common stock</w:t>
            </w:r>
          </w:p>
        </w:tc>
        <w:tc>
          <w:tcPr>
            <w:tcW w:w="0" w:type="dxa"/>
            <w:vAlign w:val="bottom"/>
          </w:tcPr>
          <w:p>
            <w:pPr>
              <w:spacing w:after="0"/>
              <w:rPr>
                <w:sz w:val="1"/>
                <w:szCs w:val="1"/>
                <w:color w:val="auto"/>
              </w:rPr>
            </w:pPr>
          </w:p>
        </w:tc>
      </w:tr>
      <w:tr>
        <w:trPr>
          <w:trHeight w:val="194"/>
        </w:trPr>
        <w:tc>
          <w:tcPr>
            <w:tcW w:w="3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Basic and diluted net loss per share:</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gridSpan w:val="2"/>
            <w:shd w:val="clear" w:color="auto" w:fill="CCEEFF"/>
          </w:tcPr>
          <w:p>
            <w:pPr>
              <w:ind w:left="460"/>
              <w:spacing w:after="0" w:line="194"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20"/>
                <w:szCs w:val="20"/>
                <w:color w:val="auto"/>
              </w:rPr>
            </w:pPr>
            <w:r>
              <w:rPr>
                <w:rFonts w:ascii="Arial" w:cs="Arial" w:eastAsia="Arial" w:hAnsi="Arial"/>
                <w:sz w:val="17"/>
                <w:szCs w:val="17"/>
                <w:b w:val="1"/>
                <w:bCs w:val="1"/>
                <w:color w:val="auto"/>
              </w:rPr>
              <w:t>Numerator: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Allocation of net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(2,616)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(863)</w:t>
            </w:r>
          </w:p>
        </w:tc>
        <w:tc>
          <w:tcPr>
            <w:tcW w:w="240" w:type="dxa"/>
            <w:vAlign w:val="bottom"/>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line="189" w:lineRule="exact"/>
              <w:rPr>
                <w:sz w:val="20"/>
                <w:szCs w:val="20"/>
                <w:color w:val="auto"/>
              </w:rPr>
            </w:pPr>
            <w:r>
              <w:rPr>
                <w:rFonts w:ascii="Arial" w:cs="Arial" w:eastAsia="Arial" w:hAnsi="Arial"/>
                <w:sz w:val="17"/>
                <w:szCs w:val="17"/>
                <w:color w:val="auto"/>
              </w:rPr>
              <w:t>Weighted-average shares outstanding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Pr>
          <w:p>
            <w:pPr>
              <w:ind w:left="120"/>
              <w:spacing w:after="0"/>
              <w:rPr>
                <w:sz w:val="20"/>
                <w:szCs w:val="20"/>
                <w:color w:val="auto"/>
              </w:rPr>
            </w:pPr>
            <w:r>
              <w:rPr>
                <w:rFonts w:ascii="Arial" w:cs="Arial" w:eastAsia="Arial" w:hAnsi="Arial"/>
                <w:sz w:val="17"/>
                <w:szCs w:val="17"/>
                <w:color w:val="auto"/>
              </w:rPr>
              <w:t>including common stock subject to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Arial" w:cs="Arial" w:eastAsia="Arial" w:hAnsi="Arial"/>
                <w:sz w:val="17"/>
                <w:szCs w:val="17"/>
                <w:color w:val="auto"/>
              </w:rPr>
              <w:t>redemption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3"/>
              </w:rPr>
              <w:t>28,750,000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1,329,500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9,487,500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2,946,875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share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Company accounts for income taxes under ASC 740, “Income Taxes.” ASC 740, Income Taxes, requires the recognition of deferred tax assets and liabilities for both the expected impact of differences between the unaudited condensed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June 30, 2022 and December 31, 2021, the Company’s deferred tax asset had a full valuation allowance recorded against it. Our effective tax rate was 46.14% and 0% for the three months ended June 30, 2022 and 2021, respectively, and 104.16% and 0% for the six months ended June 30, 2022 and for the period from March 2, 2021 (Inception) through June 30, 2021, respectively. The effective tax rate differs from the statutory tax rate of 21% due to the valuation allowance on the deferred tax assets.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coverage of $250,000. At June 30, 2022, the Company had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also removes certain settlement conditions that are required for equity-linked contracts to qualify for the derivative scope exception, and it simplifies the diluted earnings per share calculation in certain areas. The Company is currently evaluating the impact of the ASU on its financial position, results of operations or cash flows.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does not believe that any other recently issued, but not yet effective, accounting standards if currently adopted would have a material effect on the accompanying unaudited condensed financial statement.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3-Initial Public Offering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Units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common stock is subject to SEC and its staff’s guidance on redeemable equity instruments, which has been codified in ASC 480- 10-S99. If it is probable that the equity instrument will become redeemable, the Company has the option to either accrete changes in the redemption value over the period from the date of issuance (or from the date that it becomes probable that the instrument will become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30, 2022 and December 31, 2021, the common stock subject to redemption reflected on the balance sheet are reconciled in the following table: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201"/>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287,500,000</w:t>
            </w:r>
          </w:p>
        </w:tc>
      </w:tr>
      <w:tr>
        <w:trPr>
          <w:trHeight w:val="201"/>
        </w:trPr>
        <w:tc>
          <w:tcPr>
            <w:tcW w:w="6780" w:type="dxa"/>
            <w:vAlign w:val="bottom"/>
          </w:tcPr>
          <w:p>
            <w:pPr>
              <w:spacing w:after="0"/>
              <w:rPr>
                <w:sz w:val="20"/>
                <w:szCs w:val="20"/>
                <w:color w:val="auto"/>
              </w:rPr>
            </w:pPr>
            <w:r>
              <w:rPr>
                <w:rFonts w:ascii="Arial" w:cs="Arial" w:eastAsia="Arial" w:hAnsi="Arial"/>
                <w:sz w:val="17"/>
                <w:szCs w:val="17"/>
                <w:color w:val="auto"/>
              </w:rPr>
              <w:t>Overfunding From Private Placements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4,312,500</w:t>
            </w:r>
          </w:p>
        </w:tc>
      </w:tr>
      <w:tr>
        <w:trPr>
          <w:trHeight w:val="201"/>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Less: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6780" w:type="dxa"/>
            <w:vAlign w:val="bottom"/>
          </w:tcPr>
          <w:p>
            <w:pPr>
              <w:spacing w:after="0"/>
              <w:rPr>
                <w:sz w:val="20"/>
                <w:szCs w:val="20"/>
                <w:color w:val="auto"/>
              </w:rPr>
            </w:pPr>
            <w:r>
              <w:rPr>
                <w:rFonts w:ascii="Arial" w:cs="Arial" w:eastAsia="Arial" w:hAnsi="Arial"/>
                <w:sz w:val="17"/>
                <w:szCs w:val="17"/>
                <w:color w:val="auto"/>
              </w:rPr>
              <w:t>Proceeds allocated to Public Warrants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7"/>
              </w:rPr>
              <w:t>(18,781,216)</w:t>
            </w:r>
          </w:p>
        </w:tc>
      </w:tr>
      <w:tr>
        <w:trPr>
          <w:trHeight w:val="201"/>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Class A ordinary shares issuance costs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(15,701,564)</w:t>
            </w:r>
          </w:p>
        </w:tc>
      </w:tr>
      <w:tr>
        <w:trPr>
          <w:trHeight w:val="201"/>
        </w:trPr>
        <w:tc>
          <w:tcPr>
            <w:tcW w:w="6780" w:type="dxa"/>
            <w:vAlign w:val="bottom"/>
          </w:tcPr>
          <w:p>
            <w:pPr>
              <w:spacing w:after="0"/>
              <w:rPr>
                <w:sz w:val="20"/>
                <w:szCs w:val="20"/>
                <w:color w:val="auto"/>
              </w:rPr>
            </w:pPr>
            <w:r>
              <w:rPr>
                <w:rFonts w:ascii="Arial" w:cs="Arial" w:eastAsia="Arial" w:hAnsi="Arial"/>
                <w:sz w:val="17"/>
                <w:szCs w:val="17"/>
                <w:color w:val="auto"/>
              </w:rPr>
              <w:t>Plus: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Accretion of carrying value to redemption value</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34,482,780</w:t>
            </w:r>
          </w:p>
        </w:tc>
      </w:tr>
      <w:tr>
        <w:trPr>
          <w:trHeight w:val="194"/>
        </w:trPr>
        <w:tc>
          <w:tcPr>
            <w:tcW w:w="6780" w:type="dxa"/>
            <w:vAlign w:val="bottom"/>
          </w:tcPr>
          <w:p>
            <w:pPr>
              <w:spacing w:after="0" w:line="194" w:lineRule="exact"/>
              <w:rPr>
                <w:sz w:val="20"/>
                <w:szCs w:val="20"/>
                <w:color w:val="auto"/>
              </w:rPr>
            </w:pPr>
            <w:r>
              <w:rPr>
                <w:rFonts w:ascii="Arial" w:cs="Arial" w:eastAsia="Arial" w:hAnsi="Arial"/>
                <w:sz w:val="17"/>
                <w:szCs w:val="17"/>
                <w:b w:val="1"/>
                <w:bCs w:val="1"/>
                <w:color w:val="auto"/>
              </w:rPr>
              <w:t>Class A ordinary shares subject to possible redemption, December 31, 2021</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line="194" w:lineRule="exact"/>
              <w:rPr>
                <w:sz w:val="20"/>
                <w:szCs w:val="20"/>
                <w:color w:val="auto"/>
              </w:rPr>
            </w:pPr>
            <w:r>
              <w:rPr>
                <w:rFonts w:ascii="Arial" w:cs="Arial" w:eastAsia="Arial" w:hAnsi="Arial"/>
                <w:sz w:val="17"/>
                <w:szCs w:val="17"/>
                <w:b w:val="1"/>
                <w:bCs w:val="1"/>
                <w:color w:val="auto"/>
                <w:w w:val="95"/>
              </w:rPr>
              <w:t>291,812,500</w:t>
            </w:r>
          </w:p>
        </w:tc>
      </w:tr>
      <w:tr>
        <w:trPr>
          <w:trHeight w:val="201"/>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67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Accretion of carrying value to redemption value</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301,602</w:t>
            </w:r>
          </w:p>
        </w:tc>
      </w:tr>
      <w:tr>
        <w:trPr>
          <w:trHeight w:val="194"/>
        </w:trPr>
        <w:tc>
          <w:tcPr>
            <w:tcW w:w="67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Class A ordinary shares subject to possible redemption, June 30, 2022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w w:val="95"/>
              </w:rPr>
              <w:t>292,114,102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4-Private Placement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5-Related Party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Founder Shares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6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consummation of this offering, the placement units and securities underlying the placement units and assuming the initial stockholders do not purchase units in this offering).</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Promissory Note — Related Party</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Sponsors agreed to loan the Company up to $300,000 to be used for a portion of the expenses of the IPO. These loans are non- interest bearing, unsecured and due on demand. As of June 30, 2022 and December 31, 2021, the Company had total of borrowings of $0 and $144,746 under the promissory note, respectively. As of the Initial Public Offering date, December 15, 2021, the Company no longer has the ability to utilize the Promissory note.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Loans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June 30, 2022 and December 31, 2021, no such Working Capital Loans were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Support Agreement</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June 30, 2022 and December 31, 2021, the Company accrued $60,000 and $7,097 for the administrative service fees, which are included in due to related party on the accompanying balance sheets,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Rule 415 under the Securities Act. The registration rights agreement does not contain liquidated damages or other cash settlement provisions resulting from delays in registering the Company’s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December 15, 2021, the Company paid a cash underwriting discount of 1.0% per Unit, or $2,875,000, as part of the underwriting fee.</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Representative shares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 of First Refusal</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authorized to issue 1,000,000 shares of preferred stock with a par value of $0.0001 per share. As of June 30, 2022 and December 31, 2021, there were no shares of preferred stock issued or outstanding.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authorized to issue 280,000,000 shares of Class A common stock with a par value of $0.0001 per share. Holders of Class A common stock are entitled to one vote for each share. At June 30, 2022 and December 31, 2021, there were 1,329,500 Class A common stock issued or outstanding, excluding 28,750,000 Class A common stock subject to possible redemption.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As of December 15, 2021, there were 9,487,500 shares of Class B common stock issued and outstanding.</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the Company may redeem the outstanding warrants:</w:t>
      </w:r>
    </w:p>
    <w:p>
      <w:pPr>
        <w:spacing w:after="0" w:line="207" w:lineRule="exact"/>
        <w:rPr>
          <w:sz w:val="20"/>
          <w:szCs w:val="20"/>
          <w:color w:val="auto"/>
        </w:rPr>
      </w:pPr>
    </w:p>
    <w:p>
      <w:pPr>
        <w:ind w:left="300" w:hanging="298"/>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206" w:lineRule="exact"/>
        <w:rPr>
          <w:rFonts w:ascii="Arial" w:cs="Arial" w:eastAsia="Arial" w:hAnsi="Arial"/>
          <w:sz w:val="17"/>
          <w:szCs w:val="17"/>
          <w:color w:val="auto"/>
        </w:rPr>
      </w:pPr>
    </w:p>
    <w:p>
      <w:pPr>
        <w:ind w:left="300" w:hanging="298"/>
        <w:spacing w:after="0"/>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206" w:lineRule="exact"/>
        <w:rPr>
          <w:rFonts w:ascii="Arial" w:cs="Arial" w:eastAsia="Arial" w:hAnsi="Arial"/>
          <w:sz w:val="17"/>
          <w:szCs w:val="17"/>
          <w:color w:val="auto"/>
        </w:rPr>
      </w:pPr>
    </w:p>
    <w:p>
      <w:pPr>
        <w:ind w:firstLine="2"/>
        <w:spacing w:after="0" w:line="268" w:lineRule="auto"/>
        <w:tabs>
          <w:tab w:leader="none" w:pos="302" w:val="left"/>
        </w:tabs>
        <w:numPr>
          <w:ilvl w:val="0"/>
          <w:numId w:val="6"/>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given after the warrants become exercisable (the “30-day redemption period”) to each warrant holder;</w:t>
      </w:r>
    </w:p>
    <w:p>
      <w:pPr>
        <w:spacing w:after="0" w:line="166" w:lineRule="exact"/>
        <w:rPr>
          <w:rFonts w:ascii="Arial" w:cs="Arial" w:eastAsia="Arial" w:hAnsi="Arial"/>
          <w:sz w:val="17"/>
          <w:szCs w:val="17"/>
          <w:color w:val="auto"/>
        </w:rPr>
      </w:pPr>
    </w:p>
    <w:p>
      <w:pPr>
        <w:jc w:val="both"/>
        <w:ind w:firstLine="2"/>
        <w:spacing w:after="0" w:line="308" w:lineRule="auto"/>
        <w:tabs>
          <w:tab w:leader="none" w:pos="302"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40" w:lineRule="exact"/>
        <w:rPr>
          <w:rFonts w:ascii="Arial" w:cs="Arial" w:eastAsia="Arial" w:hAnsi="Arial"/>
          <w:sz w:val="15"/>
          <w:szCs w:val="15"/>
          <w:color w:val="auto"/>
        </w:rPr>
      </w:pPr>
    </w:p>
    <w:p>
      <w:pPr>
        <w:ind w:left="300" w:hanging="298"/>
        <w:spacing w:after="0"/>
        <w:tabs>
          <w:tab w:leader="none" w:pos="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and only if, there is a current registration statement in effect with respect to the shares of Class A common stock underlying such warrants.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BURTECH ACQUISITION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60" w:lineRule="exact"/>
        <w:rPr>
          <w:sz w:val="20"/>
          <w:szCs w:val="20"/>
          <w:color w:val="auto"/>
        </w:rPr>
      </w:pPr>
    </w:p>
    <w:p>
      <w:pPr>
        <w:jc w:val="both"/>
        <w:ind w:firstLine="302"/>
        <w:spacing w:after="0" w:line="254" w:lineRule="auto"/>
        <w:rPr>
          <w:sz w:val="20"/>
          <w:szCs w:val="20"/>
          <w:color w:val="auto"/>
        </w:rPr>
      </w:pPr>
      <w:r>
        <w:rPr>
          <w:rFonts w:ascii="Arial" w:cs="Arial" w:eastAsia="Arial" w:hAnsi="Arial"/>
          <w:sz w:val="17"/>
          <w:szCs w:val="17"/>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Fair Value Measurements</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presents information about the Company’s assets and liabilities that were measured at fair value on a recurring basis as of June 30, 2022 and indicates the fair value hierarchy of the valuation techniques the Company utilized to determine such fair value.</w:t>
      </w:r>
    </w:p>
    <w:p>
      <w:pPr>
        <w:spacing w:after="0" w:line="137"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Quoted Prices In</w:t>
            </w:r>
          </w:p>
        </w:tc>
        <w:tc>
          <w:tcPr>
            <w:tcW w:w="8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w w:val="93"/>
              </w:rPr>
              <w:t>Significant 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45"/>
              <w:spacing w:after="0"/>
              <w:rPr>
                <w:sz w:val="20"/>
                <w:szCs w:val="20"/>
                <w:color w:val="auto"/>
              </w:rPr>
            </w:pPr>
            <w:r>
              <w:rPr>
                <w:rFonts w:ascii="Arial" w:cs="Arial" w:eastAsia="Arial" w:hAnsi="Arial"/>
                <w:sz w:val="13"/>
                <w:szCs w:val="13"/>
                <w:b w:val="1"/>
                <w:bCs w:val="1"/>
                <w:color w:val="auto"/>
                <w:w w:val="93"/>
              </w:rPr>
              <w:t>Significant Other</w:t>
            </w:r>
          </w:p>
        </w:tc>
        <w:tc>
          <w:tcPr>
            <w:tcW w:w="0" w:type="dxa"/>
            <w:vAlign w:val="bottom"/>
          </w:tcPr>
          <w:p>
            <w:pPr>
              <w:spacing w:after="0"/>
              <w:rPr>
                <w:sz w:val="1"/>
                <w:szCs w:val="1"/>
                <w:color w:val="auto"/>
              </w:rPr>
            </w:pPr>
          </w:p>
        </w:tc>
      </w:tr>
      <w:tr>
        <w:trPr>
          <w:trHeight w:val="138"/>
        </w:trPr>
        <w:tc>
          <w:tcPr>
            <w:tcW w:w="2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w w:val="94"/>
              </w:rPr>
              <w:t>June 30, 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5"/>
              </w:rPr>
              <w:t>Active Markets</w:t>
            </w:r>
          </w:p>
        </w:tc>
        <w:tc>
          <w:tcPr>
            <w:tcW w:w="11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6"/>
              </w:rPr>
              <w:t>Observable Inputs</w:t>
            </w:r>
          </w:p>
        </w:tc>
        <w:tc>
          <w:tcPr>
            <w:tcW w:w="120" w:type="dxa"/>
            <w:vAlign w:val="bottom"/>
          </w:tcPr>
          <w:p>
            <w:pPr>
              <w:spacing w:after="0"/>
              <w:rPr>
                <w:sz w:val="12"/>
                <w:szCs w:val="12"/>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Unobservable Inputs</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(Level 1)</w:t>
            </w:r>
          </w:p>
        </w:tc>
        <w:tc>
          <w:tcPr>
            <w:tcW w:w="80" w:type="dxa"/>
            <w:vAlign w:val="bottom"/>
          </w:tcPr>
          <w:p>
            <w:pPr>
              <w:spacing w:after="0"/>
              <w:rPr>
                <w:sz w:val="13"/>
                <w:szCs w:val="13"/>
                <w:color w:val="auto"/>
              </w:rPr>
            </w:pPr>
          </w:p>
        </w:tc>
        <w:tc>
          <w:tcPr>
            <w:tcW w:w="1100" w:type="dxa"/>
            <w:vAlign w:val="bottom"/>
          </w:tcPr>
          <w:p>
            <w:pPr>
              <w:jc w:val="right"/>
              <w:ind w:right="265"/>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4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194"/>
        </w:trPr>
        <w:tc>
          <w:tcPr>
            <w:tcW w:w="24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Assets:</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20"/>
                <w:szCs w:val="20"/>
                <w:color w:val="auto"/>
              </w:rPr>
            </w:pPr>
            <w:r>
              <w:rPr>
                <w:rFonts w:ascii="Arial" w:cs="Arial" w:eastAsia="Arial" w:hAnsi="Arial"/>
                <w:sz w:val="17"/>
                <w:szCs w:val="17"/>
                <w:color w:val="auto"/>
              </w:rPr>
              <w:t>Cash and Marketable Securities</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w w:val="97"/>
              </w:rPr>
              <w:t>292,236,831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292,236,831</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ind w:left="9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4"/>
        </w:trPr>
        <w:tc>
          <w:tcPr>
            <w:tcW w:w="24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292,236,831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292,236,831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ind w:left="980"/>
              <w:spacing w:after="0" w:line="194"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fair value of Representative Shares were valued with a Probability Weighted Expected Return Model (“PWERM”) which is considered to be a Level 3 fair value measurement. The PWERM factors in the stock price, the timing of the business combination, and the timing of the lapse of the transfer restrictions. The fair value was the discounted cash flow from the sale of the securities at the time the restrictions terminated. The expected return was the probability weighted and discounted for lack of marketability.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key inputs used in the PWERM for the representative shares valuation as of June 30, 2022 were as follows:</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6640" w:type="dxa"/>
            <w:vAlign w:val="bottom"/>
            <w:vMerge w:val="restart"/>
          </w:tcPr>
          <w:p>
            <w:pPr>
              <w:spacing w:after="0"/>
              <w:rPr>
                <w:sz w:val="20"/>
                <w:szCs w:val="20"/>
                <w:color w:val="auto"/>
              </w:rPr>
            </w:pPr>
            <w:r>
              <w:rPr>
                <w:rFonts w:ascii="Arial" w:cs="Arial" w:eastAsia="Arial" w:hAnsi="Arial"/>
                <w:sz w:val="13"/>
                <w:szCs w:val="13"/>
                <w:b w:val="1"/>
                <w:bCs w:val="1"/>
                <w:color w:val="auto"/>
              </w:rPr>
              <w:t>Input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36"/>
              <w:spacing w:after="0"/>
              <w:rPr>
                <w:sz w:val="20"/>
                <w:szCs w:val="20"/>
                <w:color w:val="auto"/>
              </w:rPr>
            </w:pPr>
            <w:r>
              <w:rPr>
                <w:rFonts w:ascii="Arial" w:cs="Arial" w:eastAsia="Arial" w:hAnsi="Arial"/>
                <w:sz w:val="13"/>
                <w:szCs w:val="13"/>
                <w:b w:val="1"/>
                <w:bCs w:val="1"/>
                <w:color w:val="auto"/>
                <w:w w:val="89"/>
              </w:rPr>
              <w:t>December 15,</w:t>
            </w:r>
          </w:p>
        </w:tc>
        <w:tc>
          <w:tcPr>
            <w:tcW w:w="0" w:type="dxa"/>
            <w:vAlign w:val="bottom"/>
          </w:tcPr>
          <w:p>
            <w:pPr>
              <w:spacing w:after="0"/>
              <w:rPr>
                <w:sz w:val="1"/>
                <w:szCs w:val="1"/>
                <w:color w:val="auto"/>
              </w:rPr>
            </w:pPr>
          </w:p>
        </w:tc>
      </w:tr>
      <w:tr>
        <w:trPr>
          <w:trHeight w:val="158"/>
        </w:trPr>
        <w:tc>
          <w:tcPr>
            <w:tcW w:w="66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Likelihood of business combination</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90</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Expected term (years)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0.57 %</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7"/>
                <w:szCs w:val="17"/>
                <w:color w:val="auto"/>
              </w:rPr>
              <w:t>Stock Price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Subsequent Events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condensed financial statement was issued. Based on the Company’s review, the Company did not identify any subsequent events that would have required adjustment or disclosure in the condensed financial statement.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(as defined below) filed with the U.S. Securities and Exchange Commission (the “SEC”).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will have only 15 months from the closing of the IPO (the “Combination Period”) to complete the initial Business Combination. If we are unable to complete the initial business combination within the Combination Period (and the stockholders have not approved an amendment to our charter extending this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entire activity since inception up to June 30, 2022 was in preparation for our initial public offering. We will not generate any operating revenues until the closing and completion of our initial business combination, at the earliest.</w:t>
      </w:r>
    </w:p>
    <w:p>
      <w:pPr>
        <w:spacing w:after="0" w:line="16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For the three months ended June 30, 2022, we had a net income of $93,322, which consisted of interest from marketable securities held in our Trust Account of $394,047, offset by formation and operating costs of $220,049 and provision for income taxes of $80,676</w:t>
      </w:r>
    </w:p>
    <w:p>
      <w:pPr>
        <w:spacing w:after="0" w:line="1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For the six months ended June 30, 2022, we had a net loss of $3,600, which consisted of formation and operating costs of $346,356 and provision for income taxes of $80,676 offset by interest from marketable securities held in our Trust Account of $423,432.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2021, we had a net loss of $500, which consisted of formation and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For the period from March 2, 2021 (Inception) through June 30, 2021, we had a net loss of $500, which consisted of formation and operating costs.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Going Concern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June 30, 2022, the Company had $621,578 in its operating bank accounts, $292,236,831 in investments held in the Trust Account to be used for a Business Combination or to repurchase or redeem its Public Shares in connection therewith and working capital of $715,923. As of June 30, 2022, $423,432 of the amount on deposit in the Trust Account represented interest income.</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liquidity needs up to June 30, 2022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June 30, 2022, there were no amounts outstanding under any Working Capital Loans.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Subject to Possible Redemption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temporary equity. At all other times, common stock is classified as stockholders’ equity. Our Class A common stock feature certain redemption rights that are considered to be outside of our control and subject to the occurrence of uncertain future events. Accordingly, as of June 30, 2022 and December 31, 2021, 28,750,000 Class A common stock subject to possible redemption are presented at redemption value as temporary equity, outside of the stockholders’ deficit section of our balance sheets.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Common Stock</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and six months ended June 30, 2022 because the warrants are contingently exercisable, and the contingencies have not yet been met and its inclusion would be anti-dilutive. As a result, diluted net loss per common stock is the same as basic net loss per common stock for the periods.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Financing Arrangements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no obligations, assets or liabilities, which would be considered off-balance sheet arrangements as of June 30, 2022 and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August 2020, the FASB issued Accounting Standards Update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The ASU also removes certain settlement conditions that are required for equity-linked contracts to qualify for the derivative scope exception, and it simplifies the diluted earnings per share calculation in certain areas. We are currently evaluating the impact of the ASU on its financial position, results of operations or cash flows.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management does not believe that any other recently issued, but not yet effective, accounting standards if currently adopted would have a material effect on the accompanying financial statement.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we are not required to make disclosures under this Item.</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June 30, 2022,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 smaller reporting company as defined by Rule 12b-2 of the Exchange Act and are not required to provide the information otherwise required under this item.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as part of, or incorporated by reference into, this Quarterly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2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280" w:type="dxa"/>
            <w:vAlign w:val="bottom"/>
          </w:tcPr>
          <w:p>
            <w:pPr>
              <w:spacing w:after="0"/>
              <w:rPr>
                <w:sz w:val="13"/>
                <w:szCs w:val="13"/>
                <w:color w:val="auto"/>
              </w:rPr>
            </w:pPr>
          </w:p>
        </w:tc>
        <w:tc>
          <w:tcPr>
            <w:tcW w:w="842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1220" w:type="dxa"/>
            <w:vAlign w:val="bottom"/>
            <w:tcBorders>
              <w:top w:val="single" w:sz="8" w:color="auto"/>
              <w:bottom w:val="single" w:sz="8" w:color="CCEEFF"/>
            </w:tcBorders>
            <w:shd w:val="clear" w:color="auto" w:fill="CCEEFF"/>
          </w:tcPr>
          <w:p>
            <w:pPr>
              <w:spacing w:after="0" w:line="156" w:lineRule="exact"/>
              <w:rPr>
                <w:sz w:val="20"/>
                <w:szCs w:val="20"/>
                <w:color w:val="auto"/>
              </w:rPr>
            </w:pPr>
            <w:r>
              <w:rPr>
                <w:rFonts w:ascii="Arial" w:cs="Arial" w:eastAsia="Arial" w:hAnsi="Arial"/>
                <w:sz w:val="17"/>
                <w:szCs w:val="17"/>
                <w:color w:val="auto"/>
              </w:rPr>
              <w:t>31.1*</w:t>
            </w:r>
          </w:p>
        </w:tc>
        <w:tc>
          <w:tcPr>
            <w:tcW w:w="2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420" w:type="dxa"/>
            <w:vAlign w:val="bottom"/>
            <w:tcBorders>
              <w:top w:val="single" w:sz="8" w:color="auto"/>
              <w:bottom w:val="single" w:sz="8" w:color="0000EE"/>
            </w:tcBorders>
            <w:gridSpan w:val="3"/>
            <w:shd w:val="clear" w:color="auto" w:fill="CCEEFF"/>
          </w:tcPr>
          <w:p>
            <w:pPr>
              <w:spacing w:after="0" w:line="156" w:lineRule="exact"/>
              <w:rPr>
                <w:sz w:val="20"/>
                <w:szCs w:val="20"/>
                <w:color w:val="auto"/>
              </w:rPr>
            </w:pPr>
            <w:r>
              <w:rPr>
                <w:rFonts w:ascii="Arial" w:cs="Arial" w:eastAsia="Arial" w:hAnsi="Arial"/>
                <w:sz w:val="17"/>
                <w:szCs w:val="17"/>
                <w:color w:val="0000EE"/>
                <w:w w:val="89"/>
              </w:rPr>
              <w:t>Certification of Principal Executive Officer Pursuant to Securities Exchange Act Rules 13a-14(a) and 15(d)-14(a), as adopted</w:t>
            </w:r>
          </w:p>
        </w:tc>
      </w:tr>
      <w:tr>
        <w:trPr>
          <w:trHeight w:val="181"/>
        </w:trPr>
        <w:tc>
          <w:tcPr>
            <w:tcW w:w="12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420" w:type="dxa"/>
            <w:vAlign w:val="bottom"/>
            <w:gridSpan w:val="3"/>
            <w:shd w:val="clear" w:color="auto" w:fill="CCEEFF"/>
          </w:tcPr>
          <w:p>
            <w:pPr>
              <w:spacing w:after="0" w:line="181" w:lineRule="exact"/>
              <w:rPr>
                <w:sz w:val="20"/>
                <w:szCs w:val="20"/>
                <w:color w:val="auto"/>
              </w:rPr>
            </w:pPr>
            <w:r>
              <w:rPr>
                <w:rFonts w:ascii="Arial" w:cs="Arial" w:eastAsia="Arial" w:hAnsi="Arial"/>
                <w:sz w:val="17"/>
                <w:szCs w:val="17"/>
                <w:color w:val="0000EE"/>
              </w:rPr>
              <w:t>Pursuant to Section 302 of the Sarbanes-Oxley Act of 2002</w:t>
            </w:r>
          </w:p>
        </w:tc>
      </w:tr>
      <w:tr>
        <w:trPr>
          <w:trHeight w:val="38"/>
        </w:trPr>
        <w:tc>
          <w:tcPr>
            <w:tcW w:w="1220" w:type="dxa"/>
            <w:vAlign w:val="bottom"/>
            <w:shd w:val="clear" w:color="auto" w:fill="CCEEFF"/>
          </w:tcPr>
          <w:p>
            <w:pPr>
              <w:spacing w:after="0"/>
              <w:rPr>
                <w:sz w:val="3"/>
                <w:szCs w:val="3"/>
                <w:color w:val="auto"/>
              </w:rPr>
            </w:pPr>
          </w:p>
        </w:tc>
        <w:tc>
          <w:tcPr>
            <w:tcW w:w="280" w:type="dxa"/>
            <w:vAlign w:val="bottom"/>
            <w:tcBorders>
              <w:right w:val="single" w:sz="8" w:color="0000EE"/>
            </w:tcBorders>
            <w:shd w:val="clear" w:color="auto" w:fill="CCEEFF"/>
          </w:tcPr>
          <w:p>
            <w:pPr>
              <w:spacing w:after="0"/>
              <w:rPr>
                <w:sz w:val="3"/>
                <w:szCs w:val="3"/>
                <w:color w:val="auto"/>
              </w:rPr>
            </w:pPr>
          </w:p>
        </w:tc>
        <w:tc>
          <w:tcPr>
            <w:tcW w:w="3940" w:type="dxa"/>
            <w:vAlign w:val="bottom"/>
            <w:shd w:val="clear" w:color="auto" w:fill="0000EE"/>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3"/>
        </w:trPr>
        <w:tc>
          <w:tcPr>
            <w:tcW w:w="1220" w:type="dxa"/>
            <w:vAlign w:val="bottom"/>
          </w:tcPr>
          <w:p>
            <w:pPr>
              <w:spacing w:after="0" w:line="163" w:lineRule="exact"/>
              <w:rPr>
                <w:sz w:val="20"/>
                <w:szCs w:val="20"/>
                <w:color w:val="auto"/>
              </w:rPr>
            </w:pPr>
            <w:r>
              <w:rPr>
                <w:rFonts w:ascii="Arial" w:cs="Arial" w:eastAsia="Arial" w:hAnsi="Arial"/>
                <w:sz w:val="17"/>
                <w:szCs w:val="17"/>
                <w:color w:val="auto"/>
              </w:rPr>
              <w:t>31.2*</w:t>
            </w:r>
          </w:p>
        </w:tc>
        <w:tc>
          <w:tcPr>
            <w:tcW w:w="280" w:type="dxa"/>
            <w:vAlign w:val="bottom"/>
          </w:tcPr>
          <w:p>
            <w:pPr>
              <w:spacing w:after="0"/>
              <w:rPr>
                <w:sz w:val="14"/>
                <w:szCs w:val="14"/>
                <w:color w:val="auto"/>
              </w:rPr>
            </w:pPr>
          </w:p>
        </w:tc>
        <w:tc>
          <w:tcPr>
            <w:tcW w:w="8420" w:type="dxa"/>
            <w:vAlign w:val="bottom"/>
            <w:tcBorders>
              <w:bottom w:val="single" w:sz="8" w:color="0000EE"/>
            </w:tcBorders>
            <w:gridSpan w:val="3"/>
          </w:tcPr>
          <w:p>
            <w:pPr>
              <w:spacing w:after="0" w:line="163" w:lineRule="exact"/>
              <w:rPr>
                <w:sz w:val="20"/>
                <w:szCs w:val="20"/>
                <w:color w:val="auto"/>
              </w:rPr>
            </w:pPr>
            <w:r>
              <w:rPr>
                <w:rFonts w:ascii="Arial" w:cs="Arial" w:eastAsia="Arial" w:hAnsi="Arial"/>
                <w:sz w:val="17"/>
                <w:szCs w:val="17"/>
                <w:color w:val="0000EE"/>
                <w:w w:val="90"/>
              </w:rPr>
              <w:t>Certification of Principal Financial Officer Pursuant to Securities Exchange Act Rules 13a-14(a) and 15(d)-14(a), as adopted</w:t>
            </w:r>
          </w:p>
        </w:tc>
      </w:tr>
      <w:tr>
        <w:trPr>
          <w:trHeight w:val="181"/>
        </w:trPr>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20" w:type="dxa"/>
            <w:vAlign w:val="bottom"/>
            <w:gridSpan w:val="3"/>
          </w:tcPr>
          <w:p>
            <w:pPr>
              <w:spacing w:after="0" w:line="181" w:lineRule="exact"/>
              <w:rPr>
                <w:sz w:val="20"/>
                <w:szCs w:val="20"/>
                <w:color w:val="auto"/>
              </w:rPr>
            </w:pPr>
            <w:r>
              <w:rPr>
                <w:rFonts w:ascii="Arial" w:cs="Arial" w:eastAsia="Arial" w:hAnsi="Arial"/>
                <w:sz w:val="17"/>
                <w:szCs w:val="17"/>
                <w:color w:val="0000EE"/>
              </w:rPr>
              <w:t>Pursuant to Section 302 of the Sarbanes-Oxley Act of 2002</w:t>
            </w:r>
          </w:p>
        </w:tc>
      </w:tr>
      <w:tr>
        <w:trPr>
          <w:trHeight w:val="20"/>
        </w:trPr>
        <w:tc>
          <w:tcPr>
            <w:tcW w:w="1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12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32**</w:t>
            </w:r>
          </w:p>
        </w:tc>
        <w:tc>
          <w:tcPr>
            <w:tcW w:w="280" w:type="dxa"/>
            <w:vAlign w:val="bottom"/>
            <w:tcBorders>
              <w:right w:val="single" w:sz="8" w:color="CCEEFF"/>
            </w:tcBorders>
            <w:shd w:val="clear" w:color="auto" w:fill="CCEEFF"/>
          </w:tcPr>
          <w:p>
            <w:pPr>
              <w:spacing w:after="0"/>
              <w:rPr>
                <w:sz w:val="15"/>
                <w:szCs w:val="15"/>
                <w:color w:val="auto"/>
              </w:rPr>
            </w:pPr>
          </w:p>
        </w:tc>
        <w:tc>
          <w:tcPr>
            <w:tcW w:w="8420" w:type="dxa"/>
            <w:vAlign w:val="bottom"/>
            <w:gridSpan w:val="3"/>
            <w:shd w:val="clear" w:color="auto" w:fill="CCEEFF"/>
          </w:tcPr>
          <w:p>
            <w:pPr>
              <w:spacing w:after="0" w:line="181" w:lineRule="exact"/>
              <w:rPr>
                <w:sz w:val="20"/>
                <w:szCs w:val="20"/>
                <w:color w:val="auto"/>
              </w:rPr>
            </w:pPr>
            <w:r>
              <w:rPr>
                <w:rFonts w:ascii="Arial" w:cs="Arial" w:eastAsia="Arial" w:hAnsi="Arial"/>
                <w:sz w:val="17"/>
                <w:szCs w:val="17"/>
                <w:color w:val="0000EE"/>
                <w:w w:val="92"/>
              </w:rPr>
              <w:t>Certification of Principal Executive Officer and Principal Financial Officer Pursuant to 18 U.S.C. Section 1350, as adopted</w:t>
            </w:r>
          </w:p>
        </w:tc>
      </w:tr>
      <w:tr>
        <w:trPr>
          <w:trHeight w:val="199"/>
        </w:trPr>
        <w:tc>
          <w:tcPr>
            <w:tcW w:w="1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400" w:type="dxa"/>
            <w:vAlign w:val="bottom"/>
            <w:tcBorders>
              <w:top w:val="single" w:sz="8" w:color="0000EE"/>
            </w:tcBorders>
            <w:gridSpan w:val="2"/>
            <w:shd w:val="clear" w:color="auto" w:fill="CCEEFF"/>
          </w:tcPr>
          <w:p>
            <w:pPr>
              <w:spacing w:after="0" w:line="181" w:lineRule="exact"/>
              <w:rPr>
                <w:sz w:val="20"/>
                <w:szCs w:val="20"/>
                <w:color w:val="auto"/>
              </w:rPr>
            </w:pPr>
            <w:r>
              <w:rPr>
                <w:rFonts w:ascii="Arial" w:cs="Arial" w:eastAsia="Arial" w:hAnsi="Arial"/>
                <w:sz w:val="17"/>
                <w:szCs w:val="17"/>
                <w:color w:val="0000EE"/>
              </w:rPr>
              <w:t>Pursuant to Section 906 of the Sarbanes-Oxley 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01"/>
        </w:trPr>
        <w:tc>
          <w:tcPr>
            <w:tcW w:w="12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101.INS</w:t>
            </w:r>
          </w:p>
        </w:tc>
        <w:tc>
          <w:tcPr>
            <w:tcW w:w="280" w:type="dxa"/>
            <w:vAlign w:val="bottom"/>
            <w:tcBorders>
              <w:top w:val="single" w:sz="8" w:color="CCEEFF"/>
            </w:tcBorders>
          </w:tcPr>
          <w:p>
            <w:pPr>
              <w:spacing w:after="0"/>
              <w:rPr>
                <w:sz w:val="17"/>
                <w:szCs w:val="17"/>
                <w:color w:val="auto"/>
              </w:rPr>
            </w:pPr>
          </w:p>
        </w:tc>
        <w:tc>
          <w:tcPr>
            <w:tcW w:w="394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Inline XBRL Instance Document</w:t>
            </w:r>
          </w:p>
        </w:tc>
        <w:tc>
          <w:tcPr>
            <w:tcW w:w="4480" w:type="dxa"/>
            <w:vAlign w:val="bottom"/>
            <w:tcBorders>
              <w:top w:val="single" w:sz="8" w:color="CCEEFF"/>
            </w:tcBorders>
            <w:gridSpan w:val="2"/>
          </w:tcPr>
          <w:p>
            <w:pPr>
              <w:spacing w:after="0"/>
              <w:rPr>
                <w:sz w:val="17"/>
                <w:szCs w:val="17"/>
                <w:color w:val="auto"/>
              </w:rPr>
            </w:pPr>
          </w:p>
        </w:tc>
      </w:tr>
      <w:tr>
        <w:trPr>
          <w:trHeight w:val="201"/>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280" w:type="dxa"/>
            <w:vAlign w:val="bottom"/>
            <w:tcBorders>
              <w:right w:val="single" w:sz="8" w:color="CCEEFF"/>
            </w:tcBorders>
            <w:shd w:val="clear" w:color="auto" w:fill="CCEEFF"/>
          </w:tcPr>
          <w:p>
            <w:pPr>
              <w:spacing w:after="0"/>
              <w:rPr>
                <w:sz w:val="17"/>
                <w:szCs w:val="17"/>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01"/>
        </w:trPr>
        <w:tc>
          <w:tcPr>
            <w:tcW w:w="1220" w:type="dxa"/>
            <w:vAlign w:val="bottom"/>
          </w:tcPr>
          <w:p>
            <w:pPr>
              <w:spacing w:after="0"/>
              <w:rPr>
                <w:sz w:val="20"/>
                <w:szCs w:val="20"/>
                <w:color w:val="auto"/>
              </w:rPr>
            </w:pPr>
            <w:r>
              <w:rPr>
                <w:rFonts w:ascii="Arial" w:cs="Arial" w:eastAsia="Arial" w:hAnsi="Arial"/>
                <w:sz w:val="17"/>
                <w:szCs w:val="17"/>
                <w:color w:val="auto"/>
              </w:rPr>
              <w:t>101.SCH</w:t>
            </w:r>
          </w:p>
        </w:tc>
        <w:tc>
          <w:tcPr>
            <w:tcW w:w="28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01"/>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280" w:type="dxa"/>
            <w:vAlign w:val="bottom"/>
            <w:tcBorders>
              <w:right w:val="single" w:sz="8" w:color="CCEEFF"/>
            </w:tcBorders>
            <w:shd w:val="clear" w:color="auto" w:fill="CCEEFF"/>
          </w:tcPr>
          <w:p>
            <w:pPr>
              <w:spacing w:after="0"/>
              <w:rPr>
                <w:sz w:val="17"/>
                <w:szCs w:val="17"/>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01"/>
        </w:trPr>
        <w:tc>
          <w:tcPr>
            <w:tcW w:w="1220" w:type="dxa"/>
            <w:vAlign w:val="bottom"/>
          </w:tcPr>
          <w:p>
            <w:pPr>
              <w:spacing w:after="0"/>
              <w:rPr>
                <w:sz w:val="20"/>
                <w:szCs w:val="20"/>
                <w:color w:val="auto"/>
              </w:rPr>
            </w:pPr>
            <w:r>
              <w:rPr>
                <w:rFonts w:ascii="Arial" w:cs="Arial" w:eastAsia="Arial" w:hAnsi="Arial"/>
                <w:sz w:val="17"/>
                <w:szCs w:val="17"/>
                <w:color w:val="auto"/>
              </w:rPr>
              <w:t>101.LAB</w:t>
            </w:r>
          </w:p>
        </w:tc>
        <w:tc>
          <w:tcPr>
            <w:tcW w:w="28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Inline XBRL Taxonomy Extension Labels Linkbase Document</w:t>
            </w:r>
          </w:p>
        </w:tc>
      </w:tr>
      <w:tr>
        <w:trPr>
          <w:trHeight w:val="201"/>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280" w:type="dxa"/>
            <w:vAlign w:val="bottom"/>
            <w:tcBorders>
              <w:right w:val="single" w:sz="8" w:color="CCEEFF"/>
            </w:tcBorders>
            <w:shd w:val="clear" w:color="auto" w:fill="CCEEFF"/>
          </w:tcPr>
          <w:p>
            <w:pPr>
              <w:spacing w:after="0"/>
              <w:rPr>
                <w:sz w:val="17"/>
                <w:szCs w:val="17"/>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13"/>
        </w:trPr>
        <w:tc>
          <w:tcPr>
            <w:tcW w:w="1220" w:type="dxa"/>
            <w:vAlign w:val="bottom"/>
          </w:tcPr>
          <w:p>
            <w:pPr>
              <w:spacing w:after="0"/>
              <w:rPr>
                <w:sz w:val="20"/>
                <w:szCs w:val="20"/>
                <w:color w:val="auto"/>
              </w:rPr>
            </w:pPr>
            <w:r>
              <w:rPr>
                <w:rFonts w:ascii="Arial" w:cs="Arial" w:eastAsia="Arial" w:hAnsi="Arial"/>
                <w:sz w:val="17"/>
                <w:szCs w:val="17"/>
                <w:color w:val="auto"/>
              </w:rPr>
              <w:t>104</w:t>
            </w:r>
          </w:p>
        </w:tc>
        <w:tc>
          <w:tcPr>
            <w:tcW w:w="28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157226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2260" cy="15875"/>
                    </a:xfrm>
                    <a:prstGeom prst="rect">
                      <a:avLst/>
                    </a:prstGeom>
                    <a:noFill/>
                  </pic:spPr>
                </pic:pic>
              </a:graphicData>
            </a:graphic>
          </wp:anchor>
        </w:drawing>
      </w:r>
    </w:p>
    <w:p>
      <w:pPr>
        <w:spacing w:after="0" w:line="156" w:lineRule="exact"/>
        <w:rPr>
          <w:sz w:val="20"/>
          <w:szCs w:val="20"/>
          <w:color w:val="auto"/>
        </w:rPr>
      </w:pPr>
    </w:p>
    <w:p>
      <w:pPr>
        <w:ind w:left="300" w:hanging="298"/>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jc w:val="both"/>
        <w:ind w:left="300" w:hanging="298"/>
        <w:spacing w:after="0" w:line="273"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6760" w:type="dxa"/>
            <w:vAlign w:val="bottom"/>
            <w:gridSpan w:val="2"/>
          </w:tcPr>
          <w:p>
            <w:pPr>
              <w:ind w:left="1780"/>
              <w:spacing w:after="0"/>
              <w:rPr>
                <w:sz w:val="20"/>
                <w:szCs w:val="20"/>
                <w:color w:val="auto"/>
              </w:rPr>
            </w:pPr>
            <w:r>
              <w:rPr>
                <w:rFonts w:ascii="Arial" w:cs="Arial" w:eastAsia="Arial" w:hAnsi="Arial"/>
                <w:sz w:val="17"/>
                <w:szCs w:val="17"/>
                <w:b w:val="1"/>
                <w:bCs w:val="1"/>
                <w:color w:val="auto"/>
              </w:rPr>
              <w:t>BurTech Acquisition Corp.</w:t>
            </w:r>
          </w:p>
        </w:tc>
      </w:tr>
      <w:tr>
        <w:trPr>
          <w:trHeight w:val="402"/>
        </w:trPr>
        <w:tc>
          <w:tcPr>
            <w:tcW w:w="3160" w:type="dxa"/>
            <w:vAlign w:val="bottom"/>
          </w:tcPr>
          <w:p>
            <w:pPr>
              <w:spacing w:after="0"/>
              <w:rPr>
                <w:sz w:val="20"/>
                <w:szCs w:val="20"/>
                <w:color w:val="auto"/>
              </w:rPr>
            </w:pPr>
            <w:r>
              <w:rPr>
                <w:rFonts w:ascii="Arial" w:cs="Arial" w:eastAsia="Arial" w:hAnsi="Arial"/>
                <w:sz w:val="15"/>
                <w:szCs w:val="15"/>
                <w:color w:val="auto"/>
              </w:rPr>
              <w:t>Date: August 15, 2022</w:t>
            </w:r>
          </w:p>
        </w:tc>
        <w:tc>
          <w:tcPr>
            <w:tcW w:w="6760" w:type="dxa"/>
            <w:vAlign w:val="bottom"/>
            <w:gridSpan w:val="2"/>
          </w:tcPr>
          <w:p>
            <w:pPr>
              <w:ind w:left="1780"/>
              <w:spacing w:after="0"/>
              <w:rPr>
                <w:sz w:val="20"/>
                <w:szCs w:val="20"/>
                <w:color w:val="auto"/>
              </w:rPr>
            </w:pPr>
            <w:r>
              <w:rPr>
                <w:rFonts w:ascii="Arial" w:cs="Arial" w:eastAsia="Arial" w:hAnsi="Arial"/>
                <w:sz w:val="17"/>
                <w:szCs w:val="17"/>
                <w:color w:val="auto"/>
              </w:rPr>
              <w:t>By: /s/ Shahal Khan</w:t>
            </w:r>
          </w:p>
        </w:tc>
      </w:tr>
      <w:tr>
        <w:trPr>
          <w:trHeight w:val="181"/>
        </w:trPr>
        <w:tc>
          <w:tcPr>
            <w:tcW w:w="3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720" w:type="dxa"/>
            <w:vAlign w:val="bottom"/>
            <w:tcBorders>
              <w:top w:val="single" w:sz="8" w:color="auto"/>
            </w:tcBorders>
          </w:tcPr>
          <w:p>
            <w:pPr>
              <w:spacing w:after="0" w:line="181" w:lineRule="exact"/>
              <w:rPr>
                <w:sz w:val="20"/>
                <w:szCs w:val="20"/>
                <w:color w:val="auto"/>
              </w:rPr>
            </w:pPr>
            <w:r>
              <w:rPr>
                <w:rFonts w:ascii="Arial" w:cs="Arial" w:eastAsia="Arial" w:hAnsi="Arial"/>
                <w:sz w:val="17"/>
                <w:szCs w:val="17"/>
                <w:color w:val="auto"/>
              </w:rPr>
              <w:t>Shahal Khan</w:t>
            </w:r>
          </w:p>
        </w:tc>
      </w:tr>
      <w:tr>
        <w:trPr>
          <w:trHeight w:val="213"/>
        </w:trPr>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Chief Executive Officer (</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402"/>
        </w:trPr>
        <w:tc>
          <w:tcPr>
            <w:tcW w:w="3160" w:type="dxa"/>
            <w:vAlign w:val="bottom"/>
          </w:tcPr>
          <w:p>
            <w:pPr>
              <w:spacing w:after="0"/>
              <w:rPr>
                <w:sz w:val="20"/>
                <w:szCs w:val="20"/>
                <w:color w:val="auto"/>
              </w:rPr>
            </w:pPr>
            <w:r>
              <w:rPr>
                <w:rFonts w:ascii="Arial" w:cs="Arial" w:eastAsia="Arial" w:hAnsi="Arial"/>
                <w:sz w:val="15"/>
                <w:szCs w:val="15"/>
                <w:color w:val="auto"/>
              </w:rPr>
              <w:t>Date: August 15, 2022</w:t>
            </w:r>
          </w:p>
        </w:tc>
        <w:tc>
          <w:tcPr>
            <w:tcW w:w="6760" w:type="dxa"/>
            <w:vAlign w:val="bottom"/>
            <w:gridSpan w:val="2"/>
          </w:tcPr>
          <w:p>
            <w:pPr>
              <w:ind w:left="1780"/>
              <w:spacing w:after="0"/>
              <w:rPr>
                <w:sz w:val="20"/>
                <w:szCs w:val="20"/>
                <w:color w:val="auto"/>
              </w:rPr>
            </w:pPr>
            <w:r>
              <w:rPr>
                <w:rFonts w:ascii="Arial" w:cs="Arial" w:eastAsia="Arial" w:hAnsi="Arial"/>
                <w:sz w:val="17"/>
                <w:szCs w:val="17"/>
                <w:color w:val="auto"/>
              </w:rPr>
              <w:t>By: /s/ Roman Livson</w:t>
            </w:r>
          </w:p>
        </w:tc>
      </w:tr>
      <w:tr>
        <w:trPr>
          <w:trHeight w:val="181"/>
        </w:trPr>
        <w:tc>
          <w:tcPr>
            <w:tcW w:w="3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720" w:type="dxa"/>
            <w:vAlign w:val="bottom"/>
            <w:tcBorders>
              <w:top w:val="single" w:sz="8" w:color="auto"/>
            </w:tcBorders>
          </w:tcPr>
          <w:p>
            <w:pPr>
              <w:spacing w:after="0" w:line="181" w:lineRule="exact"/>
              <w:rPr>
                <w:sz w:val="20"/>
                <w:szCs w:val="20"/>
                <w:color w:val="auto"/>
              </w:rPr>
            </w:pPr>
            <w:r>
              <w:rPr>
                <w:rFonts w:ascii="Arial" w:cs="Arial" w:eastAsia="Arial" w:hAnsi="Arial"/>
                <w:sz w:val="17"/>
                <w:szCs w:val="17"/>
                <w:color w:val="auto"/>
              </w:rPr>
              <w:t>Roman Livson</w:t>
            </w:r>
          </w:p>
        </w:tc>
      </w:tr>
      <w:tr>
        <w:trPr>
          <w:trHeight w:val="201"/>
        </w:trPr>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Chief Financial Officer and Secretary</w:t>
            </w:r>
          </w:p>
        </w:tc>
      </w:tr>
      <w:tr>
        <w:trPr>
          <w:trHeight w:val="213"/>
        </w:trPr>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62960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579" w:right="999" w:bottom="1440" w:gutter="0" w:footer="0" w:header="0"/>
        </w:sectPr>
      </w:pPr>
    </w:p>
    <w:bookmarkStart w:id="27" w:name="page28"/>
    <w:bookmarkEnd w:id="27"/>
    <w:p>
      <w:pPr>
        <w:ind w:left="9140"/>
        <w:spacing w:after="0"/>
        <w:rPr>
          <w:sz w:val="20"/>
          <w:szCs w:val="20"/>
          <w:color w:val="auto"/>
        </w:rPr>
      </w:pPr>
      <w:r>
        <w:rPr>
          <w:rFonts w:ascii="Arial" w:cs="Arial" w:eastAsia="Arial" w:hAnsi="Arial"/>
          <w:sz w:val="14"/>
          <w:szCs w:val="14"/>
          <w:b w:val="1"/>
          <w:bCs w:val="1"/>
          <w:color w:val="auto"/>
        </w:rPr>
        <w:t>Exhibit 31.1</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5"/>
          <w:szCs w:val="15"/>
          <w:b w:val="1"/>
          <w:bCs w:val="1"/>
          <w:color w:val="auto"/>
        </w:rPr>
        <w:t>CERTIFICATION OF CHIEF EXECUTIVE OFFICER PURSUANT TO RULE 13A-14(A) UNDER THE SECURITIES EXCHANGE ACT OF 1934, AS ADOPTED PURSUANT TO SECTION 302 OF THE SARBANES-OXLEY ACT OF 2002</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 Shahal Khan, certify that:</w:t>
      </w:r>
    </w:p>
    <w:p>
      <w:pPr>
        <w:spacing w:after="0" w:line="217" w:lineRule="exact"/>
        <w:rPr>
          <w:sz w:val="20"/>
          <w:szCs w:val="20"/>
          <w:color w:val="auto"/>
        </w:rPr>
      </w:pPr>
    </w:p>
    <w:p>
      <w:pPr>
        <w:ind w:left="160" w:hanging="158"/>
        <w:spacing w:after="0"/>
        <w:tabs>
          <w:tab w:leader="none" w:pos="1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June 30, 2022 of BurTech Acquisition Corp.;</w:t>
      </w:r>
    </w:p>
    <w:p>
      <w:pPr>
        <w:spacing w:after="0" w:line="217" w:lineRule="exact"/>
        <w:rPr>
          <w:rFonts w:ascii="Arial" w:cs="Arial" w:eastAsia="Arial" w:hAnsi="Arial"/>
          <w:sz w:val="15"/>
          <w:szCs w:val="15"/>
          <w:color w:val="auto"/>
        </w:rPr>
      </w:pPr>
    </w:p>
    <w:p>
      <w:pPr>
        <w:ind w:firstLine="2"/>
        <w:spacing w:after="0" w:line="324" w:lineRule="auto"/>
        <w:tabs>
          <w:tab w:leader="none" w:pos="163"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4"/>
          <w:szCs w:val="14"/>
          <w:color w:val="auto"/>
        </w:rPr>
      </w:pPr>
    </w:p>
    <w:p>
      <w:pPr>
        <w:ind w:firstLine="2"/>
        <w:spacing w:after="0" w:line="287" w:lineRule="auto"/>
        <w:tabs>
          <w:tab w:leader="none" w:pos="168"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5"/>
          <w:szCs w:val="15"/>
          <w:color w:val="auto"/>
        </w:rPr>
      </w:pPr>
    </w:p>
    <w:p>
      <w:pPr>
        <w:ind w:firstLine="2"/>
        <w:spacing w:after="0" w:line="287" w:lineRule="auto"/>
        <w:tabs>
          <w:tab w:leader="none" w:pos="15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5"/>
          <w:szCs w:val="15"/>
          <w:color w:val="auto"/>
        </w:rPr>
      </w:pPr>
    </w:p>
    <w:p>
      <w:pPr>
        <w:jc w:val="both"/>
        <w:ind w:left="600" w:firstLine="5"/>
        <w:spacing w:after="0" w:line="274" w:lineRule="auto"/>
        <w:tabs>
          <w:tab w:leader="none" w:pos="763"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Arial" w:cs="Arial" w:eastAsia="Arial" w:hAnsi="Arial"/>
          <w:sz w:val="15"/>
          <w:szCs w:val="15"/>
          <w:color w:val="auto"/>
        </w:rPr>
      </w:pPr>
    </w:p>
    <w:p>
      <w:pPr>
        <w:ind w:left="760" w:hanging="155"/>
        <w:spacing w:after="0"/>
        <w:tabs>
          <w:tab w:leader="none" w:pos="760" w:val="left"/>
        </w:tabs>
        <w:numPr>
          <w:ilvl w:val="1"/>
          <w:numId w:val="9"/>
        </w:numPr>
        <w:rPr>
          <w:rFonts w:ascii="Arial" w:cs="Arial" w:eastAsia="Arial" w:hAnsi="Arial"/>
          <w:sz w:val="15"/>
          <w:szCs w:val="15"/>
          <w:color w:val="auto"/>
        </w:rPr>
      </w:pPr>
      <w:r>
        <w:rPr>
          <w:rFonts w:ascii="Arial" w:cs="Arial" w:eastAsia="Arial" w:hAnsi="Arial"/>
          <w:sz w:val="15"/>
          <w:szCs w:val="15"/>
          <w:color w:val="auto"/>
        </w:rPr>
        <w:t>(Paragraph omitted pursuant to SEC Release Nos. 33-8238/34-47986 and 33-8392/34-49313);</w:t>
      </w:r>
    </w:p>
    <w:p>
      <w:pPr>
        <w:spacing w:after="0" w:line="217" w:lineRule="exact"/>
        <w:rPr>
          <w:rFonts w:ascii="Arial" w:cs="Arial" w:eastAsia="Arial" w:hAnsi="Arial"/>
          <w:sz w:val="15"/>
          <w:szCs w:val="15"/>
          <w:color w:val="auto"/>
        </w:rPr>
      </w:pPr>
    </w:p>
    <w:p>
      <w:pPr>
        <w:ind w:left="600" w:firstLine="5"/>
        <w:spacing w:after="0" w:line="287" w:lineRule="auto"/>
        <w:tabs>
          <w:tab w:leader="none" w:pos="757"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5"/>
          <w:szCs w:val="15"/>
          <w:color w:val="auto"/>
        </w:rPr>
      </w:pPr>
    </w:p>
    <w:p>
      <w:pPr>
        <w:jc w:val="both"/>
        <w:ind w:left="600" w:firstLine="5"/>
        <w:spacing w:after="0" w:line="274" w:lineRule="auto"/>
        <w:tabs>
          <w:tab w:leader="none" w:pos="774" w:val="left"/>
        </w:tabs>
        <w:numPr>
          <w:ilvl w:val="1"/>
          <w:numId w:val="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5"/>
          <w:szCs w:val="15"/>
          <w:color w:val="auto"/>
        </w:rPr>
      </w:pPr>
    </w:p>
    <w:p>
      <w:pPr>
        <w:ind w:firstLine="2"/>
        <w:spacing w:after="0" w:line="287" w:lineRule="auto"/>
        <w:tabs>
          <w:tab w:leader="none" w:pos="152"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5"/>
          <w:szCs w:val="15"/>
          <w:color w:val="auto"/>
        </w:rPr>
      </w:pPr>
    </w:p>
    <w:p>
      <w:pPr>
        <w:ind w:left="600" w:firstLine="5"/>
        <w:spacing w:after="0" w:line="287" w:lineRule="auto"/>
        <w:tabs>
          <w:tab w:leader="none" w:pos="761" w:val="left"/>
        </w:tabs>
        <w:numPr>
          <w:ilvl w:val="1"/>
          <w:numId w:val="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5"/>
          <w:szCs w:val="15"/>
          <w:color w:val="auto"/>
        </w:rPr>
      </w:pPr>
    </w:p>
    <w:p>
      <w:pPr>
        <w:ind w:left="600" w:firstLine="5"/>
        <w:spacing w:after="0" w:line="287" w:lineRule="auto"/>
        <w:tabs>
          <w:tab w:leader="none" w:pos="771" w:val="left"/>
        </w:tabs>
        <w:numPr>
          <w:ilvl w:val="1"/>
          <w:numId w:val="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3810</wp:posOffset>
            </wp:positionV>
            <wp:extent cx="31280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Shahal Khan</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Chief Executive Officer</w:t>
      </w:r>
    </w:p>
    <w:p>
      <w:pPr>
        <w:spacing w:after="0" w:line="6"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450850</wp:posOffset>
            </wp:positionV>
            <wp:extent cx="62960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7"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7"/>
          <w:szCs w:val="17"/>
          <w:b w:val="1"/>
          <w:bCs w:val="1"/>
          <w:color w:val="auto"/>
        </w:rPr>
        <w:t>Exhibit 31.2</w:t>
      </w:r>
    </w:p>
    <w:p>
      <w:pPr>
        <w:spacing w:after="0" w:line="207" w:lineRule="exact"/>
        <w:rPr>
          <w:sz w:val="20"/>
          <w:szCs w:val="20"/>
          <w:color w:val="auto"/>
        </w:rPr>
      </w:pPr>
    </w:p>
    <w:p>
      <w:pPr>
        <w:jc w:val="center"/>
        <w:ind w:left="1000" w:right="1600"/>
        <w:spacing w:after="0" w:line="260" w:lineRule="auto"/>
        <w:rPr>
          <w:sz w:val="20"/>
          <w:szCs w:val="20"/>
          <w:color w:val="auto"/>
        </w:rPr>
      </w:pPr>
      <w:r>
        <w:rPr>
          <w:rFonts w:ascii="Arial" w:cs="Arial" w:eastAsia="Arial" w:hAnsi="Arial"/>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 Roman Livson, certify that:</w:t>
      </w:r>
    </w:p>
    <w:p>
      <w:pPr>
        <w:spacing w:after="0" w:line="207" w:lineRule="exact"/>
        <w:rPr>
          <w:sz w:val="20"/>
          <w:szCs w:val="20"/>
          <w:color w:val="auto"/>
        </w:rPr>
      </w:pPr>
    </w:p>
    <w:p>
      <w:pPr>
        <w:ind w:left="160" w:hanging="158"/>
        <w:spacing w:after="0"/>
        <w:tabs>
          <w:tab w:leader="none" w:pos="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2022 of BurTech Acquisition Corp.;</w:t>
      </w:r>
    </w:p>
    <w:p>
      <w:pPr>
        <w:spacing w:after="0" w:line="206" w:lineRule="exact"/>
        <w:rPr>
          <w:rFonts w:ascii="Arial" w:cs="Arial" w:eastAsia="Arial" w:hAnsi="Arial"/>
          <w:sz w:val="17"/>
          <w:szCs w:val="17"/>
          <w:color w:val="auto"/>
        </w:rPr>
      </w:pPr>
    </w:p>
    <w:p>
      <w:pPr>
        <w:jc w:val="both"/>
        <w:ind w:firstLine="2"/>
        <w:spacing w:after="0" w:line="257" w:lineRule="auto"/>
        <w:tabs>
          <w:tab w:leader="none" w:pos="1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firstLine="2"/>
        <w:spacing w:after="0" w:line="300" w:lineRule="auto"/>
        <w:tabs>
          <w:tab w:leader="none" w:pos="1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ind w:firstLine="2"/>
        <w:spacing w:after="0" w:line="268" w:lineRule="auto"/>
        <w:tabs>
          <w:tab w:leader="none" w:pos="1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7"/>
          <w:szCs w:val="17"/>
          <w:color w:val="auto"/>
        </w:rPr>
      </w:pPr>
    </w:p>
    <w:p>
      <w:pPr>
        <w:jc w:val="both"/>
        <w:ind w:left="600" w:firstLine="5"/>
        <w:spacing w:after="0" w:line="257" w:lineRule="auto"/>
        <w:tabs>
          <w:tab w:leader="none" w:pos="81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6" w:lineRule="exact"/>
        <w:rPr>
          <w:rFonts w:ascii="Arial" w:cs="Arial" w:eastAsia="Arial" w:hAnsi="Arial"/>
          <w:sz w:val="17"/>
          <w:szCs w:val="17"/>
          <w:color w:val="auto"/>
        </w:rPr>
      </w:pPr>
    </w:p>
    <w:p>
      <w:pPr>
        <w:ind w:left="780" w:hanging="175"/>
        <w:spacing w:after="0"/>
        <w:tabs>
          <w:tab w:leader="none" w:pos="7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206" w:lineRule="exact"/>
        <w:rPr>
          <w:rFonts w:ascii="Arial" w:cs="Arial" w:eastAsia="Arial" w:hAnsi="Arial"/>
          <w:sz w:val="17"/>
          <w:szCs w:val="17"/>
          <w:color w:val="auto"/>
        </w:rPr>
      </w:pPr>
    </w:p>
    <w:p>
      <w:pPr>
        <w:ind w:left="600" w:firstLine="5"/>
        <w:spacing w:after="0" w:line="336" w:lineRule="auto"/>
        <w:tabs>
          <w:tab w:leader="none" w:pos="779"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jc w:val="both"/>
        <w:ind w:left="600" w:firstLine="5"/>
        <w:spacing w:after="0" w:line="257" w:lineRule="auto"/>
        <w:tabs>
          <w:tab w:leader="none" w:pos="78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firstLine="2"/>
        <w:spacing w:after="0" w:line="336" w:lineRule="auto"/>
        <w:tabs>
          <w:tab w:leader="none" w:pos="175"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5"/>
          <w:szCs w:val="15"/>
          <w:color w:val="auto"/>
        </w:rPr>
      </w:pPr>
    </w:p>
    <w:p>
      <w:pPr>
        <w:ind w:left="600" w:firstLine="5"/>
        <w:spacing w:after="0" w:line="300" w:lineRule="auto"/>
        <w:tabs>
          <w:tab w:leader="none" w:pos="78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600" w:firstLine="5"/>
        <w:spacing w:after="0" w:line="268" w:lineRule="auto"/>
        <w:tabs>
          <w:tab w:leader="none" w:pos="782"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pacing w:after="0" w:line="18"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3810</wp:posOffset>
            </wp:positionV>
            <wp:extent cx="3136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3626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7"/>
          <w:szCs w:val="17"/>
          <w:color w:val="auto"/>
        </w:rPr>
        <w:t>Roman Livson</w:t>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Chief Financial Officer</w:t>
      </w:r>
    </w:p>
    <w:p>
      <w:pPr>
        <w:spacing w:after="0" w:line="6"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450850</wp:posOffset>
            </wp:positionV>
            <wp:extent cx="62960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p>
      <w:pPr>
        <w:sectPr>
          <w:pgSz w:w="11900" w:h="16838" w:orient="portrait"/>
          <w:cols w:equalWidth="0" w:num="1">
            <w:col w:w="9920"/>
          </w:cols>
          <w:pgMar w:left="980" w:top="123"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5"/>
          <w:szCs w:val="15"/>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connection with the Quarterly Report of BurTech Acquisition Corp. (the “Company”) on Form 10-Q for the quarterly period ended June 30, 2022, as filed with the Securities and Exchange Commission (the “Report”), each of the undersigned, in the capacities and on the dates indicated below, certify, pursuant to 18 U.S.C. §1350, as added by §906 of the Sarbanes-Oxley Act of 2002, that:</w:t>
      </w:r>
    </w:p>
    <w:p>
      <w:pPr>
        <w:spacing w:after="0" w:line="176" w:lineRule="exact"/>
        <w:rPr>
          <w:sz w:val="20"/>
          <w:szCs w:val="20"/>
          <w:color w:val="auto"/>
        </w:rPr>
      </w:pPr>
    </w:p>
    <w:p>
      <w:pPr>
        <w:ind w:left="760" w:hanging="155"/>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17" w:lineRule="exact"/>
        <w:rPr>
          <w:rFonts w:ascii="Arial" w:cs="Arial" w:eastAsia="Arial" w:hAnsi="Arial"/>
          <w:sz w:val="15"/>
          <w:szCs w:val="15"/>
          <w:color w:val="auto"/>
        </w:rPr>
      </w:pPr>
    </w:p>
    <w:p>
      <w:pPr>
        <w:ind w:left="600" w:firstLine="5"/>
        <w:spacing w:after="0" w:line="287" w:lineRule="auto"/>
        <w:tabs>
          <w:tab w:leader="none" w:pos="75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my knowledge, the information contained in the Report fairly presents, in all material respects, the financial condition and results of operations of the Company as of and for the period covered by the Report.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3810</wp:posOffset>
            </wp:positionV>
            <wp:extent cx="3128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Shahal Khan</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Chief Executive Officer</w:t>
      </w:r>
    </w:p>
    <w:p>
      <w:pPr>
        <w:spacing w:after="0" w:line="6"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(Principal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pacing w:after="0" w:line="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3810</wp:posOffset>
            </wp:positionV>
            <wp:extent cx="31280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801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7"/>
          <w:szCs w:val="17"/>
          <w:color w:val="auto"/>
        </w:rPr>
        <w:t>Roman Livson</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Chief Financial Officer and Secretary</w:t>
      </w:r>
    </w:p>
    <w:p>
      <w:pPr>
        <w:spacing w:after="0" w:line="6" w:lineRule="exact"/>
        <w:rPr>
          <w:sz w:val="20"/>
          <w:szCs w:val="20"/>
          <w:color w:val="auto"/>
        </w:rPr>
      </w:pPr>
    </w:p>
    <w:p>
      <w:pPr>
        <w:ind w:left="50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450850</wp:posOffset>
            </wp:positionV>
            <wp:extent cx="62960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6025" cy="24130"/>
                    </a:xfrm>
                    <a:prstGeom prst="rect">
                      <a:avLst/>
                    </a:prstGeom>
                    <a:noFill/>
                  </pic:spPr>
                </pic:pic>
              </a:graphicData>
            </a:graphic>
          </wp:anchor>
        </w:drawing>
      </w:r>
    </w:p>
    <w:sectPr>
      <w:pgSz w:w="11900" w:h="16838" w:orient="portrait"/>
      <w:cols w:equalWidth="0" w:num="1">
        <w:col w:w="9920"/>
      </w:cols>
      <w:pgMar w:left="980" w:top="12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2022-08-15T14:34:52Z</dcterms:created>
  <dcterms:modified xsi:type="dcterms:W3CDTF">2022-08-15T14:34:52Z</dcterms:modified>
</cp:coreProperties>
</file>