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The following contains communications Blaize, Inc. (“</w:t>
      </w:r>
      <w:r>
        <w:rPr>
          <w:rFonts w:ascii="Times New Roman" w:cs="Times New Roman" w:eastAsia="Times New Roman" w:hAnsi="Times New Roman"/>
          <w:sz w:val="18"/>
          <w:szCs w:val="18"/>
          <w:u w:val="single" w:color="auto"/>
          <w:color w:val="0E101A"/>
        </w:rPr>
        <w:t>Blaize</w:t>
      </w:r>
      <w:r>
        <w:rPr>
          <w:rFonts w:ascii="Times New Roman" w:cs="Times New Roman" w:eastAsia="Times New Roman" w:hAnsi="Times New Roman"/>
          <w:sz w:val="18"/>
          <w:szCs w:val="18"/>
          <w:color w:val="0E101A"/>
        </w:rPr>
        <w:t>”) made to its employees via email on December 22,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Dear Blaize Team,</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E101A"/>
        </w:rPr>
        <w:t>As you know, we have been considering a variety of ways to approach capitalizing Blaize for the long-term, including a potential combination with a Special Purpose Acquisition Company (SPAC). A SPAC is a company with no commercial operations formed strictly to raise capital through an initial public offering and then combine with an existing company to provide the existing business with a cash infusion and a streamlined path to becoming a public company.</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E101A"/>
        </w:rPr>
        <w:t>Today, we publicly announce that Blaize is combining with a SPAC called BurTech Acquisition Corp. (NASDAQ: BRKH) (“BurTech”) – please read the joint press release issued by BurTech and Blaize today to learn more. Though we can’t provide you with a specific date, we expect that the transaction will close and Blaize will be a publicly traded company in the second quarter of 2024, and we will keep you apprised as things develop.</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E101A"/>
        </w:rPr>
        <w:t>We believe that the proposed transaction will enhance our ability to scale our technology and operations and accelerate our growth. This change will demand greater accountability, diligence, and reporting; consistently executing to targets; more formal and deliberate communications and information-sharing; and a higher expectation of behavior both as a company and as individuals. These next few months are critical to our long-term success, and our goal will be to execute with precision unlike ever before.</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E101A"/>
        </w:rPr>
        <w:t xml:space="preserve">Today's news may generate interest from customers, partners, the media, and our shareholders. If you receive any inquiries, including former Blaize employees, please do not share ANY information; forward them to </w:t>
      </w:r>
      <w:r>
        <w:rPr>
          <w:rFonts w:ascii="Times New Roman" w:cs="Times New Roman" w:eastAsia="Times New Roman" w:hAnsi="Times New Roman"/>
          <w:sz w:val="18"/>
          <w:szCs w:val="18"/>
          <w:u w:val="single" w:color="auto"/>
          <w:color w:val="000000"/>
        </w:rPr>
        <w:t>IR@Blaize.com</w:t>
      </w:r>
      <w:r>
        <w:rPr>
          <w:rFonts w:ascii="Times New Roman" w:cs="Times New Roman" w:eastAsia="Times New Roman" w:hAnsi="Times New Roman"/>
          <w:sz w:val="18"/>
          <w:szCs w:val="18"/>
          <w:color w:val="000000"/>
        </w:rPr>
        <w:t>. Additionally, please do not reply to any inquiries, comment to the</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color w:val="000000"/>
        </w:rPr>
        <w:t>press, or share company information outside, even with your friends and family.</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E101A"/>
        </w:rPr>
        <w:t>Attached are FAQs that will answer your initial questions. We will continue to communicate with you as things change, but please bear with us over the next 90 days as we work through a very complex process. We ask that you refrain from talking about these topics over email or other platforms - i.e., MS Teams.</w:t>
      </w:r>
    </w:p>
    <w:p>
      <w:pPr>
        <w:spacing w:after="0" w:line="176" w:lineRule="exact"/>
        <w:rPr>
          <w:sz w:val="24"/>
          <w:szCs w:val="24"/>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As we approach the new year, I am excited to announce an upcoming All Hands meeting scheduled for January 8, 2024. I encourage everyone to attend this important session as we celebrate achievements, discuss the growth of our company, and reinforce our commitment to fostering a culture of excellence.</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We are excited to be embarking on this journey together.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Sincerely,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101A"/>
        </w:rPr>
        <w:t>Dinakar</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BurTech intends to file with the SEC a Registration Statement on Form S-4 with the U.S. Securities and Exchange Commission (“SEC”), which will include a preliminary prospectus and proxy statement of BurTech in connection with the Business Combination, referred to as a proxy statement/prospectus (the “Registration Statement”), and after the Registration Statement is declared effective, BurTech will mail a definitive proxy statement/prospectus relating to the Business Combination to its stockholders. This communication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Filed by BurTech Acquisition Corp. pursuant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425 under the Securities Act of 1933, as amended,</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and deemed filed pursuant to Rule 14a-12 under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BurTech Acquisition Corp.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001-41139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w:t>
      </w:r>
    </w:p>
    <w:p>
      <w:pPr>
        <w:spacing w:after="0" w:line="8" w:lineRule="exact"/>
        <w:rPr>
          <w:sz w:val="20"/>
          <w:szCs w:val="20"/>
          <w:color w:val="auto"/>
        </w:rPr>
      </w:pPr>
    </w:p>
    <w:p>
      <w:pPr>
        <w:jc w:val="both"/>
        <w:ind w:firstLine="8"/>
        <w:spacing w:after="0" w:line="251" w:lineRule="auto"/>
        <w:tabs>
          <w:tab w:leader="none" w:pos="3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2023-12-22T14:37:11Z</dcterms:created>
  <dcterms:modified xsi:type="dcterms:W3CDTF">2023-12-22T14:37:11Z</dcterms:modified>
</cp:coreProperties>
</file>